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2">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lang w:val="en-US" w:eastAsia="zh-CN"/>
                                <w14:textFill>
                                  <w14:solidFill>
                                    <w14:schemeClr w14:val="tx1">
                                      <w14:lumMod w14:val="95000"/>
                                      <w14:lumOff w14:val="5000"/>
                                    </w14:schemeClr>
                                  </w14:solidFill>
                                </w14:textFill>
                              </w:rPr>
                              <w:t>部门</w:t>
                            </w: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">
                <v:fill on="f" focussize="0,0"/>
                <v:stroke on="f"/>
                <v:imagedata o:title=""/>
                <o:lock v:ext="edit" aspectratio="f"/>
                <v:textbox>
                  <w:txbxContent>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lang w:val="en-US" w:eastAsia="zh-CN"/>
                          <w14:textFill>
                            <w14:solidFill>
                              <w14:schemeClr w14:val="tx1">
                                <w14:lumMod w14:val="95000"/>
                                <w14:lumOff w14:val="5000"/>
                              </w14:schemeClr>
                            </w14:solidFill>
                          </w14:textFill>
                        </w:rPr>
                        <w:t>部门</w:t>
                      </w: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决算公开文本</w:t>
                      </w:r>
                    </w:p>
                  </w:txbxContent>
                </v:textbox>
              </v:shape>
            </w:pict>
          </mc:Fallback>
        </mc:AlternateContent>
      </w: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822001</w:t>
      </w:r>
    </w:p>
    <w:p>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lang w:eastAsia="zh-CN"/>
        </w:rPr>
        <w:t>部门</w:t>
      </w:r>
      <w:r>
        <w:rPr>
          <w:rFonts w:hint="eastAsia" w:ascii="黑体" w:hAnsi="黑体" w:eastAsia="黑体" w:cs="黑体"/>
          <w:color w:val="000000"/>
          <w:sz w:val="40"/>
          <w:szCs w:val="40"/>
        </w:rPr>
        <w:t>名称</w:t>
      </w:r>
      <w:r>
        <w:rPr>
          <w:rFonts w:hint="eastAsia" w:ascii="楷体_GB2312" w:hAnsi="楷体_GB2312" w:eastAsia="楷体_GB2312" w:cs="楷体_GB2312"/>
          <w:color w:val="000000"/>
          <w:sz w:val="40"/>
          <w:szCs w:val="40"/>
        </w:rPr>
        <w:t>：石家庄市鹿泉区大河镇人民政府</w:t>
      </w:r>
    </w:p>
    <w:p>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cols w:space="720" w:num="1"/>
          <w:docGrid w:type="lines" w:linePitch="312" w:charSpace="0"/>
        </w:sectPr>
      </w:pPr>
    </w:p>
    <w:p>
      <w:pPr>
        <w:spacing w:line="600" w:lineRule="auto"/>
        <w:jc w:val="center"/>
        <w:rPr>
          <w:rFonts w:hint="eastAsia" w:ascii="楷体_GB2312" w:hAnsi="楷体_GB2312" w:eastAsia="楷体_GB2312" w:cs="楷体_GB2312"/>
          <w:color w:val="000000"/>
          <w:sz w:val="40"/>
          <w:szCs w:val="40"/>
        </w:rPr>
      </w:pPr>
    </w:p>
    <w:p>
      <w:pPr>
        <w:rPr>
          <w:rFonts w:hint="eastAsia" w:ascii="黑体" w:hAnsi="黑体" w:eastAsia="黑体" w:cs="黑体"/>
          <w:b/>
          <w:bCs/>
          <w:sz w:val="32"/>
          <w:szCs w:val="36"/>
          <w:highlight w:val="yellow"/>
        </w:rPr>
      </w:pPr>
    </w:p>
    <w:p>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方正小标宋_GBK"/>
          <w:b w:val="0"/>
          <w:sz w:val="72"/>
          <w:szCs w:val="72"/>
        </w:rPr>
        <w:t>石家庄市鹿泉区大河镇人民政府</w:t>
      </w:r>
    </w:p>
    <w:p>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仿宋_GB2312"/>
          <w:b w:val="0"/>
          <w:sz w:val="72"/>
          <w:szCs w:val="72"/>
        </w:rPr>
        <w:t>2024</w:t>
      </w:r>
      <w:r>
        <w:rPr>
          <w:rFonts w:ascii="Times New Roman" w:eastAsia="方正小标宋_GBK"/>
          <w:b w:val="0"/>
          <w:sz w:val="72"/>
          <w:szCs w:val="72"/>
        </w:rPr>
        <w:t>年度</w:t>
      </w:r>
      <w:r>
        <w:rPr>
          <w:rFonts w:hint="eastAsia" w:ascii="Times New Roman" w:eastAsia="方正小标宋_GBK"/>
          <w:b/>
          <w:bCs/>
          <w:sz w:val="72"/>
          <w:szCs w:val="72"/>
          <w:lang w:val="en-US" w:eastAsia="zh-CN"/>
        </w:rPr>
        <w:t>部门</w:t>
      </w:r>
      <w:r>
        <w:rPr>
          <w:rFonts w:ascii="Times New Roman" w:eastAsia="方正小标宋_GBK"/>
          <w:b w:val="0"/>
          <w:sz w:val="72"/>
          <w:szCs w:val="72"/>
        </w:rPr>
        <w:t>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both"/>
        <w:rPr>
          <w:rFonts w:ascii="黑体" w:hAnsi="黑体" w:eastAsia="黑体" w:cs="黑体"/>
          <w:sz w:val="56"/>
          <w:szCs w:val="72"/>
        </w:rPr>
      </w:pPr>
    </w:p>
    <w:p>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石家庄市鹿泉区大河镇人民政府</w:t>
      </w:r>
    </w:p>
    <w:p>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w:t>
      </w:r>
      <w:r>
        <w:rPr>
          <w:rFonts w:hint="eastAsia" w:ascii="Times New Roman" w:eastAsia="楷体_GB2312"/>
          <w:b w:val="0"/>
          <w:sz w:val="44"/>
          <w:szCs w:val="44"/>
          <w:lang w:val="en-US" w:eastAsia="zh-CN"/>
        </w:rPr>
        <w:t>九</w:t>
      </w:r>
      <w:r>
        <w:rPr>
          <w:rFonts w:ascii="Times New Roman" w:eastAsia="楷体_GB2312"/>
          <w:b w:val="0"/>
          <w:sz w:val="44"/>
          <w:szCs w:val="44"/>
        </w:rPr>
        <w:t>月</w:t>
      </w:r>
    </w:p>
    <w:p>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4" w:type="default"/>
          <w:pgSz w:w="11906" w:h="16838"/>
          <w:pgMar w:top="1531" w:right="1984" w:bottom="1531" w:left="2098" w:header="851" w:footer="992" w:gutter="0"/>
          <w:pgBorders>
            <w:top w:val="none" w:sz="0" w:space="0"/>
            <w:left w:val="none" w:sz="0" w:space="0"/>
            <w:bottom w:val="none" w:sz="0" w:space="0"/>
            <w:right w:val="none" w:sz="0" w:space="0"/>
          </w:pgBorders>
          <w:pgNumType w:start="1"/>
          <w:cols w:space="720" w:num="1"/>
          <w:docGrid w:type="lines" w:linePitch="312" w:charSpace="0"/>
        </w:sectPr>
      </w:pPr>
    </w:p>
    <w:p>
      <w:pPr>
        <w:widowControl/>
        <w:spacing w:line="600" w:lineRule="exact"/>
        <w:jc w:val="left"/>
        <w:rPr>
          <w:rFonts w:ascii="黑体" w:hAnsi="黑体" w:eastAsia="黑体" w:cs="黑体"/>
          <w:bCs/>
          <w:sz w:val="32"/>
          <w:szCs w:val="32"/>
        </w:rPr>
      </w:pPr>
    </w:p>
    <w:p>
      <w:pPr>
        <w:tabs>
          <w:tab w:val="left" w:pos="2728"/>
        </w:tabs>
        <w:jc w:val="center"/>
        <w:rPr>
          <w:rFonts w:ascii="黑体" w:hAnsi="Times New Roman" w:eastAsia="黑体" w:cs="Times New Roman"/>
          <w:sz w:val="48"/>
          <w:szCs w:val="48"/>
        </w:r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   </w:t>
      </w:r>
      <w:r>
        <w:rPr>
          <w:rFonts w:hint="eastAsia" w:ascii="Times New Roman" w:eastAsia="黑体"/>
          <w:b w:val="0"/>
          <w:sz w:val="32"/>
          <w:szCs w:val="32"/>
          <w:lang w:eastAsia="zh-CN"/>
        </w:rPr>
        <w:t>部门</w:t>
      </w:r>
      <w:r>
        <w:rPr>
          <w:rFonts w:ascii="Times New Roman" w:eastAsia="黑体"/>
          <w:b w:val="0"/>
          <w:sz w:val="32"/>
          <w:szCs w:val="32"/>
        </w:rPr>
        <w:t>概况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w:t>
      </w:r>
      <w:r>
        <w:rPr>
          <w:rFonts w:hint="eastAsia" w:ascii="Times New Roman" w:eastAsia="仿宋_GB2312"/>
          <w:b w:val="0"/>
          <w:sz w:val="32"/>
          <w:szCs w:val="32"/>
          <w:lang w:eastAsia="zh-CN"/>
        </w:rPr>
        <w:t>部门</w:t>
      </w:r>
      <w:r>
        <w:rPr>
          <w:rFonts w:ascii="Times New Roman" w:eastAsia="仿宋_GB2312"/>
          <w:b w:val="0"/>
          <w:sz w:val="32"/>
          <w:szCs w:val="32"/>
        </w:rPr>
        <w:t>职责</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   2024年度</w:t>
      </w:r>
      <w:r>
        <w:rPr>
          <w:rFonts w:hint="eastAsia" w:ascii="Times New Roman" w:eastAsia="黑体"/>
          <w:b w:val="0"/>
          <w:sz w:val="32"/>
          <w:szCs w:val="32"/>
          <w:lang w:eastAsia="zh-CN"/>
        </w:rPr>
        <w:t>部门</w:t>
      </w:r>
      <w:r>
        <w:rPr>
          <w:rFonts w:ascii="Times New Roman" w:eastAsia="黑体"/>
          <w:b w:val="0"/>
          <w:sz w:val="32"/>
          <w:szCs w:val="32"/>
        </w:rPr>
        <w:t>决算报表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   2024年度</w:t>
      </w:r>
      <w:r>
        <w:rPr>
          <w:rFonts w:hint="eastAsia" w:ascii="Times New Roman" w:eastAsia="黑体"/>
          <w:b w:val="0"/>
          <w:sz w:val="32"/>
          <w:szCs w:val="32"/>
          <w:lang w:eastAsia="zh-CN"/>
        </w:rPr>
        <w:t>部门</w:t>
      </w:r>
      <w:r>
        <w:rPr>
          <w:rFonts w:ascii="Times New Roman" w:eastAsia="黑体"/>
          <w:b w:val="0"/>
          <w:sz w:val="32"/>
          <w:szCs w:val="32"/>
        </w:rPr>
        <w:t>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   名词解释</w:t>
      </w:r>
    </w:p>
    <w:p>
      <w:pPr>
        <w:widowControl/>
        <w:spacing w:after="160" w:line="580" w:lineRule="exact"/>
        <w:rPr>
          <w:rFonts w:hint="eastAsia" w:ascii="Times New Roman" w:hAnsi="Times New Roman" w:eastAsia="黑体" w:cs="Times New Roman"/>
          <w:sz w:val="32"/>
          <w:szCs w:val="32"/>
          <w:lang w:val="en-US" w:eastAsia="zh-CN"/>
        </w:rPr>
        <w:sectPr>
          <w:headerReference r:id="rId6" w:type="first"/>
          <w:footerReference r:id="rId8" w:type="first"/>
          <w:headerReference r:id="rId5" w:type="default"/>
          <w:footerReference r:id="rId7"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   </w:t>
      </w:r>
      <w:r>
        <w:rPr>
          <w:rFonts w:hint="eastAsia" w:ascii="Times New Roman" w:eastAsia="黑体"/>
          <w:b w:val="0"/>
          <w:sz w:val="44"/>
          <w:szCs w:val="44"/>
          <w:lang w:eastAsia="zh-CN"/>
        </w:rPr>
        <w:t>部门</w:t>
      </w:r>
      <w:r>
        <w:rPr>
          <w:rFonts w:ascii="Times New Roman" w:eastAsia="黑体"/>
          <w:b w:val="0"/>
          <w:sz w:val="44"/>
          <w:szCs w:val="44"/>
        </w:rPr>
        <w:t>概况</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w:t>
      </w:r>
      <w:r>
        <w:rPr>
          <w:rFonts w:hint="eastAsia" w:ascii="Times New Roman" w:eastAsia="黑体"/>
          <w:b w:val="0"/>
          <w:sz w:val="32"/>
          <w:szCs w:val="32"/>
          <w:lang w:eastAsia="zh-CN"/>
        </w:rPr>
        <w:t>部门</w:t>
      </w:r>
      <w:r>
        <w:rPr>
          <w:rFonts w:ascii="Times New Roman" w:eastAsia="黑体"/>
          <w:b w:val="0"/>
          <w:sz w:val="32"/>
          <w:szCs w:val="32"/>
        </w:rPr>
        <w:t>职责</w:t>
      </w:r>
    </w:p>
    <w:p>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 xml:space="preserve">（一）宣传贯彻执行党的路线方针政策和党中央、上级党组织及本镇党员代表大会（党员大会）的决议。贯彻执行法律、法规、规章和上级人民代表大会及其常务委员会决议及上级政府的决定、命令，执行本级人民代表大会的决议。 </w:t>
      </w:r>
    </w:p>
    <w:p>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 xml:space="preserve">（二）讨论和决定本镇经济建设、政治建设、文化建设、社会建设、生态文明建设和党的建设以及乡村振兴中的重大问题。 </w:t>
      </w:r>
    </w:p>
    <w:p>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 xml:space="preserve">（三）组织召开本级人民代表大会，充分行使重大事项决定权、监督权和任免权，做好人大代表工作，联系选民、反映群众意见和要求。 </w:t>
      </w:r>
    </w:p>
    <w:p>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 xml:space="preserve">（四）负责拟订辖区经济发展规划、年度工作计划并组织实施，负责经济发展、招商引资工作，促进乡村全面振兴。 </w:t>
      </w:r>
    </w:p>
    <w:p>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 xml:space="preserve">（五）执行本行政区域内的经济和社会发展计划、预算，管理本行政区域内的经济、教育、科学、文化、卫生健康、体育事业和财政、统计、民政、司法行政等行政工作。落实本行政区域内发展规划、专项规划、区域规划、国土空间规划。 </w:t>
      </w:r>
    </w:p>
    <w:p>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六）镇党委领导镇政权机关、群团组织和其他各类组织，加强指导和规范，支持和保证这些机关和组织依照国家法律法规以及各自章程履行职责。坚持党管武装的根本原则和制度，协调各方力量，对镇人民武装工作实行统一领导。</w:t>
      </w:r>
    </w:p>
    <w:p>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 xml:space="preserve"> (七)加强镇党委自身建设和村党组织建设，以及其他隶属镇党委的党组织建设，抓好发展党员工作，加强党员队伍建设。维护和执行党的纪律，监督党员干部和其他任何工作人员严格遵守国家法律法规。</w:t>
      </w:r>
    </w:p>
    <w:p>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 xml:space="preserve"> (八)按照干部管理权限，负责对干部的教育、培训、选拔、考核和监督工作。协助管理上级有关</w:t>
      </w:r>
      <w:r>
        <w:rPr>
          <w:rFonts w:hint="eastAsia" w:ascii="Times New Roman" w:eastAsia="仿宋_GB2312"/>
          <w:b w:val="0"/>
          <w:sz w:val="32"/>
          <w:szCs w:val="32"/>
          <w:lang w:eastAsia="zh-CN"/>
        </w:rPr>
        <w:t>部门</w:t>
      </w:r>
      <w:r>
        <w:rPr>
          <w:rFonts w:ascii="Times New Roman" w:eastAsia="仿宋_GB2312"/>
          <w:b w:val="0"/>
          <w:sz w:val="32"/>
          <w:szCs w:val="32"/>
        </w:rPr>
        <w:t>驻镇</w:t>
      </w:r>
      <w:r>
        <w:rPr>
          <w:rFonts w:hint="eastAsia" w:ascii="Times New Roman" w:eastAsia="仿宋_GB2312"/>
          <w:b w:val="0"/>
          <w:sz w:val="32"/>
          <w:szCs w:val="32"/>
          <w:lang w:eastAsia="zh-CN"/>
        </w:rPr>
        <w:t>部门</w:t>
      </w:r>
      <w:r>
        <w:rPr>
          <w:rFonts w:ascii="Times New Roman" w:eastAsia="仿宋_GB2312"/>
          <w:b w:val="0"/>
          <w:sz w:val="32"/>
          <w:szCs w:val="32"/>
        </w:rPr>
        <w:t>的干部。做好 人才服务工作。</w:t>
      </w:r>
    </w:p>
    <w:p>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 xml:space="preserve"> (九)领导本镇的基层治理，加强社会主义民主法治建设和精神文明建设，加强社会治安综合治理，做好应急管理、生态环保、乡村振兴、民生保障、民族宗教、防范邪教等工作。承担民兵预备役、征兵、退役军人服务、拥军优属等工作。</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xml:space="preserve"> (十)保护社会主义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 </w:t>
      </w:r>
      <w:r>
        <w:rPr>
          <w:rFonts w:hint="eastAsia" w:ascii="Times New Roman" w:eastAsia="仿宋_GB2312"/>
          <w:b w:val="0"/>
          <w:sz w:val="32"/>
          <w:szCs w:val="32"/>
          <w:lang w:val="en-US" w:eastAsia="zh-CN"/>
        </w:rPr>
        <w:tab/>
      </w:r>
      <w:r>
        <w:rPr>
          <w:rFonts w:hint="eastAsia" w:ascii="Times New Roman" w:eastAsia="仿宋_GB2312"/>
          <w:b w:val="0"/>
          <w:sz w:val="32"/>
          <w:szCs w:val="32"/>
          <w:lang w:val="en-US" w:eastAsia="zh-CN"/>
        </w:rPr>
        <w:tab/>
      </w:r>
      <w:r>
        <w:rPr>
          <w:rFonts w:ascii="Times New Roman" w:eastAsia="仿宋_GB2312"/>
          <w:b w:val="0"/>
          <w:sz w:val="32"/>
          <w:szCs w:val="32"/>
        </w:rPr>
        <w:t>(十一)承办上级党委、人大、政府交办的其他事项。 理顺区乡权责关系: (一)理顺行政执法职责边界。区直</w:t>
      </w:r>
      <w:r>
        <w:rPr>
          <w:rFonts w:hint="eastAsia" w:ascii="Times New Roman" w:eastAsia="仿宋_GB2312"/>
          <w:b w:val="0"/>
          <w:sz w:val="32"/>
          <w:szCs w:val="32"/>
          <w:lang w:eastAsia="zh-CN"/>
        </w:rPr>
        <w:t>部门</w:t>
      </w:r>
      <w:r>
        <w:rPr>
          <w:rFonts w:ascii="Times New Roman" w:eastAsia="仿宋_GB2312"/>
          <w:b w:val="0"/>
          <w:sz w:val="32"/>
          <w:szCs w:val="32"/>
        </w:rPr>
        <w:t>赋权下放的行政处罚事项,乡镇为执法主体和责任主体;委托下放的行政处罚事项，由区直</w:t>
      </w:r>
      <w:r>
        <w:rPr>
          <w:rFonts w:hint="eastAsia" w:ascii="Times New Roman" w:eastAsia="仿宋_GB2312"/>
          <w:b w:val="0"/>
          <w:sz w:val="32"/>
          <w:szCs w:val="32"/>
          <w:lang w:eastAsia="zh-CN"/>
        </w:rPr>
        <w:t>部门</w:t>
      </w:r>
      <w:r>
        <w:rPr>
          <w:rFonts w:ascii="Times New Roman" w:eastAsia="仿宋_GB2312"/>
          <w:b w:val="0"/>
          <w:sz w:val="32"/>
          <w:szCs w:val="32"/>
        </w:rPr>
        <w:t>与乡镇签订行政执法委托书，明确委托范围、委托权限、委托依据、委托责任及委托期限等;法律法规未赋权也不宜委托下放，但需乡镇配合的行政执法事项，由乡镇综合行政执法队协助区直</w:t>
      </w:r>
      <w:r>
        <w:rPr>
          <w:rFonts w:hint="eastAsia" w:ascii="Times New Roman" w:eastAsia="仿宋_GB2312"/>
          <w:b w:val="0"/>
          <w:sz w:val="32"/>
          <w:szCs w:val="32"/>
          <w:lang w:eastAsia="zh-CN"/>
        </w:rPr>
        <w:t>部门</w:t>
      </w:r>
      <w:r>
        <w:rPr>
          <w:rFonts w:ascii="Times New Roman" w:eastAsia="仿宋_GB2312"/>
          <w:b w:val="0"/>
          <w:sz w:val="32"/>
          <w:szCs w:val="32"/>
        </w:rPr>
        <w:t>开展监督检查、立案调查等工作，区直</w:t>
      </w:r>
      <w:r>
        <w:rPr>
          <w:rFonts w:hint="eastAsia" w:ascii="Times New Roman" w:eastAsia="仿宋_GB2312"/>
          <w:b w:val="0"/>
          <w:sz w:val="32"/>
          <w:szCs w:val="32"/>
          <w:lang w:eastAsia="zh-CN"/>
        </w:rPr>
        <w:t>部门</w:t>
      </w:r>
      <w:r>
        <w:rPr>
          <w:rFonts w:ascii="Times New Roman" w:eastAsia="仿宋_GB2312"/>
          <w:b w:val="0"/>
          <w:sz w:val="32"/>
          <w:szCs w:val="32"/>
        </w:rPr>
        <w:t>为责任主体。建立健全区乡执法协调衔接联动机制，完善相互告知、案件移送、联合执法以及信息共享等工作制度。 (二)理顺派驻机构管理体制。实行派驻体制的税务分局(所)、公安派出所、市场监督管理所(市场监督管理综合执法所)、司法所纳入乡镇统一指挥和统筹协调，其工作考核和主要负责人的任免要听取乡镇党委的意见。 (三)建立乡镇职责准入制度。区直</w:t>
      </w:r>
      <w:r>
        <w:rPr>
          <w:rFonts w:hint="eastAsia" w:ascii="Times New Roman" w:eastAsia="仿宋_GB2312"/>
          <w:b w:val="0"/>
          <w:sz w:val="32"/>
          <w:szCs w:val="32"/>
          <w:lang w:eastAsia="zh-CN"/>
        </w:rPr>
        <w:t>部门</w:t>
      </w:r>
      <w:r>
        <w:rPr>
          <w:rFonts w:ascii="Times New Roman" w:eastAsia="仿宋_GB2312"/>
          <w:b w:val="0"/>
          <w:sz w:val="32"/>
          <w:szCs w:val="32"/>
        </w:rPr>
        <w:t>行政事务需要委托或交由基层承担的,须充分听取乡镇党委、政府意见并经过区委、区政府审核批准，并明确工作目标、内容、权限、分工、期限等具体要求，落实人员、经费以及业务培训等保障措施。需由乡镇配合、协助完成的工作任务，主要责任由区直</w:t>
      </w:r>
      <w:r>
        <w:rPr>
          <w:rFonts w:hint="eastAsia" w:ascii="Times New Roman" w:eastAsia="仿宋_GB2312"/>
          <w:b w:val="0"/>
          <w:sz w:val="32"/>
          <w:szCs w:val="32"/>
          <w:lang w:eastAsia="zh-CN"/>
        </w:rPr>
        <w:t>部门</w:t>
      </w:r>
      <w:r>
        <w:rPr>
          <w:rFonts w:ascii="Times New Roman" w:eastAsia="仿宋_GB2312"/>
          <w:b w:val="0"/>
          <w:sz w:val="32"/>
          <w:szCs w:val="32"/>
        </w:rPr>
        <w:t>承担。除党中央、国务院和省委、省政府有明确规定外，不得以设置“一票否决”和签订责任状事项等方式，将工作责任转嫁乡镇。</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从决算编报</w:t>
      </w:r>
      <w:r>
        <w:rPr>
          <w:rFonts w:hint="eastAsia" w:ascii="Times New Roman" w:eastAsia="仿宋_GB2312"/>
          <w:b w:val="0"/>
          <w:sz w:val="32"/>
          <w:szCs w:val="32"/>
          <w:lang w:eastAsia="zh-CN"/>
        </w:rPr>
        <w:t>部门</w:t>
      </w:r>
      <w:r>
        <w:rPr>
          <w:rFonts w:ascii="Times New Roman" w:eastAsia="仿宋_GB2312"/>
          <w:b w:val="0"/>
          <w:sz w:val="32"/>
          <w:szCs w:val="32"/>
        </w:rPr>
        <w:t>构成看，纳入2024年度本</w:t>
      </w:r>
      <w:r>
        <w:rPr>
          <w:rFonts w:hint="eastAsia" w:ascii="Times New Roman" w:eastAsia="仿宋_GB2312"/>
          <w:b w:val="0"/>
          <w:sz w:val="32"/>
          <w:szCs w:val="32"/>
          <w:lang w:eastAsia="zh-CN"/>
        </w:rPr>
        <w:t>部门</w:t>
      </w:r>
      <w:r>
        <w:rPr>
          <w:rFonts w:ascii="Times New Roman" w:eastAsia="仿宋_GB2312"/>
          <w:b w:val="0"/>
          <w:sz w:val="32"/>
          <w:szCs w:val="32"/>
        </w:rPr>
        <w:t>决算汇编范围的独立核算</w:t>
      </w:r>
      <w:r>
        <w:rPr>
          <w:rFonts w:hint="eastAsia" w:ascii="Times New Roman" w:eastAsia="仿宋_GB2312"/>
          <w:b w:val="0"/>
          <w:sz w:val="32"/>
          <w:szCs w:val="32"/>
          <w:lang w:eastAsia="zh-CN"/>
        </w:rPr>
        <w:t>部门</w:t>
      </w:r>
      <w:r>
        <w:rPr>
          <w:rFonts w:ascii="Times New Roman" w:eastAsia="仿宋_GB2312"/>
          <w:b w:val="0"/>
          <w:sz w:val="32"/>
          <w:szCs w:val="32"/>
        </w:rPr>
        <w:t>（以下简称“</w:t>
      </w:r>
      <w:r>
        <w:rPr>
          <w:rFonts w:hint="eastAsia" w:ascii="Times New Roman" w:eastAsia="仿宋_GB2312"/>
          <w:b w:val="0"/>
          <w:sz w:val="32"/>
          <w:szCs w:val="32"/>
          <w:lang w:eastAsia="zh-CN"/>
        </w:rPr>
        <w:t>部门</w:t>
      </w:r>
      <w:r>
        <w:rPr>
          <w:rFonts w:ascii="Times New Roman" w:eastAsia="仿宋_GB2312"/>
          <w:b w:val="0"/>
          <w:sz w:val="32"/>
          <w:szCs w:val="32"/>
        </w:rPr>
        <w:t>”）共1个，具体情况如下：</w:t>
      </w:r>
    </w:p>
    <w:tbl>
      <w:tblPr>
        <w:tblStyle w:val="13"/>
        <w:tblpPr w:leftFromText="180" w:rightFromText="180" w:vertAnchor="text" w:horzAnchor="page" w:tblpXSpec="center" w:tblpY="10"/>
        <w:tblOverlap w:val="never"/>
        <w:tblW w:w="958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lang w:eastAsia="zh-CN"/>
              </w:rPr>
              <w:t>部门</w:t>
            </w:r>
            <w:r>
              <w:rPr>
                <w:rFonts w:hint="eastAsia" w:ascii="仿宋_GB2312" w:hAnsi="Calibri" w:eastAsia="仿宋_GB2312" w:cs="ArialUnicodeMS"/>
                <w:b/>
                <w:bCs/>
                <w:kern w:val="0"/>
                <w:sz w:val="28"/>
                <w:szCs w:val="28"/>
              </w:rPr>
              <w:t>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lang w:eastAsia="zh-CN"/>
              </w:rPr>
              <w:t>部门</w:t>
            </w:r>
            <w:r>
              <w:rPr>
                <w:rFonts w:hint="eastAsia" w:ascii="仿宋_GB2312" w:hAnsi="Calibri" w:eastAsia="仿宋_GB2312" w:cs="ArialUnicodeMS"/>
                <w:b/>
                <w:bCs/>
                <w:kern w:val="0"/>
                <w:sz w:val="28"/>
                <w:szCs w:val="28"/>
              </w:rPr>
              <w:t>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石家庄市鹿泉区大河镇人民政府</w:t>
            </w:r>
          </w:p>
        </w:tc>
        <w:tc>
          <w:tcPr>
            <w:tcW w:w="2445" w:type="dxa"/>
          </w:tcPr>
          <w:p>
            <w:pPr>
              <w:spacing w:line="560" w:lineRule="exact"/>
              <w:jc w:val="center"/>
              <w:rPr>
                <w:rFonts w:hint="eastAsia"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行政部门</w:t>
            </w:r>
          </w:p>
        </w:tc>
        <w:tc>
          <w:tcPr>
            <w:tcW w:w="266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bl>
    <w:p>
      <w:pPr>
        <w:widowControl/>
        <w:spacing w:before="0" w:beforeLines="0" w:beforeAutospacing="0" w:after="0" w:afterLines="0" w:afterAutospacing="0" w:line="240" w:lineRule="auto"/>
        <w:jc w:val="left"/>
        <w:rPr>
          <w:rFonts w:ascii="Times New Roman" w:eastAsia="仿宋_GB2312"/>
          <w:b w:val="0"/>
          <w:sz w:val="32"/>
          <w:szCs w:val="32"/>
        </w:rPr>
      </w:pPr>
    </w:p>
    <w:p>
      <w:pPr>
        <w:rPr>
          <w:rFonts w:hint="eastAsia" w:ascii="Times New Roman" w:hAnsi="Times New Roman" w:eastAsia="黑体" w:cs="Times New Roman"/>
          <w:sz w:val="32"/>
          <w:szCs w:val="32"/>
          <w:highlight w:val="yellow"/>
          <w:lang w:val="en-US" w:eastAsia="zh-CN"/>
        </w:rPr>
      </w:pPr>
      <w:r>
        <w:rPr>
          <w:rFonts w:hint="eastAsia" w:ascii="Times New Roman" w:hAnsi="Times New Roman" w:eastAsia="黑体" w:cs="Times New Roman"/>
          <w:sz w:val="32"/>
          <w:szCs w:val="32"/>
          <w:highlight w:val="yellow"/>
        </w:rPr>
        <w:br w:type="page"/>
      </w: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   </w:t>
      </w:r>
      <w:r>
        <w:rPr>
          <w:rFonts w:ascii="Times New Roman" w:eastAsia="仿宋_GB2312"/>
          <w:b w:val="0"/>
          <w:sz w:val="44"/>
          <w:szCs w:val="44"/>
        </w:rPr>
        <w:t>2024</w:t>
      </w:r>
      <w:r>
        <w:rPr>
          <w:rFonts w:ascii="Times New Roman" w:eastAsia="黑体"/>
          <w:b w:val="0"/>
          <w:sz w:val="44"/>
          <w:szCs w:val="44"/>
        </w:rPr>
        <w:t>年度</w:t>
      </w:r>
      <w:r>
        <w:rPr>
          <w:rFonts w:hint="eastAsia" w:ascii="Times New Roman" w:eastAsia="黑体"/>
          <w:b w:val="0"/>
          <w:sz w:val="44"/>
          <w:szCs w:val="44"/>
          <w:lang w:val="en-US" w:eastAsia="zh-CN"/>
        </w:rPr>
        <w:t>部门</w:t>
      </w:r>
      <w:r>
        <w:rPr>
          <w:rFonts w:ascii="Times New Roman" w:eastAsia="黑体"/>
          <w:b w:val="0"/>
          <w:sz w:val="44"/>
          <w:szCs w:val="44"/>
        </w:rPr>
        <w:t>决算表</w:t>
      </w:r>
    </w:p>
    <w:tbl>
      <w:tblPr>
        <w:tblStyle w:val="13"/>
        <w:tblW w:w="11659" w:type="dxa"/>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5"/>
        <w:gridCol w:w="624"/>
        <w:gridCol w:w="612"/>
        <w:gridCol w:w="1316"/>
        <w:gridCol w:w="1629"/>
        <w:gridCol w:w="1546"/>
        <w:gridCol w:w="624"/>
        <w:gridCol w:w="1928"/>
        <w:gridCol w:w="3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5" w:type="dxa"/>
          <w:trHeight w:val="361" w:hRule="atLeast"/>
        </w:trPr>
        <w:tc>
          <w:tcPr>
            <w:tcW w:w="11624" w:type="dxa"/>
            <w:gridSpan w:val="8"/>
            <w:tcBorders>
              <w:top w:val="nil"/>
              <w:left w:val="nil"/>
              <w:bottom w:val="nil"/>
              <w:right w:val="nil"/>
            </w:tcBorders>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5" w:type="dxa"/>
          <w:trHeight w:val="357" w:hRule="atLeast"/>
        </w:trPr>
        <w:tc>
          <w:tcPr>
            <w:tcW w:w="11624" w:type="dxa"/>
            <w:gridSpan w:val="8"/>
            <w:tcBorders>
              <w:top w:val="nil"/>
              <w:left w:val="nil"/>
              <w:bottom w:val="nil"/>
              <w:right w:val="nil"/>
            </w:tcBorders>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5" w:type="dxa"/>
          <w:trHeight w:val="351" w:hRule="atLeast"/>
        </w:trPr>
        <w:tc>
          <w:tcPr>
            <w:tcW w:w="4581" w:type="dxa"/>
            <w:gridSpan w:val="3"/>
            <w:tcBorders>
              <w:top w:val="nil"/>
              <w:left w:val="nil"/>
              <w:bottom w:val="single" w:color="auto" w:sz="4" w:space="0"/>
              <w:right w:val="nil"/>
            </w:tcBorders>
            <w:vAlign w:val="bottom"/>
          </w:tcPr>
          <w:p>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部门（部门）：石家庄市鹿泉区大河镇人民政府(本级)</w:t>
            </w:r>
          </w:p>
        </w:tc>
        <w:tc>
          <w:tcPr>
            <w:tcW w:w="2945" w:type="dxa"/>
            <w:gridSpan w:val="2"/>
            <w:tcBorders>
              <w:top w:val="nil"/>
              <w:left w:val="nil"/>
              <w:bottom w:val="single" w:color="auto" w:sz="4" w:space="0"/>
              <w:right w:val="nil"/>
            </w:tcBorders>
            <w:vAlign w:val="bottom"/>
          </w:tcPr>
          <w:p>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4098" w:type="dxa"/>
            <w:gridSpan w:val="3"/>
            <w:tcBorders>
              <w:top w:val="nil"/>
              <w:left w:val="nil"/>
              <w:bottom w:val="single" w:color="auto" w:sz="4" w:space="0"/>
              <w:right w:val="nil"/>
            </w:tcBorders>
            <w:vAlign w:val="bottom"/>
          </w:tcPr>
          <w:p>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金额部门：万元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5" w:type="dxa"/>
          <w:trHeight w:val="544" w:hRule="atLeast"/>
        </w:trPr>
        <w:tc>
          <w:tcPr>
            <w:tcW w:w="5897" w:type="dxa"/>
            <w:gridSpan w:val="4"/>
            <w:tcBorders>
              <w:top w:val="single" w:color="auto"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5727" w:type="dxa"/>
            <w:gridSpan w:val="4"/>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5" w:type="dxa"/>
          <w:trHeight w:val="308" w:hRule="atLeast"/>
        </w:trPr>
        <w:tc>
          <w:tcPr>
            <w:tcW w:w="3345"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92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928"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5" w:type="dxa"/>
          <w:trHeight w:val="476" w:hRule="atLeast"/>
        </w:trPr>
        <w:tc>
          <w:tcPr>
            <w:tcW w:w="3345"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4" w:type="dxa"/>
            <w:tcBorders>
              <w:top w:val="nil"/>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92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4" w:type="dxa"/>
            <w:tcBorders>
              <w:top w:val="nil"/>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928"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5" w:type="dxa"/>
          <w:trHeight w:val="476" w:hRule="atLeast"/>
        </w:trPr>
        <w:tc>
          <w:tcPr>
            <w:tcW w:w="3345"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3,457.55</w:t>
            </w: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1,618.37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5" w:type="dxa"/>
          <w:trHeight w:val="476" w:hRule="atLeast"/>
        </w:trPr>
        <w:tc>
          <w:tcPr>
            <w:tcW w:w="3345"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458.01</w:t>
            </w: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5" w:type="dxa"/>
          <w:trHeight w:val="476" w:hRule="atLeast"/>
        </w:trPr>
        <w:tc>
          <w:tcPr>
            <w:tcW w:w="3345"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5" w:type="dxa"/>
          <w:trHeight w:val="476" w:hRule="atLeast"/>
        </w:trPr>
        <w:tc>
          <w:tcPr>
            <w:tcW w:w="3345"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5" w:type="dxa"/>
          <w:trHeight w:val="476" w:hRule="atLeast"/>
        </w:trPr>
        <w:tc>
          <w:tcPr>
            <w:tcW w:w="3345"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247.89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5" w:type="dxa"/>
          <w:trHeight w:val="476" w:hRule="atLeast"/>
        </w:trPr>
        <w:tc>
          <w:tcPr>
            <w:tcW w:w="3345"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5" w:type="dxa"/>
          <w:trHeight w:val="476" w:hRule="atLeast"/>
        </w:trPr>
        <w:tc>
          <w:tcPr>
            <w:tcW w:w="3345"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七、附属部门上缴收入</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30.24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5" w:type="dxa"/>
          <w:trHeight w:val="476" w:hRule="atLeast"/>
        </w:trPr>
        <w:tc>
          <w:tcPr>
            <w:tcW w:w="3345"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9.00</w:t>
            </w: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302.23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5" w:type="dxa"/>
          <w:trHeight w:val="476" w:hRule="atLeast"/>
        </w:trPr>
        <w:tc>
          <w:tcPr>
            <w:tcW w:w="3345"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85.11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5" w:type="dxa"/>
          <w:trHeight w:val="476" w:hRule="atLeast"/>
        </w:trPr>
        <w:tc>
          <w:tcPr>
            <w:tcW w:w="3345"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5" w:type="dxa"/>
          <w:trHeight w:val="476" w:hRule="atLeast"/>
        </w:trPr>
        <w:tc>
          <w:tcPr>
            <w:tcW w:w="3345"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986.15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5" w:type="dxa"/>
          <w:trHeight w:val="476" w:hRule="atLeast"/>
        </w:trPr>
        <w:tc>
          <w:tcPr>
            <w:tcW w:w="3345"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493.65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5" w:type="dxa"/>
          <w:trHeight w:val="476" w:hRule="atLeast"/>
        </w:trPr>
        <w:tc>
          <w:tcPr>
            <w:tcW w:w="3345"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5" w:type="dxa"/>
          <w:trHeight w:val="476" w:hRule="atLeast"/>
        </w:trPr>
        <w:tc>
          <w:tcPr>
            <w:tcW w:w="3345" w:type="dxa"/>
            <w:tcBorders>
              <w:top w:val="nil"/>
              <w:left w:val="single" w:color="000000" w:sz="4" w:space="0"/>
              <w:bottom w:val="single" w:color="auto"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auto"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1928" w:type="dxa"/>
            <w:gridSpan w:val="2"/>
            <w:tcBorders>
              <w:top w:val="nil"/>
              <w:left w:val="nil"/>
              <w:bottom w:val="single" w:color="auto"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auto"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624" w:type="dxa"/>
            <w:tcBorders>
              <w:top w:val="nil"/>
              <w:left w:val="nil"/>
              <w:bottom w:val="single" w:color="auto"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1928" w:type="dxa"/>
            <w:tcBorders>
              <w:top w:val="nil"/>
              <w:left w:val="nil"/>
              <w:bottom w:val="single" w:color="auto"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5" w:type="dxa"/>
          <w:trHeight w:val="476" w:hRule="atLeast"/>
        </w:trPr>
        <w:tc>
          <w:tcPr>
            <w:tcW w:w="3345"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1928"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1928"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5" w:type="dxa"/>
          <w:trHeight w:val="476" w:hRule="atLeast"/>
        </w:trPr>
        <w:tc>
          <w:tcPr>
            <w:tcW w:w="3345"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1928"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1928"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5" w:type="dxa"/>
          <w:trHeight w:val="476" w:hRule="atLeast"/>
        </w:trPr>
        <w:tc>
          <w:tcPr>
            <w:tcW w:w="3345"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1928"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1928"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5" w:type="dxa"/>
          <w:trHeight w:val="476" w:hRule="atLeast"/>
        </w:trPr>
        <w:tc>
          <w:tcPr>
            <w:tcW w:w="3345"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1928"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1928"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5" w:type="dxa"/>
          <w:trHeight w:val="476" w:hRule="atLeast"/>
        </w:trPr>
        <w:tc>
          <w:tcPr>
            <w:tcW w:w="3345"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1928"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1928"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112.35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5" w:type="dxa"/>
          <w:trHeight w:val="476" w:hRule="atLeast"/>
        </w:trPr>
        <w:tc>
          <w:tcPr>
            <w:tcW w:w="3345"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1928"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1928"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5" w:type="dxa"/>
          <w:trHeight w:val="476" w:hRule="atLeast"/>
        </w:trPr>
        <w:tc>
          <w:tcPr>
            <w:tcW w:w="3345" w:type="dxa"/>
            <w:tcBorders>
              <w:top w:val="single" w:color="auto" w:sz="4" w:space="0"/>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1928" w:type="dxa"/>
            <w:gridSpan w:val="2"/>
            <w:tcBorders>
              <w:top w:val="single" w:color="auto" w:sz="4" w:space="0"/>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624" w:type="dxa"/>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1928" w:type="dxa"/>
            <w:tcBorders>
              <w:top w:val="single" w:color="auto" w:sz="4" w:space="0"/>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5" w:type="dxa"/>
          <w:trHeight w:val="476" w:hRule="atLeast"/>
        </w:trPr>
        <w:tc>
          <w:tcPr>
            <w:tcW w:w="3345"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28.56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5" w:type="dxa"/>
          <w:trHeight w:val="476" w:hRule="atLeast"/>
        </w:trPr>
        <w:tc>
          <w:tcPr>
            <w:tcW w:w="3345"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5" w:type="dxa"/>
          <w:trHeight w:val="476" w:hRule="atLeast"/>
        </w:trPr>
        <w:tc>
          <w:tcPr>
            <w:tcW w:w="3345"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5" w:type="dxa"/>
          <w:trHeight w:val="476" w:hRule="atLeast"/>
        </w:trPr>
        <w:tc>
          <w:tcPr>
            <w:tcW w:w="3345"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5" w:type="dxa"/>
          <w:trHeight w:val="476" w:hRule="atLeast"/>
        </w:trPr>
        <w:tc>
          <w:tcPr>
            <w:tcW w:w="3345"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5" w:type="dxa"/>
          <w:trHeight w:val="476" w:hRule="atLeast"/>
        </w:trPr>
        <w:tc>
          <w:tcPr>
            <w:tcW w:w="3345"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3,924.55</w:t>
            </w: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3,924.55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5" w:type="dxa"/>
          <w:trHeight w:val="476" w:hRule="atLeast"/>
        </w:trPr>
        <w:tc>
          <w:tcPr>
            <w:tcW w:w="3345"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5" w:type="dxa"/>
          <w:trHeight w:val="476" w:hRule="atLeast"/>
        </w:trPr>
        <w:tc>
          <w:tcPr>
            <w:tcW w:w="3345"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817.83</w:t>
            </w: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817.83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5" w:type="dxa"/>
          <w:trHeight w:val="476" w:hRule="atLeast"/>
        </w:trPr>
        <w:tc>
          <w:tcPr>
            <w:tcW w:w="3345"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5" w:type="dxa"/>
          <w:trHeight w:val="308" w:hRule="atLeast"/>
        </w:trPr>
        <w:tc>
          <w:tcPr>
            <w:tcW w:w="3345"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1928"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4,742.39</w:t>
            </w:r>
          </w:p>
        </w:tc>
        <w:tc>
          <w:tcPr>
            <w:tcW w:w="317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19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4,742.39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1659" w:type="dxa"/>
            <w:gridSpan w:val="9"/>
            <w:tcBorders>
              <w:top w:val="nil"/>
              <w:left w:val="nil"/>
              <w:bottom w:val="nil"/>
              <w:right w:val="nil"/>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3"/>
        <w:tblW w:w="9230" w:type="dxa"/>
        <w:jc w:val="center"/>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vAlign w:val="bottom"/>
          </w:tcPr>
          <w:p>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部门（部门）：石家庄市鹿泉区大河镇人民政府(本级)                                                                                                         </w:t>
            </w:r>
          </w:p>
        </w:tc>
        <w:tc>
          <w:tcPr>
            <w:tcW w:w="3405" w:type="dxa"/>
            <w:gridSpan w:val="4"/>
            <w:tcBorders>
              <w:top w:val="nil"/>
              <w:left w:val="nil"/>
              <w:bottom w:val="single" w:color="auto" w:sz="4" w:space="0"/>
              <w:right w:val="nil"/>
            </w:tcBorders>
            <w:vAlign w:val="bottom"/>
          </w:tcPr>
          <w:p>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vAlign w:val="bottom"/>
          </w:tcPr>
          <w:p>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金额部门：万元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附属部门上缴收入</w:t>
            </w:r>
          </w:p>
        </w:tc>
        <w:tc>
          <w:tcPr>
            <w:tcW w:w="964" w:type="dxa"/>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3,924.55</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3,915.55</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9.00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一般公共服务支出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1,618.37</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1,618.37</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政府办公厅（室）及相关机构事务</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1,618.37</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1,618.37</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2010301</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1,074.59</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1,074.59</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2010302</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543.78</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543.78</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205</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教育支出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247.89</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247.89</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20502</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普通教育</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247.89</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247.89</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2050202</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小学教育</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247.89</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247.89</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文化旅游体育与传媒支出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30.24</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30.24</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20701</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文化和旅游</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30.24</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30.24</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2070109</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群众文化</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30.24</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30.24</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302.23</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302.23</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行政事业部门养老支出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217.39</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217.39</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2080501</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行政部门离退休</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109.62</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109.62</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机关事业部门基本养老保险缴费支出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107.77</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107.77</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20809</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退役安置</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66.20</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66.20</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2080901</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退役士兵安置</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66.20</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66.20</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20825</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其他生活救助</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18.64</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18.64</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2082502</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其他农村生活救助</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18.64</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18.64</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85.11</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85.11</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21001</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卫生健康管理事务</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10.35</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10.35</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2100102</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10.35</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10.35</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行政事业部门医疗</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74.76</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74.76</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2101101</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行政部门医疗</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74.76</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74.76</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211</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节能环保支出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20.00</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20.00</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21103</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污染防治</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20.00</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20.00</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2110301</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大气</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20.00</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20.00</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986.15</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977.15</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21202</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城乡社区规划与管理</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50.00</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50.00</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2120201</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城乡社区规划与管理</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50.00</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50.00</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21203</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城乡社区公共设施</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469.15</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469.15</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2120399</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其他城乡社区公共设施支出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469.15</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469.15</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21205</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城乡社区环境卫生</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9.00</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2120501</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城乡社区环境卫生</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9.00</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21208</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国有土地使用权出让收入安排的支出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458.01</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458.01</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2120802</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土地开发支出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365.95</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365.95</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2120804</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农村基础设施建设支出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92.06</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92.06</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农林水支出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493.65</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493.65</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21301</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农业农村</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26.84</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26.84</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2130199</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其他农业农村支出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26.84</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26.84</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21305</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巩固拓展脱贫攻坚成果衔接乡村振兴</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50.00</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50.00</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2130599</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其他巩固拓展脱贫攻坚成果衔接乡村振兴支出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50.00</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50.00</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21307</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农村综合改革</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416.81</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416.81</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2130701</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对村级公益事业建设的补助</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165.79</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165.79</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bookmarkStart w:id="0" w:name="_GoBack"/>
            <w:bookmarkEnd w:id="0"/>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2130706</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对村集体经济组织的补助</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251.02</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251.02</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112.35</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112.35</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112.35</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112.35</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112.35</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112.35</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224</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灾害防治及应急管理支出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28.56</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28.56</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22401</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应急管理事务</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28.56</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28.56</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2240199</w:t>
            </w:r>
          </w:p>
        </w:tc>
        <w:tc>
          <w:tcPr>
            <w:tcW w:w="1160"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其他应急管理支出</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28.56</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28.56</w:t>
            </w:r>
          </w:p>
        </w:tc>
        <w:tc>
          <w:tcPr>
            <w:tcW w:w="103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3"/>
        <w:tblW w:w="9346" w:type="dxa"/>
        <w:jc w:val="center"/>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jc w:val="center"/>
        </w:trPr>
        <w:tc>
          <w:tcPr>
            <w:tcW w:w="9346" w:type="dxa"/>
            <w:gridSpan w:val="10"/>
            <w:tcBorders>
              <w:top w:val="nil"/>
              <w:left w:val="nil"/>
              <w:bottom w:val="nil"/>
              <w:right w:val="nil"/>
            </w:tcBorders>
            <w:vAlign w:val="bottom"/>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jc w:val="center"/>
        </w:trPr>
        <w:tc>
          <w:tcPr>
            <w:tcW w:w="9346" w:type="dxa"/>
            <w:gridSpan w:val="10"/>
            <w:tcBorders>
              <w:top w:val="nil"/>
              <w:left w:val="nil"/>
              <w:bottom w:val="nil"/>
              <w:right w:val="nil"/>
            </w:tcBorders>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jc w:val="center"/>
        </w:trPr>
        <w:tc>
          <w:tcPr>
            <w:tcW w:w="3481" w:type="dxa"/>
            <w:gridSpan w:val="4"/>
            <w:tcBorders>
              <w:top w:val="nil"/>
              <w:left w:val="nil"/>
              <w:bottom w:val="single" w:color="auto" w:sz="4" w:space="0"/>
              <w:right w:val="nil"/>
            </w:tcBorders>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部门（部门）：石家庄市鹿泉区大河镇人民政府(本级)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2623" w:type="dxa"/>
            <w:gridSpan w:val="3"/>
            <w:tcBorders>
              <w:top w:val="nil"/>
              <w:left w:val="nil"/>
              <w:bottom w:val="single" w:color="auto" w:sz="4" w:space="0"/>
              <w:right w:val="nil"/>
            </w:tcBorders>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242" w:type="dxa"/>
            <w:gridSpan w:val="3"/>
            <w:tcBorders>
              <w:top w:val="nil"/>
              <w:left w:val="nil"/>
              <w:bottom w:val="single" w:color="auto" w:sz="4" w:space="0"/>
              <w:right w:val="nil"/>
            </w:tcBorders>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金额部门：万元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jc w:val="center"/>
        </w:trPr>
        <w:tc>
          <w:tcPr>
            <w:tcW w:w="2227" w:type="dxa"/>
            <w:gridSpan w:val="2"/>
            <w:tcBorders>
              <w:top w:val="single" w:color="auto"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128" w:type="dxa"/>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1126" w:type="dxa"/>
            <w:gridSpan w:val="2"/>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126" w:type="dxa"/>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1126" w:type="dxa"/>
            <w:gridSpan w:val="2"/>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1126" w:type="dxa"/>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1487" w:type="dxa"/>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对附属部门补助支出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vMerge w:val="restart"/>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87" w:type="dxa"/>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28"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vMerge w:val="continue"/>
            <w:tcBorders>
              <w:top w:val="nil"/>
              <w:left w:val="single" w:color="000000" w:sz="4" w:space="0"/>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87" w:type="dxa"/>
            <w:vMerge w:val="continue"/>
            <w:tcBorders>
              <w:top w:val="nil"/>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8"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vMerge w:val="continue"/>
            <w:tcBorders>
              <w:top w:val="nil"/>
              <w:left w:val="single" w:color="000000" w:sz="4" w:space="0"/>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87" w:type="dxa"/>
            <w:vMerge w:val="continue"/>
            <w:tcBorders>
              <w:top w:val="nil"/>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8"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54" w:hRule="atLeast"/>
          <w:jc w:val="center"/>
        </w:trPr>
        <w:tc>
          <w:tcPr>
            <w:tcW w:w="2227"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28"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1126"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126"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126"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126"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487"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2227"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3,924.55</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1,479.98</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2,444.58</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1,618.37</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1,075.48</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542.89</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1,618.37</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1,075.48</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542.89</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2010301</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1,074.59</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1,074.59</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2010302</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543.78</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0.89</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542.89</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教育支出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247.89</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247.89</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20502</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普通教育</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247.89</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247.89</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2050202</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小学教育</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247.89</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247.89</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文化旅游体育与传媒支出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30.24</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30.24</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20701</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文化和旅游</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30.24</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30.24</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2070109</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群众文化</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30.24</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30.24</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302.23</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217.39</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84.84</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行政事业部门养老支出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217.39</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217.39</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行政部门离退休</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109.62</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109.62</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机关事业部门基本养老保险缴费支出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107.77</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107.77</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20809</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退役安置</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66.20</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66.20</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2080901</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退役士兵安置</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66.20</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66.20</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20825</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其他生活救助</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18.64</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18.64</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2082502</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其他农村生活救助</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18.64</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18.64</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85.11</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74.76</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10.35</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21001</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卫生健康管理事务</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10.35</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10.35</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2100102</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10.35</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10.35</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行政事业部门医疗</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74.76</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74.76</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行政部门医疗</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74.76</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74.76</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节能环保支出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20.00</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20.00</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21103</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污染防治</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20.00</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20.00</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2110301</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大气</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20.00</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20.00</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986.15</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986.15</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21202</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城乡社区规划与管理</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50.00</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50.00</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2120201</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城乡社区规划与管理</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50.00</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50.00</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城乡社区公共设施</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469.15</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469.15</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2120399</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其他城乡社区公共设施支出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469.15</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469.15</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21205</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城乡社区环境卫生</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9.00</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9.00</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2120501</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城乡社区环境卫生</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9.00</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9.00</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国有土地使用权出让收入安排的支出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458.01</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458.01</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2120802</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土地开发支出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365.95</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365.95</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2120804</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农村基础设施建设支出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92.06</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92.06</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农林水支出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493.65</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493.65</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农业农村</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26.84</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26.84</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2130199</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其他农业农村支出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26.84</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26.84</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21305</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巩固拓展脱贫攻坚成果衔接乡村振兴</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50.00</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50.00</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2130599</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其他巩固拓展脱贫攻坚成果衔接乡村振兴支出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50.00</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50.00</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农村综合改革</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416.81</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416.81</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2130701</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对村级公益事业建设的补助</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165.79</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165.79</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2130706</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对村集体经济组织的补助</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251.02</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251.02</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112.35</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112.35</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112.35</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112.35</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112.35</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112.35</w:t>
            </w: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224</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灾害防治及应急管理支出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28.56</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28.56</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22401</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应急管理事务</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28.56</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28.56</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2240199</w:t>
            </w:r>
          </w:p>
        </w:tc>
        <w:tc>
          <w:tcPr>
            <w:tcW w:w="1187"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其他应急管理支出</w:t>
            </w:r>
          </w:p>
        </w:tc>
        <w:tc>
          <w:tcPr>
            <w:tcW w:w="1128"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28.56</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28.56</w:t>
            </w:r>
          </w:p>
        </w:tc>
        <w:tc>
          <w:tcPr>
            <w:tcW w:w="1126"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9346" w:type="dxa"/>
            <w:gridSpan w:val="10"/>
            <w:tcBorders>
              <w:top w:val="nil"/>
              <w:left w:val="nil"/>
              <w:bottom w:val="nil"/>
              <w:right w:val="nil"/>
            </w:tcBorders>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3"/>
        <w:tblW w:w="11709" w:type="dxa"/>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trPr>
        <w:tc>
          <w:tcPr>
            <w:tcW w:w="11709" w:type="dxa"/>
            <w:gridSpan w:val="11"/>
            <w:tcBorders>
              <w:top w:val="nil"/>
              <w:left w:val="nil"/>
              <w:bottom w:val="nil"/>
              <w:right w:val="nil"/>
            </w:tcBorders>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11709" w:type="dxa"/>
            <w:gridSpan w:val="11"/>
            <w:tcBorders>
              <w:top w:val="nil"/>
              <w:left w:val="nil"/>
              <w:bottom w:val="nil"/>
              <w:right w:val="nil"/>
            </w:tcBorders>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5694" w:type="dxa"/>
            <w:gridSpan w:val="4"/>
            <w:tcBorders>
              <w:top w:val="nil"/>
              <w:left w:val="nil"/>
              <w:bottom w:val="single" w:color="auto" w:sz="4" w:space="0"/>
              <w:right w:val="nil"/>
            </w:tcBorders>
            <w:vAlign w:val="bottom"/>
          </w:tcPr>
          <w:p>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部门（部门）：石家庄市鹿泉区大河镇人民政府(本级)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521" w:type="dxa"/>
            <w:gridSpan w:val="3"/>
            <w:tcBorders>
              <w:top w:val="nil"/>
              <w:left w:val="nil"/>
              <w:bottom w:val="single" w:color="auto" w:sz="4" w:space="0"/>
              <w:right w:val="nil"/>
            </w:tcBorders>
            <w:vAlign w:val="bottom"/>
          </w:tcPr>
          <w:p>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4494" w:type="dxa"/>
            <w:gridSpan w:val="4"/>
            <w:tcBorders>
              <w:top w:val="nil"/>
              <w:left w:val="nil"/>
              <w:bottom w:val="single" w:color="auto" w:sz="4" w:space="0"/>
              <w:right w:val="nil"/>
            </w:tcBorders>
            <w:vAlign w:val="bottom"/>
          </w:tcPr>
          <w:p>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金额部门：万元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4035" w:type="dxa"/>
            <w:gridSpan w:val="3"/>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7674" w:type="dxa"/>
            <w:gridSpan w:val="8"/>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984" w:type="dxa"/>
            <w:vMerge w:val="restart"/>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624" w:type="dxa"/>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427" w:type="dxa"/>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2098" w:type="dxa"/>
            <w:gridSpan w:val="2"/>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295" w:type="dxa"/>
            <w:gridSpan w:val="2"/>
            <w:vMerge w:val="restart"/>
            <w:tcBorders>
              <w:top w:val="nil"/>
              <w:left w:val="nil"/>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1219" w:type="dxa"/>
            <w:vMerge w:val="restart"/>
            <w:tcBorders>
              <w:top w:val="nil"/>
              <w:left w:val="nil"/>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1219" w:type="dxa"/>
            <w:vMerge w:val="restart"/>
            <w:tcBorders>
              <w:top w:val="nil"/>
              <w:left w:val="nil"/>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1219" w:type="dxa"/>
            <w:vMerge w:val="restart"/>
            <w:tcBorders>
              <w:top w:val="nil"/>
              <w:left w:val="nil"/>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984" w:type="dxa"/>
            <w:vMerge w:val="continue"/>
            <w:tcBorders>
              <w:top w:val="nil"/>
              <w:left w:val="single" w:color="000000" w:sz="4" w:space="0"/>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4"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27"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98" w:type="dxa"/>
            <w:gridSpan w:val="2"/>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4"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295" w:type="dxa"/>
            <w:gridSpan w:val="2"/>
            <w:vMerge w:val="continue"/>
            <w:tcBorders>
              <w:left w:val="nil"/>
              <w:bottom w:val="single" w:color="000000" w:sz="4" w:space="0"/>
              <w:right w:val="single" w:color="000000" w:sz="8"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624" w:type="dxa"/>
            <w:tcBorders>
              <w:top w:val="nil"/>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427"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624" w:type="dxa"/>
            <w:tcBorders>
              <w:top w:val="nil"/>
              <w:left w:val="nil"/>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295"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219"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219"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1219" w:type="dxa"/>
            <w:tcBorders>
              <w:top w:val="nil"/>
              <w:left w:val="nil"/>
              <w:bottom w:val="single" w:color="000000" w:sz="4" w:space="0"/>
              <w:right w:val="single" w:color="000000" w:sz="8"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3,457.55</w:t>
            </w: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1,618.37</w:t>
            </w: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1,618.37</w:t>
            </w: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458.01</w:t>
            </w: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247.89</w:t>
            </w: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247.89</w:t>
            </w: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30.24</w:t>
            </w: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30.24</w:t>
            </w: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302.23</w:t>
            </w: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302.23</w:t>
            </w: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85.11</w:t>
            </w: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85.11</w:t>
            </w: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20.00</w:t>
            </w: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20.00</w:t>
            </w: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977.15</w:t>
            </w: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519.15</w:t>
            </w: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458.01</w:t>
            </w: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auto"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auto"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1427" w:type="dxa"/>
            <w:tcBorders>
              <w:top w:val="nil"/>
              <w:left w:val="nil"/>
              <w:bottom w:val="single" w:color="auto"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auto"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624" w:type="dxa"/>
            <w:tcBorders>
              <w:top w:val="nil"/>
              <w:left w:val="nil"/>
              <w:bottom w:val="single" w:color="auto"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1295" w:type="dxa"/>
            <w:gridSpan w:val="2"/>
            <w:tcBorders>
              <w:top w:val="nil"/>
              <w:left w:val="nil"/>
              <w:bottom w:val="single" w:color="auto"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493.65</w:t>
            </w:r>
          </w:p>
        </w:tc>
        <w:tc>
          <w:tcPr>
            <w:tcW w:w="1219" w:type="dxa"/>
            <w:tcBorders>
              <w:top w:val="nil"/>
              <w:left w:val="nil"/>
              <w:bottom w:val="single" w:color="auto"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493.65</w:t>
            </w:r>
          </w:p>
        </w:tc>
        <w:tc>
          <w:tcPr>
            <w:tcW w:w="1219" w:type="dxa"/>
            <w:tcBorders>
              <w:top w:val="nil"/>
              <w:left w:val="nil"/>
              <w:bottom w:val="single" w:color="auto"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1427"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129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1427"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129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1427"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129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1427"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129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1427"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129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1427"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129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1427"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129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112.35</w:t>
            </w: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112.35</w:t>
            </w: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1427"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129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1427"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129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1427"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129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28.56</w:t>
            </w: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28.56</w:t>
            </w: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1427"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62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129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000000" w:sz="4" w:space="0"/>
              <w:bottom w:val="single" w:color="000000" w:sz="4" w:space="0"/>
              <w:right w:val="single" w:color="000000" w:sz="4" w:space="0"/>
            </w:tcBorders>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1427" w:type="dxa"/>
            <w:tcBorders>
              <w:top w:val="single" w:color="auto" w:sz="4" w:space="0"/>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624" w:type="dxa"/>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1295" w:type="dxa"/>
            <w:gridSpan w:val="2"/>
            <w:tcBorders>
              <w:top w:val="single" w:color="auto" w:sz="4" w:space="0"/>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jc w:val="center"/>
              <w:rPr>
                <w:rFonts w:hint="eastAsia" w:ascii="宋体" w:hAnsi="宋体" w:eastAsia="宋体" w:cs="宋体"/>
                <w:b/>
                <w:bCs/>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3,915.55</w:t>
            </w: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3,915.55</w:t>
            </w: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3,457.55</w:t>
            </w: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458.01</w:t>
            </w:r>
          </w:p>
        </w:tc>
        <w:tc>
          <w:tcPr>
            <w:tcW w:w="1219" w:type="dxa"/>
            <w:tcBorders>
              <w:top w:val="nil"/>
              <w:left w:val="nil"/>
              <w:bottom w:val="single" w:color="000000" w:sz="4"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817.83</w:t>
            </w:r>
          </w:p>
        </w:tc>
        <w:tc>
          <w:tcPr>
            <w:tcW w:w="2098" w:type="dxa"/>
            <w:gridSpan w:val="2"/>
            <w:tcBorders>
              <w:top w:val="nil"/>
              <w:left w:val="nil"/>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817.83</w:t>
            </w: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817.83</w:t>
            </w: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both"/>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817.83</w:t>
            </w:r>
          </w:p>
        </w:tc>
        <w:tc>
          <w:tcPr>
            <w:tcW w:w="2098" w:type="dxa"/>
            <w:gridSpan w:val="2"/>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14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1295"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8"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8"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1427" w:type="dxa"/>
            <w:tcBorders>
              <w:top w:val="nil"/>
              <w:left w:val="nil"/>
              <w:bottom w:val="single" w:color="000000" w:sz="8"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4,733.39</w:t>
            </w:r>
          </w:p>
        </w:tc>
        <w:tc>
          <w:tcPr>
            <w:tcW w:w="2098" w:type="dxa"/>
            <w:gridSpan w:val="2"/>
            <w:tcBorders>
              <w:top w:val="nil"/>
              <w:left w:val="nil"/>
              <w:bottom w:val="single" w:color="000000" w:sz="8"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8"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1295" w:type="dxa"/>
            <w:gridSpan w:val="2"/>
            <w:tcBorders>
              <w:top w:val="nil"/>
              <w:left w:val="nil"/>
              <w:bottom w:val="single" w:color="000000" w:sz="8"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4,733.39</w:t>
            </w:r>
          </w:p>
        </w:tc>
        <w:tc>
          <w:tcPr>
            <w:tcW w:w="1219" w:type="dxa"/>
            <w:tcBorders>
              <w:top w:val="nil"/>
              <w:left w:val="nil"/>
              <w:bottom w:val="single" w:color="000000" w:sz="8" w:space="0"/>
              <w:right w:val="single" w:color="000000" w:sz="4" w:space="0"/>
            </w:tcBorders>
            <w:vAlign w:val="center"/>
          </w:tcPr>
          <w:p>
            <w:pPr>
              <w:jc w:val="right"/>
              <w:rPr>
                <w:rFonts w:hint="default" w:ascii="Times New Roman" w:hAnsi="Times New Roman" w:cs="Times New Roman"/>
                <w:sz w:val="20"/>
                <w:szCs w:val="20"/>
                <w:highlight w:val="none"/>
              </w:rPr>
            </w:pPr>
          </w:p>
          <w:p>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4,275.38</w:t>
            </w:r>
          </w:p>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8"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458.01</w:t>
            </w:r>
          </w:p>
        </w:tc>
        <w:tc>
          <w:tcPr>
            <w:tcW w:w="1219" w:type="dxa"/>
            <w:tcBorders>
              <w:top w:val="nil"/>
              <w:left w:val="nil"/>
              <w:bottom w:val="single" w:color="000000" w:sz="8" w:space="0"/>
              <w:right w:val="single" w:color="000000" w:sz="8"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1709" w:type="dxa"/>
            <w:gridSpan w:val="11"/>
            <w:tcBorders>
              <w:top w:val="nil"/>
              <w:left w:val="nil"/>
              <w:bottom w:val="nil"/>
              <w:right w:val="nil"/>
            </w:tcBorders>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3"/>
        <w:tblW w:w="8696" w:type="dxa"/>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807"/>
        <w:gridCol w:w="3407"/>
        <w:gridCol w:w="1038"/>
        <w:gridCol w:w="478"/>
        <w:gridCol w:w="499"/>
        <w:gridCol w:w="546"/>
        <w:gridCol w:w="92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57" w:hRule="atLeast"/>
        </w:trPr>
        <w:tc>
          <w:tcPr>
            <w:tcW w:w="8696" w:type="dxa"/>
            <w:gridSpan w:val="7"/>
            <w:tcBorders>
              <w:top w:val="nil"/>
              <w:left w:val="nil"/>
              <w:bottom w:val="nil"/>
              <w:right w:val="nil"/>
            </w:tcBorders>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29" w:hRule="atLeast"/>
        </w:trPr>
        <w:tc>
          <w:tcPr>
            <w:tcW w:w="8696" w:type="dxa"/>
            <w:gridSpan w:val="7"/>
            <w:tcBorders>
              <w:top w:val="nil"/>
              <w:left w:val="nil"/>
              <w:bottom w:val="nil"/>
              <w:right w:val="nil"/>
            </w:tcBorders>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29" w:hRule="atLeast"/>
        </w:trPr>
        <w:tc>
          <w:tcPr>
            <w:tcW w:w="6252" w:type="dxa"/>
            <w:gridSpan w:val="3"/>
            <w:tcBorders>
              <w:top w:val="nil"/>
              <w:left w:val="nil"/>
              <w:bottom w:val="single" w:color="auto" w:sz="4" w:space="0"/>
              <w:right w:val="nil"/>
            </w:tcBorders>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编制部门（部门）：石家庄市鹿泉区大河镇人民政府(本级)</w:t>
            </w:r>
          </w:p>
        </w:tc>
        <w:tc>
          <w:tcPr>
            <w:tcW w:w="977" w:type="dxa"/>
            <w:gridSpan w:val="2"/>
            <w:tcBorders>
              <w:top w:val="nil"/>
              <w:left w:val="nil"/>
              <w:bottom w:val="single" w:color="auto" w:sz="4" w:space="0"/>
              <w:right w:val="nil"/>
            </w:tcBorders>
            <w:vAlign w:val="bottom"/>
          </w:tcPr>
          <w:p>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467" w:type="dxa"/>
            <w:gridSpan w:val="2"/>
            <w:tcBorders>
              <w:top w:val="nil"/>
              <w:left w:val="nil"/>
              <w:bottom w:val="single" w:color="auto" w:sz="4" w:space="0"/>
              <w:right w:val="nil"/>
            </w:tcBorders>
            <w:vAlign w:val="bottom"/>
          </w:tcPr>
          <w:p>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金额部门：万元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52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482" w:type="dxa"/>
            <w:gridSpan w:val="5"/>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9" w:hRule="atLeast"/>
        </w:trPr>
        <w:tc>
          <w:tcPr>
            <w:tcW w:w="1807" w:type="dxa"/>
            <w:vMerge w:val="restart"/>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3407" w:type="dxa"/>
            <w:vMerge w:val="restart"/>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516" w:type="dxa"/>
            <w:gridSpan w:val="2"/>
            <w:vMerge w:val="restart"/>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045" w:type="dxa"/>
            <w:gridSpan w:val="2"/>
            <w:vMerge w:val="restart"/>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921" w:type="dxa"/>
            <w:vMerge w:val="restart"/>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46" w:hRule="atLeast"/>
        </w:trPr>
        <w:tc>
          <w:tcPr>
            <w:tcW w:w="1807"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3407"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516" w:type="dxa"/>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045" w:type="dxa"/>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921"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9" w:hRule="atLeast"/>
        </w:trPr>
        <w:tc>
          <w:tcPr>
            <w:tcW w:w="1807"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3407"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516" w:type="dxa"/>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1045" w:type="dxa"/>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i w:val="0"/>
                <w:iCs w:val="0"/>
                <w:color w:val="000000"/>
                <w:sz w:val="20"/>
                <w:szCs w:val="20"/>
                <w:highlight w:val="none"/>
                <w:u w:val="none"/>
              </w:rPr>
            </w:pPr>
          </w:p>
        </w:tc>
        <w:tc>
          <w:tcPr>
            <w:tcW w:w="921"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9" w:hRule="atLeast"/>
        </w:trPr>
        <w:tc>
          <w:tcPr>
            <w:tcW w:w="52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516"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045"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921"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9" w:hRule="atLeast"/>
        </w:trPr>
        <w:tc>
          <w:tcPr>
            <w:tcW w:w="52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51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3,457.55</w:t>
            </w:r>
          </w:p>
        </w:tc>
        <w:tc>
          <w:tcPr>
            <w:tcW w:w="104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1,479.98</w:t>
            </w:r>
          </w:p>
        </w:tc>
        <w:tc>
          <w:tcPr>
            <w:tcW w:w="921"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1,977.57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80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340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151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1,618.37</w:t>
            </w:r>
          </w:p>
        </w:tc>
        <w:tc>
          <w:tcPr>
            <w:tcW w:w="104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1,075.48</w:t>
            </w:r>
          </w:p>
        </w:tc>
        <w:tc>
          <w:tcPr>
            <w:tcW w:w="921"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542.89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80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340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151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1,618.37</w:t>
            </w:r>
          </w:p>
        </w:tc>
        <w:tc>
          <w:tcPr>
            <w:tcW w:w="104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1,075.48</w:t>
            </w:r>
          </w:p>
        </w:tc>
        <w:tc>
          <w:tcPr>
            <w:tcW w:w="921"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542.89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80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2010301</w:t>
            </w:r>
          </w:p>
        </w:tc>
        <w:tc>
          <w:tcPr>
            <w:tcW w:w="340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51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1,074.59</w:t>
            </w:r>
          </w:p>
        </w:tc>
        <w:tc>
          <w:tcPr>
            <w:tcW w:w="104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1,074.59</w:t>
            </w:r>
          </w:p>
        </w:tc>
        <w:tc>
          <w:tcPr>
            <w:tcW w:w="921"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80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2010302</w:t>
            </w:r>
          </w:p>
        </w:tc>
        <w:tc>
          <w:tcPr>
            <w:tcW w:w="340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51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543.78</w:t>
            </w:r>
          </w:p>
        </w:tc>
        <w:tc>
          <w:tcPr>
            <w:tcW w:w="104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0.89</w:t>
            </w:r>
          </w:p>
        </w:tc>
        <w:tc>
          <w:tcPr>
            <w:tcW w:w="921"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542.89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80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w:t>
            </w:r>
          </w:p>
        </w:tc>
        <w:tc>
          <w:tcPr>
            <w:tcW w:w="340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教育支出</w:t>
            </w:r>
          </w:p>
        </w:tc>
        <w:tc>
          <w:tcPr>
            <w:tcW w:w="151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247.89</w:t>
            </w:r>
          </w:p>
        </w:tc>
        <w:tc>
          <w:tcPr>
            <w:tcW w:w="104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21"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247.89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80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20502</w:t>
            </w:r>
          </w:p>
        </w:tc>
        <w:tc>
          <w:tcPr>
            <w:tcW w:w="340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普通教育</w:t>
            </w:r>
          </w:p>
        </w:tc>
        <w:tc>
          <w:tcPr>
            <w:tcW w:w="151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247.89</w:t>
            </w:r>
          </w:p>
        </w:tc>
        <w:tc>
          <w:tcPr>
            <w:tcW w:w="104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21"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247.89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80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2050202</w:t>
            </w:r>
          </w:p>
        </w:tc>
        <w:tc>
          <w:tcPr>
            <w:tcW w:w="340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小学教育</w:t>
            </w:r>
          </w:p>
        </w:tc>
        <w:tc>
          <w:tcPr>
            <w:tcW w:w="151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247.89</w:t>
            </w:r>
          </w:p>
        </w:tc>
        <w:tc>
          <w:tcPr>
            <w:tcW w:w="104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21"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247.89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80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w:t>
            </w:r>
          </w:p>
        </w:tc>
        <w:tc>
          <w:tcPr>
            <w:tcW w:w="340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文化旅游体育与传媒支出</w:t>
            </w:r>
          </w:p>
        </w:tc>
        <w:tc>
          <w:tcPr>
            <w:tcW w:w="151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30.24</w:t>
            </w:r>
          </w:p>
        </w:tc>
        <w:tc>
          <w:tcPr>
            <w:tcW w:w="104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21"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30.24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80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20701</w:t>
            </w:r>
          </w:p>
        </w:tc>
        <w:tc>
          <w:tcPr>
            <w:tcW w:w="340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文化和旅游</w:t>
            </w:r>
          </w:p>
        </w:tc>
        <w:tc>
          <w:tcPr>
            <w:tcW w:w="151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30.24</w:t>
            </w:r>
          </w:p>
        </w:tc>
        <w:tc>
          <w:tcPr>
            <w:tcW w:w="104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21"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30.24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80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2070109</w:t>
            </w:r>
          </w:p>
        </w:tc>
        <w:tc>
          <w:tcPr>
            <w:tcW w:w="340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群众文化</w:t>
            </w:r>
          </w:p>
        </w:tc>
        <w:tc>
          <w:tcPr>
            <w:tcW w:w="151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30.24</w:t>
            </w:r>
          </w:p>
        </w:tc>
        <w:tc>
          <w:tcPr>
            <w:tcW w:w="104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21"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30.24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80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340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51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302.23</w:t>
            </w:r>
          </w:p>
        </w:tc>
        <w:tc>
          <w:tcPr>
            <w:tcW w:w="104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217.39</w:t>
            </w:r>
          </w:p>
        </w:tc>
        <w:tc>
          <w:tcPr>
            <w:tcW w:w="921"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84.84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80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340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行政事业部门养老支出</w:t>
            </w:r>
          </w:p>
        </w:tc>
        <w:tc>
          <w:tcPr>
            <w:tcW w:w="151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217.39</w:t>
            </w:r>
          </w:p>
        </w:tc>
        <w:tc>
          <w:tcPr>
            <w:tcW w:w="104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217.39</w:t>
            </w:r>
          </w:p>
        </w:tc>
        <w:tc>
          <w:tcPr>
            <w:tcW w:w="921"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80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340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行政部门离退休</w:t>
            </w:r>
          </w:p>
        </w:tc>
        <w:tc>
          <w:tcPr>
            <w:tcW w:w="151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109.62</w:t>
            </w:r>
          </w:p>
        </w:tc>
        <w:tc>
          <w:tcPr>
            <w:tcW w:w="104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109.62</w:t>
            </w:r>
          </w:p>
        </w:tc>
        <w:tc>
          <w:tcPr>
            <w:tcW w:w="921"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80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340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机关事业部门基本养老保险缴费支出</w:t>
            </w:r>
          </w:p>
        </w:tc>
        <w:tc>
          <w:tcPr>
            <w:tcW w:w="151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107.77</w:t>
            </w:r>
          </w:p>
        </w:tc>
        <w:tc>
          <w:tcPr>
            <w:tcW w:w="104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107.77</w:t>
            </w:r>
          </w:p>
        </w:tc>
        <w:tc>
          <w:tcPr>
            <w:tcW w:w="921"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80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20809</w:t>
            </w:r>
          </w:p>
        </w:tc>
        <w:tc>
          <w:tcPr>
            <w:tcW w:w="340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退役安置</w:t>
            </w:r>
          </w:p>
        </w:tc>
        <w:tc>
          <w:tcPr>
            <w:tcW w:w="151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66.20</w:t>
            </w:r>
          </w:p>
        </w:tc>
        <w:tc>
          <w:tcPr>
            <w:tcW w:w="104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21"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66.20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80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2080901</w:t>
            </w:r>
          </w:p>
        </w:tc>
        <w:tc>
          <w:tcPr>
            <w:tcW w:w="340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退役士兵安置</w:t>
            </w:r>
          </w:p>
        </w:tc>
        <w:tc>
          <w:tcPr>
            <w:tcW w:w="151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66.20</w:t>
            </w:r>
          </w:p>
        </w:tc>
        <w:tc>
          <w:tcPr>
            <w:tcW w:w="104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21"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66.20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80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20825</w:t>
            </w:r>
          </w:p>
        </w:tc>
        <w:tc>
          <w:tcPr>
            <w:tcW w:w="340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其他生活救助</w:t>
            </w:r>
          </w:p>
        </w:tc>
        <w:tc>
          <w:tcPr>
            <w:tcW w:w="151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18.64</w:t>
            </w:r>
          </w:p>
        </w:tc>
        <w:tc>
          <w:tcPr>
            <w:tcW w:w="104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21"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18.64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80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2082502</w:t>
            </w:r>
          </w:p>
        </w:tc>
        <w:tc>
          <w:tcPr>
            <w:tcW w:w="340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其他农村生活救助</w:t>
            </w:r>
          </w:p>
        </w:tc>
        <w:tc>
          <w:tcPr>
            <w:tcW w:w="151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18.64</w:t>
            </w:r>
          </w:p>
        </w:tc>
        <w:tc>
          <w:tcPr>
            <w:tcW w:w="104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21"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18.64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80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340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51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85.11</w:t>
            </w:r>
          </w:p>
        </w:tc>
        <w:tc>
          <w:tcPr>
            <w:tcW w:w="104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74.76</w:t>
            </w:r>
          </w:p>
        </w:tc>
        <w:tc>
          <w:tcPr>
            <w:tcW w:w="921"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10.35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80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21001</w:t>
            </w:r>
          </w:p>
        </w:tc>
        <w:tc>
          <w:tcPr>
            <w:tcW w:w="340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卫生健康管理事务</w:t>
            </w:r>
          </w:p>
        </w:tc>
        <w:tc>
          <w:tcPr>
            <w:tcW w:w="151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10.35</w:t>
            </w:r>
          </w:p>
        </w:tc>
        <w:tc>
          <w:tcPr>
            <w:tcW w:w="104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21"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10.35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80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2100102</w:t>
            </w:r>
          </w:p>
        </w:tc>
        <w:tc>
          <w:tcPr>
            <w:tcW w:w="340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51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10.35</w:t>
            </w:r>
          </w:p>
        </w:tc>
        <w:tc>
          <w:tcPr>
            <w:tcW w:w="104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21"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10.35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80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340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行政事业部门医疗</w:t>
            </w:r>
          </w:p>
        </w:tc>
        <w:tc>
          <w:tcPr>
            <w:tcW w:w="151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74.76</w:t>
            </w:r>
          </w:p>
        </w:tc>
        <w:tc>
          <w:tcPr>
            <w:tcW w:w="104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74.76</w:t>
            </w:r>
          </w:p>
        </w:tc>
        <w:tc>
          <w:tcPr>
            <w:tcW w:w="921"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80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340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行政部门医疗</w:t>
            </w:r>
          </w:p>
        </w:tc>
        <w:tc>
          <w:tcPr>
            <w:tcW w:w="151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74.76</w:t>
            </w:r>
          </w:p>
        </w:tc>
        <w:tc>
          <w:tcPr>
            <w:tcW w:w="104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74.76</w:t>
            </w:r>
          </w:p>
        </w:tc>
        <w:tc>
          <w:tcPr>
            <w:tcW w:w="921"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80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w:t>
            </w:r>
          </w:p>
        </w:tc>
        <w:tc>
          <w:tcPr>
            <w:tcW w:w="340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节能环保支出</w:t>
            </w:r>
          </w:p>
        </w:tc>
        <w:tc>
          <w:tcPr>
            <w:tcW w:w="151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20.00</w:t>
            </w:r>
          </w:p>
        </w:tc>
        <w:tc>
          <w:tcPr>
            <w:tcW w:w="104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21"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80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21103</w:t>
            </w:r>
          </w:p>
        </w:tc>
        <w:tc>
          <w:tcPr>
            <w:tcW w:w="340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污染防治</w:t>
            </w:r>
          </w:p>
        </w:tc>
        <w:tc>
          <w:tcPr>
            <w:tcW w:w="151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20.00</w:t>
            </w:r>
          </w:p>
        </w:tc>
        <w:tc>
          <w:tcPr>
            <w:tcW w:w="104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21"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80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2110301</w:t>
            </w:r>
          </w:p>
        </w:tc>
        <w:tc>
          <w:tcPr>
            <w:tcW w:w="340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大气</w:t>
            </w:r>
          </w:p>
        </w:tc>
        <w:tc>
          <w:tcPr>
            <w:tcW w:w="151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20.00</w:t>
            </w:r>
          </w:p>
        </w:tc>
        <w:tc>
          <w:tcPr>
            <w:tcW w:w="104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21"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80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340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151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519.15</w:t>
            </w:r>
          </w:p>
        </w:tc>
        <w:tc>
          <w:tcPr>
            <w:tcW w:w="104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21"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519.15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80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21202</w:t>
            </w:r>
          </w:p>
        </w:tc>
        <w:tc>
          <w:tcPr>
            <w:tcW w:w="340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城乡社区规划与管理</w:t>
            </w:r>
          </w:p>
        </w:tc>
        <w:tc>
          <w:tcPr>
            <w:tcW w:w="151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50.00</w:t>
            </w:r>
          </w:p>
        </w:tc>
        <w:tc>
          <w:tcPr>
            <w:tcW w:w="104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21"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80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2120201</w:t>
            </w:r>
          </w:p>
        </w:tc>
        <w:tc>
          <w:tcPr>
            <w:tcW w:w="340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城乡社区规划与管理</w:t>
            </w:r>
          </w:p>
        </w:tc>
        <w:tc>
          <w:tcPr>
            <w:tcW w:w="151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50.00</w:t>
            </w:r>
          </w:p>
        </w:tc>
        <w:tc>
          <w:tcPr>
            <w:tcW w:w="104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21"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80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w:t>
            </w:r>
          </w:p>
        </w:tc>
        <w:tc>
          <w:tcPr>
            <w:tcW w:w="340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城乡社区公共设施</w:t>
            </w:r>
          </w:p>
        </w:tc>
        <w:tc>
          <w:tcPr>
            <w:tcW w:w="151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469.15</w:t>
            </w:r>
          </w:p>
        </w:tc>
        <w:tc>
          <w:tcPr>
            <w:tcW w:w="104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21"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469.15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80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2120399</w:t>
            </w:r>
          </w:p>
        </w:tc>
        <w:tc>
          <w:tcPr>
            <w:tcW w:w="340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其他城乡社区公共设施支出</w:t>
            </w:r>
          </w:p>
        </w:tc>
        <w:tc>
          <w:tcPr>
            <w:tcW w:w="151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469.15</w:t>
            </w:r>
          </w:p>
        </w:tc>
        <w:tc>
          <w:tcPr>
            <w:tcW w:w="104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21"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469.15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80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w:t>
            </w:r>
          </w:p>
        </w:tc>
        <w:tc>
          <w:tcPr>
            <w:tcW w:w="340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农林水支出</w:t>
            </w:r>
          </w:p>
        </w:tc>
        <w:tc>
          <w:tcPr>
            <w:tcW w:w="151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493.65</w:t>
            </w:r>
          </w:p>
        </w:tc>
        <w:tc>
          <w:tcPr>
            <w:tcW w:w="104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21"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493.65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80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w:t>
            </w:r>
          </w:p>
        </w:tc>
        <w:tc>
          <w:tcPr>
            <w:tcW w:w="340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农业农村</w:t>
            </w:r>
          </w:p>
        </w:tc>
        <w:tc>
          <w:tcPr>
            <w:tcW w:w="151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26.84</w:t>
            </w:r>
          </w:p>
        </w:tc>
        <w:tc>
          <w:tcPr>
            <w:tcW w:w="104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21"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26.84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80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2130199</w:t>
            </w:r>
          </w:p>
        </w:tc>
        <w:tc>
          <w:tcPr>
            <w:tcW w:w="340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其他农业农村支出</w:t>
            </w:r>
          </w:p>
        </w:tc>
        <w:tc>
          <w:tcPr>
            <w:tcW w:w="151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26.84</w:t>
            </w:r>
          </w:p>
        </w:tc>
        <w:tc>
          <w:tcPr>
            <w:tcW w:w="104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21"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26.84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80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21305</w:t>
            </w:r>
          </w:p>
        </w:tc>
        <w:tc>
          <w:tcPr>
            <w:tcW w:w="340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巩固拓展脱贫攻坚成果衔接乡村振兴</w:t>
            </w:r>
          </w:p>
        </w:tc>
        <w:tc>
          <w:tcPr>
            <w:tcW w:w="151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50.00</w:t>
            </w:r>
          </w:p>
        </w:tc>
        <w:tc>
          <w:tcPr>
            <w:tcW w:w="104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21"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80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2130599</w:t>
            </w:r>
          </w:p>
        </w:tc>
        <w:tc>
          <w:tcPr>
            <w:tcW w:w="340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其他巩固拓展脱贫攻坚成果衔接乡村振兴支出</w:t>
            </w:r>
          </w:p>
        </w:tc>
        <w:tc>
          <w:tcPr>
            <w:tcW w:w="151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50.00</w:t>
            </w:r>
          </w:p>
        </w:tc>
        <w:tc>
          <w:tcPr>
            <w:tcW w:w="104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21"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80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w:t>
            </w:r>
          </w:p>
        </w:tc>
        <w:tc>
          <w:tcPr>
            <w:tcW w:w="340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农村综合改革</w:t>
            </w:r>
          </w:p>
        </w:tc>
        <w:tc>
          <w:tcPr>
            <w:tcW w:w="151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416.81</w:t>
            </w:r>
          </w:p>
        </w:tc>
        <w:tc>
          <w:tcPr>
            <w:tcW w:w="104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21"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416.81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80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2130701</w:t>
            </w:r>
          </w:p>
        </w:tc>
        <w:tc>
          <w:tcPr>
            <w:tcW w:w="340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对村级公益事业建设的补助</w:t>
            </w:r>
          </w:p>
        </w:tc>
        <w:tc>
          <w:tcPr>
            <w:tcW w:w="151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165.79</w:t>
            </w:r>
          </w:p>
        </w:tc>
        <w:tc>
          <w:tcPr>
            <w:tcW w:w="104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21"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165.79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80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2130706</w:t>
            </w:r>
          </w:p>
        </w:tc>
        <w:tc>
          <w:tcPr>
            <w:tcW w:w="340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对村集体经济组织的补助</w:t>
            </w:r>
          </w:p>
        </w:tc>
        <w:tc>
          <w:tcPr>
            <w:tcW w:w="151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251.02</w:t>
            </w:r>
          </w:p>
        </w:tc>
        <w:tc>
          <w:tcPr>
            <w:tcW w:w="104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21"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251.02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80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340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51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112.35</w:t>
            </w:r>
          </w:p>
        </w:tc>
        <w:tc>
          <w:tcPr>
            <w:tcW w:w="104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112.35</w:t>
            </w:r>
          </w:p>
        </w:tc>
        <w:tc>
          <w:tcPr>
            <w:tcW w:w="921"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80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340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51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112.35</w:t>
            </w:r>
          </w:p>
        </w:tc>
        <w:tc>
          <w:tcPr>
            <w:tcW w:w="104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112.35</w:t>
            </w:r>
          </w:p>
        </w:tc>
        <w:tc>
          <w:tcPr>
            <w:tcW w:w="921"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80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340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51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112.35</w:t>
            </w:r>
          </w:p>
        </w:tc>
        <w:tc>
          <w:tcPr>
            <w:tcW w:w="104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112.35</w:t>
            </w:r>
          </w:p>
        </w:tc>
        <w:tc>
          <w:tcPr>
            <w:tcW w:w="921"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80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224</w:t>
            </w:r>
          </w:p>
        </w:tc>
        <w:tc>
          <w:tcPr>
            <w:tcW w:w="340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灾害防治及应急管理支出</w:t>
            </w:r>
          </w:p>
        </w:tc>
        <w:tc>
          <w:tcPr>
            <w:tcW w:w="151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28.56</w:t>
            </w:r>
          </w:p>
        </w:tc>
        <w:tc>
          <w:tcPr>
            <w:tcW w:w="104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21"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28.56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80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22401</w:t>
            </w:r>
          </w:p>
        </w:tc>
        <w:tc>
          <w:tcPr>
            <w:tcW w:w="340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应急管理事务</w:t>
            </w:r>
          </w:p>
        </w:tc>
        <w:tc>
          <w:tcPr>
            <w:tcW w:w="151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28.56</w:t>
            </w:r>
          </w:p>
        </w:tc>
        <w:tc>
          <w:tcPr>
            <w:tcW w:w="104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21"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28.56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80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2240199</w:t>
            </w:r>
          </w:p>
        </w:tc>
        <w:tc>
          <w:tcPr>
            <w:tcW w:w="340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其他应急管理支出</w:t>
            </w:r>
          </w:p>
        </w:tc>
        <w:tc>
          <w:tcPr>
            <w:tcW w:w="1516"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28.56</w:t>
            </w:r>
          </w:p>
        </w:tc>
        <w:tc>
          <w:tcPr>
            <w:tcW w:w="1045"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21"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28.56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8696" w:type="dxa"/>
            <w:gridSpan w:val="7"/>
            <w:tcBorders>
              <w:top w:val="single" w:color="auto" w:sz="4" w:space="0"/>
              <w:left w:val="nil"/>
              <w:bottom w:val="nil"/>
              <w:right w:val="nil"/>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3"/>
        <w:tblW w:w="11338" w:type="dxa"/>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24" w:hRule="atLeast"/>
        </w:trPr>
        <w:tc>
          <w:tcPr>
            <w:tcW w:w="11338" w:type="dxa"/>
            <w:gridSpan w:val="11"/>
            <w:tcBorders>
              <w:top w:val="nil"/>
              <w:left w:val="nil"/>
              <w:bottom w:val="nil"/>
              <w:right w:val="nil"/>
            </w:tcBorders>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11338" w:type="dxa"/>
            <w:gridSpan w:val="11"/>
            <w:tcBorders>
              <w:top w:val="nil"/>
              <w:left w:val="nil"/>
              <w:bottom w:val="nil"/>
              <w:right w:val="nil"/>
            </w:tcBorders>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0" w:hRule="atLeast"/>
        </w:trPr>
        <w:tc>
          <w:tcPr>
            <w:tcW w:w="5200" w:type="dxa"/>
            <w:gridSpan w:val="5"/>
            <w:tcBorders>
              <w:top w:val="nil"/>
              <w:left w:val="nil"/>
              <w:bottom w:val="single" w:color="auto" w:sz="4" w:space="0"/>
              <w:right w:val="nil"/>
            </w:tcBorders>
            <w:vAlign w:val="bottom"/>
          </w:tcPr>
          <w:p>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部门（部门）：石家庄市鹿泉区大河镇人民政府(本级)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1963" w:type="dxa"/>
            <w:gridSpan w:val="2"/>
            <w:tcBorders>
              <w:top w:val="nil"/>
              <w:left w:val="nil"/>
              <w:bottom w:val="single" w:color="auto" w:sz="4" w:space="0"/>
              <w:right w:val="nil"/>
            </w:tcBorders>
            <w:vAlign w:val="bottom"/>
          </w:tcPr>
          <w:p>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4175" w:type="dxa"/>
            <w:gridSpan w:val="4"/>
            <w:tcBorders>
              <w:top w:val="nil"/>
              <w:left w:val="nil"/>
              <w:bottom w:val="single" w:color="auto" w:sz="4" w:space="0"/>
              <w:right w:val="nil"/>
            </w:tcBorders>
            <w:vAlign w:val="bottom"/>
          </w:tcPr>
          <w:p>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金额部门：万元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3798" w:type="dxa"/>
            <w:gridSpan w:val="3"/>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7540" w:type="dxa"/>
            <w:gridSpan w:val="8"/>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1020"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1020"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1,208.47</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141.22</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266.62</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36.68</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277.21</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4.22</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10.93</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341.93</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机关事业部门基本养老保险缴费</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107.77</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20.61</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74.76</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20.68</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16.89</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112.35</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1.66</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130.29</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26.79</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96.33</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7.16</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0.01</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6.05</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8.37</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5.40</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37.55</w:t>
            </w: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181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1814"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2778" w:type="dxa"/>
            <w:gridSpan w:val="2"/>
            <w:tcBorders>
              <w:top w:val="single" w:color="auto" w:sz="4" w:space="0"/>
              <w:left w:val="single" w:color="auto" w:sz="4" w:space="0"/>
              <w:bottom w:val="single" w:color="auto" w:sz="4" w:space="0"/>
              <w:right w:val="single" w:color="auto" w:sz="4" w:space="0"/>
            </w:tcBorders>
            <w:vAlign w:val="center"/>
          </w:tcPr>
          <w:p>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1,338.76</w:t>
            </w:r>
          </w:p>
        </w:tc>
        <w:tc>
          <w:tcPr>
            <w:tcW w:w="6520" w:type="dxa"/>
            <w:gridSpan w:val="7"/>
            <w:tcBorders>
              <w:top w:val="single" w:color="auto" w:sz="4" w:space="0"/>
              <w:left w:val="single" w:color="auto" w:sz="4" w:space="0"/>
              <w:bottom w:val="single" w:color="auto" w:sz="4" w:space="0"/>
              <w:right w:val="single" w:color="auto" w:sz="4" w:space="0"/>
            </w:tcBorders>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1020"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141.22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11338" w:type="dxa"/>
            <w:gridSpan w:val="11"/>
            <w:tcBorders>
              <w:top w:val="single" w:color="auto" w:sz="4" w:space="0"/>
              <w:left w:val="nil"/>
              <w:bottom w:val="nil"/>
              <w:right w:val="nil"/>
            </w:tcBorders>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3"/>
        <w:tblW w:w="10480" w:type="dxa"/>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trPr>
        <w:tc>
          <w:tcPr>
            <w:tcW w:w="10480" w:type="dxa"/>
            <w:gridSpan w:val="9"/>
            <w:tcBorders>
              <w:top w:val="nil"/>
              <w:left w:val="nil"/>
              <w:bottom w:val="nil"/>
              <w:right w:val="nil"/>
            </w:tcBorders>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0" w:hRule="atLeast"/>
        </w:trPr>
        <w:tc>
          <w:tcPr>
            <w:tcW w:w="10480" w:type="dxa"/>
            <w:gridSpan w:val="9"/>
            <w:tcBorders>
              <w:top w:val="nil"/>
              <w:left w:val="nil"/>
              <w:bottom w:val="nil"/>
              <w:right w:val="nil"/>
            </w:tcBorders>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4040" w:type="dxa"/>
            <w:gridSpan w:val="3"/>
            <w:tcBorders>
              <w:top w:val="nil"/>
              <w:left w:val="nil"/>
              <w:bottom w:val="single" w:color="auto" w:sz="4" w:space="0"/>
              <w:right w:val="nil"/>
            </w:tcBorders>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部门（部门）：石家庄市鹿泉区大河镇人民政府(本级)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2552" w:type="dxa"/>
            <w:gridSpan w:val="3"/>
            <w:tcBorders>
              <w:top w:val="nil"/>
              <w:left w:val="nil"/>
              <w:bottom w:val="single" w:color="auto" w:sz="4" w:space="0"/>
              <w:right w:val="nil"/>
            </w:tcBorders>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888" w:type="dxa"/>
            <w:gridSpan w:val="3"/>
            <w:tcBorders>
              <w:top w:val="nil"/>
              <w:left w:val="nil"/>
              <w:bottom w:val="single" w:color="auto" w:sz="4" w:space="0"/>
              <w:right w:val="nil"/>
            </w:tcBorders>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金额部门：万元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2734" w:type="dxa"/>
            <w:gridSpan w:val="2"/>
            <w:tcBorders>
              <w:top w:val="single" w:color="auto"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306" w:type="dxa"/>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1027" w:type="dxa"/>
            <w:vMerge w:val="restart"/>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3373" w:type="dxa"/>
            <w:gridSpan w:val="4"/>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2040" w:type="dxa"/>
            <w:vMerge w:val="restart"/>
            <w:tcBorders>
              <w:top w:val="single" w:color="auto" w:sz="4" w:space="0"/>
              <w:left w:val="nil"/>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260" w:type="dxa"/>
            <w:vMerge w:val="restart"/>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474" w:type="dxa"/>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30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20" w:type="dxa"/>
            <w:gridSpan w:val="2"/>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146" w:type="dxa"/>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2040" w:type="dxa"/>
            <w:vMerge w:val="continue"/>
            <w:tcBorders>
              <w:left w:val="nil"/>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260" w:type="dxa"/>
            <w:vMerge w:val="continue"/>
            <w:tcBorders>
              <w:top w:val="nil"/>
              <w:left w:val="single" w:color="000000" w:sz="4" w:space="0"/>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74"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0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20" w:type="dxa"/>
            <w:gridSpan w:val="2"/>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46"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40" w:type="dxa"/>
            <w:vMerge w:val="continue"/>
            <w:tcBorders>
              <w:left w:val="nil"/>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260" w:type="dxa"/>
            <w:vMerge w:val="continue"/>
            <w:tcBorders>
              <w:top w:val="nil"/>
              <w:left w:val="single" w:color="000000" w:sz="4" w:space="0"/>
              <w:bottom w:val="single" w:color="auto"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74" w:type="dxa"/>
            <w:vMerge w:val="continue"/>
            <w:tcBorders>
              <w:top w:val="nil"/>
              <w:left w:val="nil"/>
              <w:bottom w:val="single" w:color="auto"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0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20" w:type="dxa"/>
            <w:gridSpan w:val="2"/>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46"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40" w:type="dxa"/>
            <w:vMerge w:val="continue"/>
            <w:tcBorders>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273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306" w:type="dxa"/>
            <w:tcBorders>
              <w:top w:val="nil"/>
              <w:left w:val="single" w:color="auto"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1027"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1107"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1120"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1146"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2040"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869" w:hRule="atLeast"/>
        </w:trPr>
        <w:tc>
          <w:tcPr>
            <w:tcW w:w="273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306" w:type="dxa"/>
            <w:tcBorders>
              <w:top w:val="nil"/>
              <w:left w:val="single" w:color="auto" w:sz="4" w:space="0"/>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458.01</w:t>
            </w:r>
          </w:p>
        </w:tc>
        <w:tc>
          <w:tcPr>
            <w:tcW w:w="110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458.01</w:t>
            </w:r>
          </w:p>
        </w:tc>
        <w:tc>
          <w:tcPr>
            <w:tcW w:w="1120"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458.01</w:t>
            </w:r>
          </w:p>
        </w:tc>
        <w:tc>
          <w:tcPr>
            <w:tcW w:w="2040"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1474"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130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458.01</w:t>
            </w:r>
          </w:p>
        </w:tc>
        <w:tc>
          <w:tcPr>
            <w:tcW w:w="110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458.01</w:t>
            </w:r>
          </w:p>
        </w:tc>
        <w:tc>
          <w:tcPr>
            <w:tcW w:w="1120"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458.01</w:t>
            </w:r>
          </w:p>
        </w:tc>
        <w:tc>
          <w:tcPr>
            <w:tcW w:w="2040"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w:t>
            </w:r>
          </w:p>
        </w:tc>
        <w:tc>
          <w:tcPr>
            <w:tcW w:w="1474"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国有土地使用权出让收入安排的支出</w:t>
            </w:r>
          </w:p>
        </w:tc>
        <w:tc>
          <w:tcPr>
            <w:tcW w:w="130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458.01</w:t>
            </w:r>
          </w:p>
        </w:tc>
        <w:tc>
          <w:tcPr>
            <w:tcW w:w="110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458.01</w:t>
            </w:r>
          </w:p>
        </w:tc>
        <w:tc>
          <w:tcPr>
            <w:tcW w:w="1120"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458.01</w:t>
            </w:r>
          </w:p>
        </w:tc>
        <w:tc>
          <w:tcPr>
            <w:tcW w:w="2040"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2120802</w:t>
            </w:r>
          </w:p>
        </w:tc>
        <w:tc>
          <w:tcPr>
            <w:tcW w:w="1474"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土地开发支出</w:t>
            </w:r>
          </w:p>
        </w:tc>
        <w:tc>
          <w:tcPr>
            <w:tcW w:w="130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365.95</w:t>
            </w:r>
          </w:p>
        </w:tc>
        <w:tc>
          <w:tcPr>
            <w:tcW w:w="110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365.95</w:t>
            </w:r>
          </w:p>
        </w:tc>
        <w:tc>
          <w:tcPr>
            <w:tcW w:w="1120"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365.95</w:t>
            </w:r>
          </w:p>
        </w:tc>
        <w:tc>
          <w:tcPr>
            <w:tcW w:w="2040"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2120804</w:t>
            </w:r>
          </w:p>
        </w:tc>
        <w:tc>
          <w:tcPr>
            <w:tcW w:w="1474"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农村基础设施建设支出</w:t>
            </w:r>
          </w:p>
        </w:tc>
        <w:tc>
          <w:tcPr>
            <w:tcW w:w="130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92.06</w:t>
            </w:r>
          </w:p>
        </w:tc>
        <w:tc>
          <w:tcPr>
            <w:tcW w:w="1107"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92.06</w:t>
            </w:r>
          </w:p>
        </w:tc>
        <w:tc>
          <w:tcPr>
            <w:tcW w:w="1120"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92.06</w:t>
            </w:r>
          </w:p>
        </w:tc>
        <w:tc>
          <w:tcPr>
            <w:tcW w:w="2040" w:type="dxa"/>
            <w:tcBorders>
              <w:top w:val="nil"/>
              <w:left w:val="nil"/>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0480" w:type="dxa"/>
            <w:gridSpan w:val="9"/>
            <w:tcBorders>
              <w:top w:val="nil"/>
              <w:left w:val="nil"/>
              <w:bottom w:val="nil"/>
              <w:right w:val="nil"/>
            </w:tcBorders>
            <w:vAlign w:val="center"/>
          </w:tcPr>
          <w:p>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3"/>
        <w:tblW w:w="9428" w:type="dxa"/>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trPr>
        <w:tc>
          <w:tcPr>
            <w:tcW w:w="9428" w:type="dxa"/>
            <w:gridSpan w:val="9"/>
            <w:tcBorders>
              <w:top w:val="nil"/>
              <w:left w:val="nil"/>
              <w:bottom w:val="nil"/>
              <w:right w:val="nil"/>
            </w:tcBorders>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9428" w:type="dxa"/>
            <w:gridSpan w:val="9"/>
            <w:tcBorders>
              <w:top w:val="nil"/>
              <w:left w:val="nil"/>
              <w:bottom w:val="nil"/>
              <w:right w:val="nil"/>
            </w:tcBorders>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3724" w:type="dxa"/>
            <w:gridSpan w:val="2"/>
            <w:tcBorders>
              <w:top w:val="nil"/>
              <w:left w:val="nil"/>
              <w:bottom w:val="single" w:color="auto" w:sz="4" w:space="0"/>
              <w:right w:val="nil"/>
            </w:tcBorders>
            <w:vAlign w:val="bottom"/>
          </w:tcPr>
          <w:p>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部门（部门）：石家庄市鹿泉区大河镇人民政府(本级)</w:t>
            </w:r>
          </w:p>
        </w:tc>
        <w:tc>
          <w:tcPr>
            <w:tcW w:w="2680" w:type="dxa"/>
            <w:gridSpan w:val="4"/>
            <w:tcBorders>
              <w:top w:val="nil"/>
              <w:left w:val="nil"/>
              <w:bottom w:val="single" w:color="auto" w:sz="4" w:space="0"/>
              <w:right w:val="nil"/>
            </w:tcBorders>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024" w:type="dxa"/>
            <w:gridSpan w:val="3"/>
            <w:tcBorders>
              <w:top w:val="nil"/>
              <w:left w:val="nil"/>
              <w:bottom w:val="single" w:color="auto" w:sz="4" w:space="0"/>
              <w:right w:val="nil"/>
            </w:tcBorders>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金额部门：万元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5020" w:type="dxa"/>
            <w:gridSpan w:val="3"/>
            <w:vMerge w:val="restart"/>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4408" w:type="dxa"/>
            <w:gridSpan w:val="6"/>
            <w:vMerge w:val="restart"/>
            <w:tcBorders>
              <w:top w:val="single" w:color="auto" w:sz="4" w:space="0"/>
              <w:left w:val="single" w:color="auto" w:sz="4" w:space="0"/>
              <w:right w:val="single" w:color="000000" w:sz="4" w:space="0"/>
            </w:tcBorders>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5020" w:type="dxa"/>
            <w:gridSpan w:val="3"/>
            <w:vMerge w:val="continue"/>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4408" w:type="dxa"/>
            <w:gridSpan w:val="6"/>
            <w:vMerge w:val="continue"/>
            <w:tcBorders>
              <w:left w:val="single" w:color="auto"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2993" w:type="dxa"/>
            <w:vMerge w:val="restart"/>
            <w:tcBorders>
              <w:top w:val="single" w:color="auto" w:sz="4" w:space="0"/>
              <w:left w:val="single" w:color="auto" w:sz="4" w:space="0"/>
              <w:bottom w:val="single" w:color="auto" w:sz="4" w:space="0"/>
              <w:right w:val="single" w:color="auto" w:sz="4" w:space="0"/>
            </w:tcBorders>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2027" w:type="dxa"/>
            <w:gridSpan w:val="2"/>
            <w:vMerge w:val="restart"/>
            <w:tcBorders>
              <w:top w:val="single" w:color="auto" w:sz="4" w:space="0"/>
              <w:left w:val="single" w:color="auto" w:sz="4" w:space="0"/>
              <w:bottom w:val="single" w:color="auto" w:sz="4" w:space="0"/>
              <w:right w:val="single" w:color="auto" w:sz="4" w:space="0"/>
            </w:tcBorders>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1337" w:type="dxa"/>
            <w:gridSpan w:val="2"/>
            <w:vMerge w:val="restart"/>
            <w:tcBorders>
              <w:top w:val="nil"/>
              <w:left w:val="single" w:color="auto"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1338" w:type="dxa"/>
            <w:gridSpan w:val="3"/>
            <w:vMerge w:val="restart"/>
            <w:tcBorders>
              <w:top w:val="nil"/>
              <w:left w:val="nil"/>
              <w:right w:val="single" w:color="000000" w:sz="4" w:space="0"/>
            </w:tcBorders>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1733" w:type="dxa"/>
            <w:vMerge w:val="restart"/>
            <w:tcBorders>
              <w:top w:val="nil"/>
              <w:left w:val="nil"/>
              <w:right w:val="single" w:color="000000" w:sz="4" w:space="0"/>
            </w:tcBorders>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2993" w:type="dxa"/>
            <w:vMerge w:val="continue"/>
            <w:tcBorders>
              <w:top w:val="single" w:color="auto" w:sz="4" w:space="0"/>
              <w:left w:val="single" w:color="auto" w:sz="4" w:space="0"/>
              <w:bottom w:val="single" w:color="auto"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27" w:type="dxa"/>
            <w:gridSpan w:val="2"/>
            <w:vMerge w:val="continue"/>
            <w:tcBorders>
              <w:top w:val="single" w:color="auto" w:sz="4" w:space="0"/>
              <w:left w:val="nil"/>
              <w:bottom w:val="single" w:color="auto" w:sz="4" w:space="0"/>
              <w:right w:val="single" w:color="auto"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37" w:type="dxa"/>
            <w:gridSpan w:val="2"/>
            <w:vMerge w:val="continue"/>
            <w:tcBorders>
              <w:left w:val="single" w:color="auto" w:sz="4" w:space="0"/>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38" w:type="dxa"/>
            <w:gridSpan w:val="3"/>
            <w:vMerge w:val="continue"/>
            <w:tcBorders>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733" w:type="dxa"/>
            <w:vMerge w:val="continue"/>
            <w:tcBorders>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5020" w:type="dxa"/>
            <w:gridSpan w:val="3"/>
            <w:tcBorders>
              <w:top w:val="single" w:color="auto" w:sz="4" w:space="0"/>
              <w:left w:val="single" w:color="auto" w:sz="4" w:space="0"/>
              <w:bottom w:val="single" w:color="000000" w:sz="4" w:space="0"/>
              <w:right w:val="single" w:color="auto" w:sz="4" w:space="0"/>
            </w:tcBorders>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1332" w:type="dxa"/>
            <w:tcBorders>
              <w:top w:val="nil"/>
              <w:left w:val="single" w:color="auto"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1333" w:type="dxa"/>
            <w:gridSpan w:val="3"/>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1743"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5020" w:type="dxa"/>
            <w:gridSpan w:val="3"/>
            <w:tcBorders>
              <w:top w:val="single" w:color="000000" w:sz="4" w:space="0"/>
              <w:left w:val="single" w:color="000000" w:sz="4" w:space="0"/>
              <w:bottom w:val="single" w:color="000000" w:sz="4" w:space="0"/>
              <w:right w:val="single" w:color="000000" w:sz="4" w:space="0"/>
            </w:tcBorders>
            <w:vAlign w:val="center"/>
          </w:tcPr>
          <w:p>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1332" w:type="dxa"/>
            <w:tcBorders>
              <w:top w:val="single" w:color="000000" w:sz="4" w:space="0"/>
              <w:left w:val="single" w:color="000000" w:sz="4" w:space="0"/>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33" w:type="dxa"/>
            <w:gridSpan w:val="3"/>
            <w:tcBorders>
              <w:top w:val="single" w:color="000000" w:sz="4" w:space="0"/>
              <w:left w:val="single" w:color="000000" w:sz="4" w:space="0"/>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743"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9428" w:type="dxa"/>
            <w:gridSpan w:val="9"/>
            <w:tcBorders>
              <w:top w:val="nil"/>
              <w:left w:val="nil"/>
              <w:bottom w:val="nil"/>
              <w:right w:val="nil"/>
            </w:tcBorders>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3"/>
        <w:tblpPr w:leftFromText="180" w:rightFromText="180" w:vertAnchor="text" w:horzAnchor="page" w:tblpX="282" w:tblpY="39"/>
        <w:tblOverlap w:val="never"/>
        <w:tblW w:w="1159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trPr>
        <w:tc>
          <w:tcPr>
            <w:tcW w:w="11596" w:type="dxa"/>
            <w:gridSpan w:val="14"/>
            <w:tcBorders>
              <w:top w:val="nil"/>
              <w:left w:val="nil"/>
              <w:bottom w:val="nil"/>
              <w:right w:val="nil"/>
            </w:tcBorders>
            <w:vAlign w:val="bottom"/>
          </w:tcPr>
          <w:p>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60" w:hRule="atLeast"/>
        </w:trPr>
        <w:tc>
          <w:tcPr>
            <w:tcW w:w="11596" w:type="dxa"/>
            <w:gridSpan w:val="14"/>
            <w:tcBorders>
              <w:top w:val="nil"/>
              <w:left w:val="nil"/>
              <w:bottom w:val="nil"/>
              <w:right w:val="nil"/>
            </w:tcBorders>
            <w:vAlign w:val="bottom"/>
          </w:tcPr>
          <w:p>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60" w:hRule="atLeast"/>
        </w:trPr>
        <w:tc>
          <w:tcPr>
            <w:tcW w:w="4492" w:type="dxa"/>
            <w:gridSpan w:val="5"/>
            <w:tcBorders>
              <w:top w:val="nil"/>
              <w:left w:val="nil"/>
              <w:bottom w:val="single" w:color="auto" w:sz="4" w:space="0"/>
              <w:right w:val="nil"/>
            </w:tcBorders>
            <w:vAlign w:val="bottom"/>
          </w:tcPr>
          <w:p>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部门（部门）：石家庄市鹿泉区大河镇人民政府(本级)</w:t>
            </w:r>
          </w:p>
        </w:tc>
        <w:tc>
          <w:tcPr>
            <w:tcW w:w="2166" w:type="dxa"/>
            <w:gridSpan w:val="3"/>
            <w:tcBorders>
              <w:top w:val="nil"/>
              <w:left w:val="nil"/>
              <w:bottom w:val="single" w:color="auto" w:sz="4" w:space="0"/>
              <w:right w:val="nil"/>
            </w:tcBorders>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4938" w:type="dxa"/>
            <w:gridSpan w:val="6"/>
            <w:tcBorders>
              <w:top w:val="nil"/>
              <w:left w:val="nil"/>
              <w:bottom w:val="single" w:color="auto" w:sz="4" w:space="0"/>
              <w:right w:val="nil"/>
            </w:tcBorders>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金额部门：万元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5813" w:type="dxa"/>
            <w:gridSpan w:val="7"/>
            <w:tcBorders>
              <w:top w:val="single" w:color="auto" w:sz="4"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5783" w:type="dxa"/>
            <w:gridSpan w:val="7"/>
            <w:tcBorders>
              <w:top w:val="single" w:color="auto" w:sz="4" w:space="0"/>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987" w:type="dxa"/>
            <w:vMerge w:val="restart"/>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1226" w:type="dxa"/>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2823" w:type="dxa"/>
            <w:gridSpan w:val="4"/>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777" w:type="dxa"/>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850" w:type="dxa"/>
            <w:gridSpan w:val="2"/>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1133" w:type="dxa"/>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2613" w:type="dxa"/>
            <w:gridSpan w:val="3"/>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1187" w:type="dxa"/>
            <w:vMerge w:val="restart"/>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987" w:type="dxa"/>
            <w:vMerge w:val="continue"/>
            <w:tcBorders>
              <w:top w:val="nil"/>
              <w:left w:val="single" w:color="000000" w:sz="4" w:space="0"/>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1226"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81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946"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1063"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777"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850" w:type="dxa"/>
            <w:gridSpan w:val="2"/>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1133"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640"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1027"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946"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1187"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987" w:type="dxa"/>
            <w:tcBorders>
              <w:top w:val="nil"/>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1226"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814"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946"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1063"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777"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850" w:type="dxa"/>
            <w:gridSpan w:val="2"/>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1133"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640"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1027"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946"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1187" w:type="dxa"/>
            <w:tcBorders>
              <w:top w:val="nil"/>
              <w:left w:val="nil"/>
              <w:bottom w:val="single" w:color="000000" w:sz="4" w:space="0"/>
              <w:right w:val="single" w:color="000000" w:sz="4" w:space="0"/>
            </w:tcBorders>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987" w:type="dxa"/>
            <w:tcBorders>
              <w:top w:val="nil"/>
              <w:left w:val="single" w:color="000000" w:sz="4" w:space="0"/>
              <w:bottom w:val="single" w:color="000000" w:sz="4" w:space="0"/>
              <w:right w:val="single" w:color="000000" w:sz="4" w:space="0"/>
            </w:tcBorders>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5.40</w:t>
            </w:r>
          </w:p>
        </w:tc>
        <w:tc>
          <w:tcPr>
            <w:tcW w:w="1226" w:type="dxa"/>
            <w:tcBorders>
              <w:top w:val="nil"/>
              <w:left w:val="nil"/>
              <w:bottom w:val="single" w:color="000000" w:sz="4" w:space="0"/>
              <w:right w:val="single" w:color="000000" w:sz="4" w:space="0"/>
            </w:tcBorders>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814" w:type="dxa"/>
            <w:tcBorders>
              <w:top w:val="nil"/>
              <w:left w:val="nil"/>
              <w:bottom w:val="single" w:color="000000" w:sz="4" w:space="0"/>
              <w:right w:val="single" w:color="000000" w:sz="4" w:space="0"/>
            </w:tcBorders>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5.40</w:t>
            </w:r>
          </w:p>
        </w:tc>
        <w:tc>
          <w:tcPr>
            <w:tcW w:w="946" w:type="dxa"/>
            <w:tcBorders>
              <w:top w:val="nil"/>
              <w:left w:val="nil"/>
              <w:bottom w:val="single" w:color="000000" w:sz="4" w:space="0"/>
              <w:right w:val="single" w:color="000000" w:sz="4" w:space="0"/>
            </w:tcBorders>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1063"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5.40</w:t>
            </w:r>
          </w:p>
        </w:tc>
        <w:tc>
          <w:tcPr>
            <w:tcW w:w="777" w:type="dxa"/>
            <w:tcBorders>
              <w:top w:val="nil"/>
              <w:left w:val="nil"/>
              <w:bottom w:val="single" w:color="000000" w:sz="4" w:space="0"/>
              <w:right w:val="single" w:color="000000" w:sz="4" w:space="0"/>
            </w:tcBorders>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850" w:type="dxa"/>
            <w:gridSpan w:val="2"/>
            <w:tcBorders>
              <w:top w:val="nil"/>
              <w:left w:val="nil"/>
              <w:bottom w:val="single" w:color="000000" w:sz="4" w:space="0"/>
              <w:right w:val="single" w:color="000000" w:sz="4" w:space="0"/>
            </w:tcBorders>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5.40</w:t>
            </w:r>
          </w:p>
        </w:tc>
        <w:tc>
          <w:tcPr>
            <w:tcW w:w="1133" w:type="dxa"/>
            <w:tcBorders>
              <w:top w:val="nil"/>
              <w:left w:val="nil"/>
              <w:bottom w:val="single" w:color="000000" w:sz="4" w:space="0"/>
              <w:right w:val="single" w:color="000000" w:sz="4" w:space="0"/>
            </w:tcBorders>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640" w:type="dxa"/>
            <w:tcBorders>
              <w:top w:val="nil"/>
              <w:left w:val="nil"/>
              <w:bottom w:val="single" w:color="000000" w:sz="4" w:space="0"/>
              <w:right w:val="single" w:color="000000" w:sz="4" w:space="0"/>
            </w:tcBorders>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5.40</w:t>
            </w:r>
          </w:p>
        </w:tc>
        <w:tc>
          <w:tcPr>
            <w:tcW w:w="1027" w:type="dxa"/>
            <w:tcBorders>
              <w:top w:val="nil"/>
              <w:left w:val="nil"/>
              <w:bottom w:val="single" w:color="000000" w:sz="4" w:space="0"/>
              <w:right w:val="single" w:color="000000" w:sz="4" w:space="0"/>
            </w:tcBorders>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946" w:type="dxa"/>
            <w:tcBorders>
              <w:top w:val="nil"/>
              <w:left w:val="nil"/>
              <w:bottom w:val="single" w:color="000000" w:sz="4" w:space="0"/>
              <w:right w:val="single" w:color="000000" w:sz="4" w:space="0"/>
            </w:tcBorders>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5.40</w:t>
            </w:r>
          </w:p>
        </w:tc>
        <w:tc>
          <w:tcPr>
            <w:tcW w:w="1187" w:type="dxa"/>
            <w:tcBorders>
              <w:top w:val="nil"/>
              <w:left w:val="nil"/>
              <w:bottom w:val="single" w:color="000000" w:sz="4" w:space="0"/>
              <w:right w:val="single" w:color="000000" w:sz="4" w:space="0"/>
            </w:tcBorders>
            <w:vAlign w:val="center"/>
          </w:tcPr>
          <w:p>
            <w:pPr>
              <w:jc w:val="right"/>
              <w:rPr>
                <w:rFonts w:hint="default" w:ascii="Times New Roman" w:hAnsi="Times New Roman" w:eastAsia="方正仿宋_GB2312" w:cs="Times New Roman"/>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11596" w:type="dxa"/>
            <w:gridSpan w:val="14"/>
            <w:tcBorders>
              <w:top w:val="nil"/>
              <w:left w:val="nil"/>
              <w:bottom w:val="nil"/>
              <w:right w:val="nil"/>
            </w:tcBorders>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9" w:type="default"/>
          <w:footerReference r:id="rId10"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   </w:t>
      </w:r>
      <w:r>
        <w:rPr>
          <w:rFonts w:ascii="Times New Roman" w:eastAsia="仿宋_GB2312"/>
          <w:b w:val="0"/>
          <w:sz w:val="44"/>
          <w:szCs w:val="44"/>
        </w:rPr>
        <w:t>2024</w:t>
      </w:r>
      <w:r>
        <w:rPr>
          <w:rFonts w:ascii="Times New Roman" w:eastAsia="黑体"/>
          <w:b w:val="0"/>
          <w:sz w:val="44"/>
          <w:szCs w:val="44"/>
        </w:rPr>
        <w:t>年度</w:t>
      </w:r>
      <w:r>
        <w:rPr>
          <w:rFonts w:hint="eastAsia" w:ascii="Times New Roman" w:eastAsia="黑体"/>
          <w:b w:val="0"/>
          <w:sz w:val="44"/>
          <w:szCs w:val="44"/>
          <w:lang w:eastAsia="zh-CN"/>
        </w:rPr>
        <w:t>部门</w:t>
      </w:r>
      <w:r>
        <w:rPr>
          <w:rFonts w:ascii="Times New Roman" w:eastAsia="黑体"/>
          <w:b w:val="0"/>
          <w:sz w:val="44"/>
          <w:szCs w:val="44"/>
        </w:rPr>
        <w:t>决算情况说明</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部门</w:t>
      </w:r>
      <w:r>
        <w:rPr>
          <w:rFonts w:ascii="Times New Roman" w:eastAsia="仿宋_GB2312"/>
          <w:b w:val="0"/>
          <w:sz w:val="32"/>
          <w:szCs w:val="32"/>
        </w:rPr>
        <w:t>2024年度收、支总计（含结转和结余）均为4,742.39万元。与2023年度决算相比，收支各减少98.42万元，下降2%，主要原因是</w:t>
      </w:r>
      <w:r>
        <w:rPr>
          <w:rFonts w:hint="eastAsia" w:ascii="Times New Roman" w:eastAsia="仿宋_GB2312"/>
          <w:b w:val="0"/>
          <w:sz w:val="32"/>
          <w:szCs w:val="32"/>
          <w:lang w:val="en-US" w:eastAsia="zh-CN"/>
        </w:rPr>
        <w:t>较2023年项目支出减少</w:t>
      </w:r>
      <w:r>
        <w:rPr>
          <w:rFonts w:ascii="Times New Roman" w:eastAsia="仿宋_GB2312"/>
          <w:b w:val="0"/>
          <w:sz w:val="32"/>
          <w:szCs w:val="32"/>
        </w:rPr>
        <w:t>。</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ascii="Times New Roman" w:eastAsia="黑体"/>
          <w:b w:val="0"/>
          <w:sz w:val="32"/>
          <w:szCs w:val="32"/>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部门</w:t>
      </w:r>
      <w:r>
        <w:rPr>
          <w:rFonts w:ascii="Times New Roman" w:eastAsia="仿宋_GB2312"/>
          <w:b w:val="0"/>
          <w:sz w:val="32"/>
          <w:szCs w:val="32"/>
        </w:rPr>
        <w:t>2024年度本年收入合计3,924.55万元，其中：财政拨款收入3,915.55万元，占99.8%；上级补助收入0万元，占0%；事业收入0万元，占0%；经营收入0万元，占0%；附属</w:t>
      </w:r>
      <w:r>
        <w:rPr>
          <w:rFonts w:hint="eastAsia" w:ascii="Times New Roman" w:eastAsia="仿宋_GB2312"/>
          <w:b w:val="0"/>
          <w:sz w:val="32"/>
          <w:szCs w:val="32"/>
          <w:lang w:eastAsia="zh-CN"/>
        </w:rPr>
        <w:t>部门</w:t>
      </w:r>
      <w:r>
        <w:rPr>
          <w:rFonts w:ascii="Times New Roman" w:eastAsia="仿宋_GB2312"/>
          <w:b w:val="0"/>
          <w:sz w:val="32"/>
          <w:szCs w:val="32"/>
        </w:rPr>
        <w:t>上缴收入0万元，占0%；其他收入9万元，占0.2%。</w:t>
      </w:r>
    </w:p>
    <w:p>
      <w:pPr>
        <w:adjustRightInd w:val="0"/>
        <w:snapToGrid w:val="0"/>
        <w:spacing w:line="580" w:lineRule="exact"/>
        <w:jc w:val="both"/>
        <w:rPr>
          <w:rFonts w:ascii="Times New Roman" w:eastAsia="黑体"/>
          <w:b w:val="0"/>
          <w:sz w:val="32"/>
          <w:szCs w:val="32"/>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部门</w:t>
      </w:r>
      <w:r>
        <w:rPr>
          <w:rFonts w:ascii="Times New Roman" w:eastAsia="仿宋_GB2312"/>
          <w:b w:val="0"/>
          <w:sz w:val="32"/>
          <w:szCs w:val="32"/>
        </w:rPr>
        <w:t>2024年度本年支出合计3,924.55万元，其中：基本支出1,479.98万元，占37.7%；项目支出2,444.58万元，占62.3%；上缴上级支出0万元，占0%；经营支出0万元，占0%；对附属</w:t>
      </w:r>
      <w:r>
        <w:rPr>
          <w:rFonts w:hint="eastAsia" w:ascii="Times New Roman" w:eastAsia="仿宋_GB2312"/>
          <w:b w:val="0"/>
          <w:sz w:val="32"/>
          <w:szCs w:val="32"/>
          <w:lang w:eastAsia="zh-CN"/>
        </w:rPr>
        <w:t>部门</w:t>
      </w:r>
      <w:r>
        <w:rPr>
          <w:rFonts w:ascii="Times New Roman" w:eastAsia="仿宋_GB2312"/>
          <w:b w:val="0"/>
          <w:sz w:val="32"/>
          <w:szCs w:val="32"/>
        </w:rPr>
        <w:t>补助支出0万元，占0%。</w:t>
      </w:r>
    </w:p>
    <w:p>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部门</w:t>
      </w:r>
      <w:r>
        <w:rPr>
          <w:rFonts w:ascii="Times New Roman" w:eastAsia="仿宋_GB2312"/>
          <w:b w:val="0"/>
          <w:sz w:val="32"/>
          <w:szCs w:val="32"/>
        </w:rPr>
        <w:t>2024年度财政拨款收、支总计（含结转和结余）均为4,733.39万元。与2023年度相比，财政拨款收支各减少107.35万元，降低2.2%，主要原因是</w:t>
      </w:r>
      <w:r>
        <w:rPr>
          <w:rFonts w:hint="eastAsia" w:ascii="Times New Roman" w:eastAsia="仿宋_GB2312"/>
          <w:b w:val="0"/>
          <w:sz w:val="32"/>
          <w:szCs w:val="32"/>
          <w:lang w:val="en-US" w:eastAsia="zh-CN"/>
        </w:rPr>
        <w:t>较2023年项目支出减少</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部门</w:t>
      </w:r>
      <w:r>
        <w:rPr>
          <w:rFonts w:ascii="Times New Roman" w:eastAsia="仿宋_GB2312"/>
          <w:b w:val="0"/>
          <w:sz w:val="32"/>
          <w:szCs w:val="32"/>
        </w:rPr>
        <w:t>2024年度财政拨款本年收入3,915.55万元,比上年减少107.35万元，降低2.7%，主要原因是</w:t>
      </w:r>
      <w:r>
        <w:rPr>
          <w:rFonts w:hint="eastAsia" w:ascii="Times New Roman" w:eastAsia="仿宋_GB2312"/>
          <w:b w:val="0"/>
          <w:sz w:val="32"/>
          <w:szCs w:val="32"/>
          <w:lang w:val="en-US" w:eastAsia="zh-CN"/>
        </w:rPr>
        <w:t>较2023年项目收入减少</w:t>
      </w:r>
      <w:r>
        <w:rPr>
          <w:rFonts w:ascii="Times New Roman" w:eastAsia="仿宋_GB2312"/>
          <w:b w:val="0"/>
          <w:sz w:val="32"/>
          <w:szCs w:val="32"/>
        </w:rPr>
        <w:t>；本年支出3,915.55万元，比上年减少107.35万元，降低2.7%，主要原因是</w:t>
      </w:r>
      <w:r>
        <w:rPr>
          <w:rFonts w:hint="eastAsia" w:ascii="Times New Roman" w:eastAsia="仿宋_GB2312"/>
          <w:b w:val="0"/>
          <w:sz w:val="32"/>
          <w:szCs w:val="32"/>
          <w:lang w:val="en-US" w:eastAsia="zh-CN"/>
        </w:rPr>
        <w:t>较2023年项目支出减少</w:t>
      </w:r>
      <w:r>
        <w:rPr>
          <w:rFonts w:ascii="Times New Roman" w:eastAsia="仿宋_GB2312"/>
          <w:b w:val="0"/>
          <w:sz w:val="32"/>
          <w:szCs w:val="32"/>
        </w:rPr>
        <w:t>。具体情况如下：</w:t>
      </w:r>
    </w:p>
    <w:p>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 一般公共预算财政拨款本年收入3,457.55万元,比上年减少543.76万元，降低13.6%，主要原因是</w:t>
      </w:r>
      <w:r>
        <w:rPr>
          <w:rFonts w:hint="eastAsia" w:ascii="Times New Roman" w:eastAsia="仿宋_GB2312"/>
          <w:b w:val="0"/>
          <w:sz w:val="32"/>
          <w:szCs w:val="32"/>
          <w:lang w:val="en-US" w:eastAsia="zh-CN"/>
        </w:rPr>
        <w:t>较2023年减少大河物流周边整治等项目</w:t>
      </w:r>
      <w:r>
        <w:rPr>
          <w:rFonts w:ascii="Times New Roman" w:eastAsia="仿宋_GB2312"/>
          <w:b w:val="0"/>
          <w:sz w:val="32"/>
          <w:szCs w:val="32"/>
        </w:rPr>
        <w:t>；本年支出3,457.55万元，比上年减少543.76万元，降低13.6%，主要原因是</w:t>
      </w:r>
      <w:r>
        <w:rPr>
          <w:rFonts w:hint="eastAsia" w:ascii="Times New Roman" w:eastAsia="仿宋_GB2312"/>
          <w:b w:val="0"/>
          <w:sz w:val="32"/>
          <w:szCs w:val="32"/>
          <w:lang w:val="en-US" w:eastAsia="zh-CN"/>
        </w:rPr>
        <w:t>较2023年减少大河物流周边整治等项目</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2. 政府性基金预算财政拨款本年收入458.01万元，比上年增加436.41万元，增长2,020.4%，主要原因是</w:t>
      </w:r>
      <w:r>
        <w:rPr>
          <w:rFonts w:hint="eastAsia" w:ascii="Times New Roman" w:eastAsia="仿宋_GB2312"/>
          <w:b w:val="0"/>
          <w:sz w:val="32"/>
          <w:szCs w:val="32"/>
          <w:lang w:val="en-US" w:eastAsia="zh-CN"/>
        </w:rPr>
        <w:t>较2023年增加</w:t>
      </w:r>
      <w:r>
        <w:rPr>
          <w:rFonts w:hint="eastAsia" w:ascii="Times New Roman" w:eastAsia="仿宋_GB2312"/>
          <w:b w:val="0"/>
          <w:sz w:val="32"/>
          <w:szCs w:val="32"/>
        </w:rPr>
        <w:t>退曲寨水泥铁路专用线资金</w:t>
      </w:r>
      <w:r>
        <w:rPr>
          <w:rFonts w:hint="eastAsia" w:ascii="Times New Roman" w:eastAsia="仿宋_GB2312"/>
          <w:b w:val="0"/>
          <w:sz w:val="32"/>
          <w:szCs w:val="32"/>
          <w:lang w:val="en-US" w:eastAsia="zh-CN"/>
        </w:rPr>
        <w:t>等项目</w:t>
      </w:r>
      <w:r>
        <w:rPr>
          <w:rFonts w:ascii="Times New Roman" w:eastAsia="仿宋_GB2312"/>
          <w:b w:val="0"/>
          <w:sz w:val="32"/>
          <w:szCs w:val="32"/>
        </w:rPr>
        <w:t>；本年支出458.01万元，比上年增加436.41万元，增长2,020.4%，主要原因是</w:t>
      </w:r>
      <w:r>
        <w:rPr>
          <w:rFonts w:hint="eastAsia" w:ascii="Times New Roman" w:eastAsia="仿宋_GB2312"/>
          <w:b w:val="0"/>
          <w:sz w:val="32"/>
          <w:szCs w:val="32"/>
          <w:lang w:val="en-US" w:eastAsia="zh-CN"/>
        </w:rPr>
        <w:t>较2023年增加</w:t>
      </w:r>
      <w:r>
        <w:rPr>
          <w:rFonts w:hint="eastAsia" w:ascii="Times New Roman" w:eastAsia="仿宋_GB2312"/>
          <w:b w:val="0"/>
          <w:sz w:val="32"/>
          <w:szCs w:val="32"/>
        </w:rPr>
        <w:t>退曲寨水泥铁路专用线资金</w:t>
      </w:r>
      <w:r>
        <w:rPr>
          <w:rFonts w:hint="eastAsia" w:ascii="Times New Roman" w:eastAsia="仿宋_GB2312"/>
          <w:b w:val="0"/>
          <w:sz w:val="32"/>
          <w:szCs w:val="32"/>
          <w:lang w:val="en-US" w:eastAsia="zh-CN"/>
        </w:rPr>
        <w:t>等项目</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国有资本经营预算财政拨款本年收入0万元，</w:t>
      </w:r>
      <w:r>
        <w:rPr>
          <w:rFonts w:hint="eastAsia" w:ascii="Times New Roman" w:eastAsia="仿宋_GB2312"/>
          <w:b w:val="0"/>
          <w:sz w:val="32"/>
          <w:szCs w:val="32"/>
          <w:lang w:val="en-US" w:eastAsia="zh-CN"/>
        </w:rPr>
        <w:t>与上年持平</w:t>
      </w:r>
      <w:r>
        <w:rPr>
          <w:rFonts w:ascii="Times New Roman" w:eastAsia="仿宋_GB2312"/>
          <w:b w:val="0"/>
          <w:sz w:val="32"/>
          <w:szCs w:val="32"/>
        </w:rPr>
        <w:t>；本年支出0万元，</w:t>
      </w:r>
      <w:r>
        <w:rPr>
          <w:rFonts w:hint="eastAsia" w:ascii="Times New Roman" w:eastAsia="仿宋_GB2312"/>
          <w:b w:val="0"/>
          <w:sz w:val="32"/>
          <w:szCs w:val="32"/>
          <w:lang w:val="en-US" w:eastAsia="zh-CN"/>
        </w:rPr>
        <w:t>与上年持平</w:t>
      </w:r>
      <w:r>
        <w:rPr>
          <w:rFonts w:ascii="Times New Roman" w:eastAsia="仿宋_GB2312"/>
          <w:b w:val="0"/>
          <w:sz w:val="32"/>
          <w:szCs w:val="32"/>
        </w:rPr>
        <w:t>。</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5600065"/>
            <wp:effectExtent l="4445" t="4445" r="15875" b="15240"/>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部门</w:t>
      </w:r>
      <w:r>
        <w:rPr>
          <w:rFonts w:ascii="Times New Roman" w:eastAsia="仿宋_GB2312"/>
          <w:b w:val="0"/>
          <w:sz w:val="32"/>
          <w:szCs w:val="32"/>
        </w:rPr>
        <w:t>2024年度财政拨款本年收入3,915.55万元，完成年初预算的97.8%，比年初预算减少86.61万元，决算数小于预算数主要原因是</w:t>
      </w:r>
      <w:r>
        <w:rPr>
          <w:rFonts w:hint="eastAsia" w:ascii="Times New Roman" w:eastAsia="仿宋_GB2312"/>
          <w:b w:val="0"/>
          <w:sz w:val="32"/>
          <w:szCs w:val="32"/>
        </w:rPr>
        <w:t>2024年大河镇高速路两侧人居环境整治支出</w:t>
      </w:r>
      <w:r>
        <w:rPr>
          <w:rFonts w:hint="eastAsia" w:ascii="Times New Roman" w:eastAsia="仿宋_GB2312"/>
          <w:b w:val="0"/>
          <w:sz w:val="32"/>
          <w:szCs w:val="32"/>
          <w:lang w:val="en-US" w:eastAsia="zh-CN"/>
        </w:rPr>
        <w:t>等项目支出减少</w:t>
      </w:r>
      <w:r>
        <w:rPr>
          <w:rFonts w:ascii="Times New Roman" w:eastAsia="仿宋_GB2312"/>
          <w:b w:val="0"/>
          <w:sz w:val="32"/>
          <w:szCs w:val="32"/>
        </w:rPr>
        <w:t> ；本年支出3,915.55万元，完成年初预算的97.8%，比年初预算减少86.61万元，决算数小于预算数主要原因是</w:t>
      </w:r>
      <w:r>
        <w:rPr>
          <w:rFonts w:hint="eastAsia" w:ascii="Times New Roman" w:eastAsia="仿宋_GB2312"/>
          <w:b w:val="0"/>
          <w:sz w:val="32"/>
          <w:szCs w:val="32"/>
        </w:rPr>
        <w:t>2024年大河镇高速路两侧人居环境整治支出</w:t>
      </w:r>
      <w:r>
        <w:rPr>
          <w:rFonts w:hint="eastAsia" w:ascii="Times New Roman" w:eastAsia="仿宋_GB2312"/>
          <w:b w:val="0"/>
          <w:sz w:val="32"/>
          <w:szCs w:val="32"/>
          <w:lang w:val="en-US" w:eastAsia="zh-CN"/>
        </w:rPr>
        <w:t>等项目支出减少</w:t>
      </w:r>
      <w:r>
        <w:rPr>
          <w:rFonts w:ascii="Times New Roman" w:eastAsia="仿宋_GB2312"/>
          <w:b w:val="0"/>
          <w:sz w:val="32"/>
          <w:szCs w:val="32"/>
        </w:rPr>
        <w:t>。具体情况如下：</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 一般公共预算财政拨款本年收入完成年初预算的98.4%，比年初预算减少56.61万元，主要原因是</w:t>
      </w:r>
      <w:r>
        <w:rPr>
          <w:rFonts w:hint="eastAsia" w:ascii="Times New Roman" w:eastAsia="仿宋_GB2312"/>
          <w:b w:val="0"/>
          <w:sz w:val="32"/>
          <w:szCs w:val="32"/>
        </w:rPr>
        <w:t>2024年大河镇高速路两侧人居环境整治支出</w:t>
      </w:r>
      <w:r>
        <w:rPr>
          <w:rFonts w:hint="eastAsia" w:ascii="Times New Roman" w:eastAsia="仿宋_GB2312"/>
          <w:b w:val="0"/>
          <w:sz w:val="32"/>
          <w:szCs w:val="32"/>
          <w:lang w:val="en-US" w:eastAsia="zh-CN"/>
        </w:rPr>
        <w:t>等项目支出减少</w:t>
      </w:r>
      <w:r>
        <w:rPr>
          <w:rFonts w:ascii="Times New Roman" w:eastAsia="仿宋_GB2312"/>
          <w:b w:val="0"/>
          <w:sz w:val="32"/>
          <w:szCs w:val="32"/>
        </w:rPr>
        <w:t>；支出完成年初预算的98.4%，比年初预算减少56.61万元，主要原因是</w:t>
      </w:r>
      <w:r>
        <w:rPr>
          <w:rFonts w:hint="eastAsia" w:ascii="Times New Roman" w:eastAsia="仿宋_GB2312"/>
          <w:b w:val="0"/>
          <w:sz w:val="32"/>
          <w:szCs w:val="32"/>
        </w:rPr>
        <w:t>2024年大河镇高速路两侧人居环境整治支出</w:t>
      </w:r>
      <w:r>
        <w:rPr>
          <w:rFonts w:hint="eastAsia" w:ascii="Times New Roman" w:eastAsia="仿宋_GB2312"/>
          <w:b w:val="0"/>
          <w:sz w:val="32"/>
          <w:szCs w:val="32"/>
          <w:lang w:val="en-US" w:eastAsia="zh-CN"/>
        </w:rPr>
        <w:t>等项目支出减少</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政府性基金预算财政拨款本年收入完成年初预算的93.9%，比年初预算减少30万元，主要原因是</w:t>
      </w:r>
      <w:r>
        <w:rPr>
          <w:rFonts w:hint="eastAsia" w:ascii="Times New Roman" w:eastAsia="仿宋_GB2312"/>
          <w:b w:val="0"/>
          <w:sz w:val="32"/>
          <w:szCs w:val="32"/>
        </w:rPr>
        <w:t>2024年区级曲寨村给水管道改造工程</w:t>
      </w:r>
      <w:r>
        <w:rPr>
          <w:rFonts w:hint="eastAsia" w:ascii="Times New Roman" w:eastAsia="仿宋_GB2312"/>
          <w:b w:val="0"/>
          <w:sz w:val="32"/>
          <w:szCs w:val="32"/>
          <w:lang w:val="en-US" w:eastAsia="zh-CN"/>
        </w:rPr>
        <w:t>项目未支出</w:t>
      </w:r>
      <w:r>
        <w:rPr>
          <w:rFonts w:ascii="Times New Roman" w:eastAsia="仿宋_GB2312"/>
          <w:b w:val="0"/>
          <w:sz w:val="32"/>
          <w:szCs w:val="32"/>
        </w:rPr>
        <w:t>；支出完成年初预算的93.9%，比年初预算减少30万元，主要原因是</w:t>
      </w:r>
      <w:r>
        <w:rPr>
          <w:rFonts w:hint="eastAsia" w:ascii="Times New Roman" w:eastAsia="仿宋_GB2312"/>
          <w:b w:val="0"/>
          <w:sz w:val="32"/>
          <w:szCs w:val="32"/>
        </w:rPr>
        <w:t>2024年区级曲寨村给水管道改造工程</w:t>
      </w:r>
      <w:r>
        <w:rPr>
          <w:rFonts w:hint="eastAsia" w:ascii="Times New Roman" w:eastAsia="仿宋_GB2312"/>
          <w:b w:val="0"/>
          <w:sz w:val="32"/>
          <w:szCs w:val="32"/>
          <w:lang w:val="en-US" w:eastAsia="zh-CN"/>
        </w:rPr>
        <w:t>项目支出减少</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国有资本经营预算财政拨款本年收入完成年初预算的0 %，</w:t>
      </w:r>
      <w:r>
        <w:rPr>
          <w:rFonts w:hint="eastAsia" w:ascii="Times New Roman" w:eastAsia="仿宋_GB2312"/>
          <w:b w:val="0"/>
          <w:sz w:val="32"/>
          <w:szCs w:val="32"/>
          <w:lang w:val="en-US" w:eastAsia="zh-CN"/>
        </w:rPr>
        <w:t>与</w:t>
      </w:r>
      <w:r>
        <w:rPr>
          <w:rFonts w:ascii="Times New Roman" w:eastAsia="仿宋_GB2312"/>
          <w:b w:val="0"/>
          <w:sz w:val="32"/>
          <w:szCs w:val="32"/>
        </w:rPr>
        <w:t>年初预算</w:t>
      </w:r>
      <w:r>
        <w:rPr>
          <w:rFonts w:hint="eastAsia" w:ascii="Times New Roman" w:eastAsia="仿宋_GB2312"/>
          <w:b w:val="0"/>
          <w:sz w:val="32"/>
          <w:szCs w:val="32"/>
          <w:lang w:val="en-US" w:eastAsia="zh-CN"/>
        </w:rPr>
        <w:t>持平</w:t>
      </w:r>
      <w:r>
        <w:rPr>
          <w:rFonts w:ascii="Times New Roman" w:eastAsia="仿宋_GB2312"/>
          <w:b w:val="0"/>
          <w:sz w:val="32"/>
          <w:szCs w:val="32"/>
        </w:rPr>
        <w:t>；支出完成年初预算的0%，</w:t>
      </w:r>
      <w:r>
        <w:rPr>
          <w:rFonts w:hint="eastAsia" w:ascii="Times New Roman" w:eastAsia="仿宋_GB2312"/>
          <w:b w:val="0"/>
          <w:sz w:val="32"/>
          <w:szCs w:val="32"/>
          <w:lang w:val="en-US" w:eastAsia="zh-CN"/>
        </w:rPr>
        <w:t>与</w:t>
      </w:r>
      <w:r>
        <w:rPr>
          <w:rFonts w:ascii="Times New Roman" w:eastAsia="仿宋_GB2312"/>
          <w:b w:val="0"/>
          <w:sz w:val="32"/>
          <w:szCs w:val="32"/>
        </w:rPr>
        <w:t>年初预算</w:t>
      </w:r>
      <w:r>
        <w:rPr>
          <w:rFonts w:hint="eastAsia" w:ascii="Times New Roman" w:eastAsia="仿宋_GB2312"/>
          <w:b w:val="0"/>
          <w:sz w:val="32"/>
          <w:szCs w:val="32"/>
          <w:lang w:val="en-US" w:eastAsia="zh-CN"/>
        </w:rPr>
        <w:t>持平</w:t>
      </w:r>
      <w:r>
        <w:rPr>
          <w:rFonts w:ascii="Times New Roman" w:eastAsia="仿宋_GB2312"/>
          <w:b w:val="0"/>
          <w:sz w:val="32"/>
          <w:szCs w:val="32"/>
        </w:rPr>
        <w:t>。</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701030" cy="4565015"/>
            <wp:effectExtent l="4445" t="4445" r="9525" b="21590"/>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2024年度财政拨款支出3,915.55万元，主要用于以下方面：</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一般公共服务（类）支出1,618.37万元，占41.3%，主要用于</w:t>
      </w:r>
      <w:r>
        <w:rPr>
          <w:rFonts w:ascii="仿宋" w:hAnsi="仿宋" w:eastAsia="仿宋" w:cs="仿宋"/>
          <w:spacing w:val="-1"/>
          <w:sz w:val="31"/>
          <w:szCs w:val="31"/>
        </w:rPr>
        <w:t>机</w:t>
      </w:r>
      <w:r>
        <w:rPr>
          <w:rFonts w:ascii="仿宋" w:hAnsi="仿宋" w:eastAsia="仿宋" w:cs="仿宋"/>
          <w:spacing w:val="5"/>
          <w:sz w:val="31"/>
          <w:szCs w:val="31"/>
        </w:rPr>
        <w:t>关人员工资、社保经费</w:t>
      </w:r>
      <w:r>
        <w:rPr>
          <w:rFonts w:hint="eastAsia" w:ascii="仿宋" w:hAnsi="仿宋" w:eastAsia="仿宋" w:cs="仿宋"/>
          <w:spacing w:val="5"/>
          <w:sz w:val="31"/>
          <w:szCs w:val="31"/>
          <w:lang w:eastAsia="zh-CN"/>
        </w:rPr>
        <w:t>、</w:t>
      </w:r>
      <w:r>
        <w:rPr>
          <w:rFonts w:ascii="仿宋" w:hAnsi="仿宋" w:eastAsia="仿宋" w:cs="仿宋"/>
          <w:spacing w:val="5"/>
          <w:sz w:val="31"/>
          <w:szCs w:val="31"/>
        </w:rPr>
        <w:t>机关公用经费及信访事务</w:t>
      </w:r>
      <w:r>
        <w:rPr>
          <w:rFonts w:ascii="Times New Roman" w:eastAsia="仿宋_GB2312"/>
          <w:b w:val="0"/>
          <w:sz w:val="32"/>
          <w:szCs w:val="32"/>
        </w:rPr>
        <w:t>等支出；教育（类）支出247.89万元，占6.3%，主要用于</w:t>
      </w:r>
      <w:r>
        <w:rPr>
          <w:rFonts w:ascii="仿宋" w:hAnsi="仿宋" w:eastAsia="仿宋" w:cs="仿宋"/>
          <w:spacing w:val="-4"/>
          <w:sz w:val="31"/>
          <w:szCs w:val="31"/>
        </w:rPr>
        <w:t>学</w:t>
      </w:r>
      <w:r>
        <w:rPr>
          <w:rFonts w:ascii="仿宋" w:hAnsi="仿宋" w:eastAsia="仿宋" w:cs="仿宋"/>
          <w:spacing w:val="-11"/>
          <w:sz w:val="31"/>
          <w:szCs w:val="31"/>
        </w:rPr>
        <w:t>校</w:t>
      </w:r>
      <w:r>
        <w:rPr>
          <w:rFonts w:ascii="仿宋" w:hAnsi="仿宋" w:eastAsia="仿宋" w:cs="仿宋"/>
          <w:spacing w:val="-7"/>
          <w:sz w:val="31"/>
          <w:szCs w:val="31"/>
        </w:rPr>
        <w:t>幼儿教师、代课教师劳务费</w:t>
      </w:r>
      <w:r>
        <w:rPr>
          <w:rFonts w:ascii="Times New Roman" w:eastAsia="仿宋_GB2312"/>
          <w:b w:val="0"/>
          <w:sz w:val="32"/>
          <w:szCs w:val="32"/>
        </w:rPr>
        <w:t>等支出；文化旅游体育与传媒（类）支出30.24万元，占0.8%，主要用于</w:t>
      </w:r>
      <w:r>
        <w:rPr>
          <w:rFonts w:ascii="仿宋" w:hAnsi="仿宋" w:eastAsia="仿宋" w:cs="仿宋"/>
          <w:spacing w:val="3"/>
          <w:sz w:val="31"/>
          <w:szCs w:val="31"/>
        </w:rPr>
        <w:t>群众文化宣传资料及条幅、展牌</w:t>
      </w:r>
      <w:r>
        <w:rPr>
          <w:rFonts w:ascii="Times New Roman" w:eastAsia="仿宋_GB2312"/>
          <w:b w:val="0"/>
          <w:sz w:val="32"/>
          <w:szCs w:val="32"/>
        </w:rPr>
        <w:t>等支出；社会保障和就业（类）支出302.23万元，占7.7%，主要用于</w:t>
      </w:r>
      <w:r>
        <w:rPr>
          <w:rFonts w:ascii="仿宋" w:hAnsi="仿宋" w:eastAsia="仿宋" w:cs="仿宋"/>
          <w:spacing w:val="-4"/>
          <w:sz w:val="31"/>
          <w:szCs w:val="31"/>
        </w:rPr>
        <w:t>农村救济及</w:t>
      </w:r>
      <w:r>
        <w:rPr>
          <w:rFonts w:ascii="仿宋" w:hAnsi="仿宋" w:eastAsia="仿宋" w:cs="仿宋"/>
          <w:spacing w:val="1"/>
          <w:sz w:val="31"/>
          <w:szCs w:val="31"/>
        </w:rPr>
        <w:t>退役军人安置</w:t>
      </w:r>
      <w:r>
        <w:rPr>
          <w:rFonts w:ascii="Times New Roman" w:eastAsia="仿宋_GB2312"/>
          <w:b w:val="0"/>
          <w:sz w:val="32"/>
          <w:szCs w:val="32"/>
        </w:rPr>
        <w:t>等支出；卫生健康（类）支出85.11万元，占2.2%，主要用于</w:t>
      </w:r>
      <w:r>
        <w:rPr>
          <w:rFonts w:ascii="仿宋" w:hAnsi="仿宋" w:eastAsia="仿宋" w:cs="仿宋"/>
          <w:spacing w:val="5"/>
          <w:sz w:val="31"/>
          <w:szCs w:val="31"/>
        </w:rPr>
        <w:t>计划生育机构及重大公共卫生服务</w:t>
      </w:r>
      <w:r>
        <w:rPr>
          <w:rFonts w:ascii="Times New Roman" w:eastAsia="仿宋_GB2312"/>
          <w:b w:val="0"/>
          <w:sz w:val="32"/>
          <w:szCs w:val="32"/>
        </w:rPr>
        <w:t>等支出；节能环保（类）支出20.00万元，占0.5%，主要用于</w:t>
      </w:r>
      <w:r>
        <w:rPr>
          <w:rFonts w:ascii="仿宋" w:hAnsi="仿宋" w:eastAsia="仿宋" w:cs="仿宋"/>
          <w:sz w:val="31"/>
          <w:szCs w:val="31"/>
        </w:rPr>
        <w:t>大气污染防治</w:t>
      </w:r>
      <w:r>
        <w:rPr>
          <w:rFonts w:hint="eastAsia" w:ascii="仿宋" w:hAnsi="仿宋" w:eastAsia="仿宋" w:cs="仿宋"/>
          <w:sz w:val="31"/>
          <w:szCs w:val="31"/>
          <w:lang w:eastAsia="zh-CN"/>
        </w:rPr>
        <w:t>、</w:t>
      </w:r>
      <w:r>
        <w:rPr>
          <w:rFonts w:ascii="仿宋" w:hAnsi="仿宋" w:eastAsia="仿宋" w:cs="仿宋"/>
          <w:sz w:val="31"/>
          <w:szCs w:val="31"/>
        </w:rPr>
        <w:t>道路洒水</w:t>
      </w:r>
      <w:r>
        <w:rPr>
          <w:rFonts w:ascii="Times New Roman" w:eastAsia="仿宋_GB2312"/>
          <w:b w:val="0"/>
          <w:sz w:val="32"/>
          <w:szCs w:val="32"/>
        </w:rPr>
        <w:t>等支出；城乡社区（类）支出519.15万元，占13.3%，主要用于</w:t>
      </w:r>
      <w:r>
        <w:rPr>
          <w:rFonts w:ascii="仿宋" w:hAnsi="仿宋" w:eastAsia="仿宋" w:cs="仿宋"/>
          <w:spacing w:val="-4"/>
          <w:sz w:val="31"/>
          <w:szCs w:val="31"/>
        </w:rPr>
        <w:t>城乡社</w:t>
      </w:r>
      <w:r>
        <w:rPr>
          <w:rFonts w:ascii="仿宋" w:hAnsi="仿宋" w:eastAsia="仿宋" w:cs="仿宋"/>
          <w:spacing w:val="-1"/>
          <w:sz w:val="31"/>
          <w:szCs w:val="31"/>
        </w:rPr>
        <w:t>区公共设施维护及环境卫生清</w:t>
      </w:r>
      <w:r>
        <w:rPr>
          <w:rFonts w:ascii="仿宋" w:hAnsi="仿宋" w:eastAsia="仿宋" w:cs="仿宋"/>
          <w:sz w:val="31"/>
          <w:szCs w:val="31"/>
        </w:rPr>
        <w:t>理</w:t>
      </w:r>
      <w:r>
        <w:rPr>
          <w:rFonts w:ascii="Times New Roman" w:eastAsia="仿宋_GB2312"/>
          <w:b w:val="0"/>
          <w:sz w:val="32"/>
          <w:szCs w:val="32"/>
        </w:rPr>
        <w:t>等支出；农林水（类）支出493.65万元，占12.6%，主要用于</w:t>
      </w:r>
      <w:r>
        <w:rPr>
          <w:rFonts w:ascii="仿宋" w:hAnsi="仿宋" w:eastAsia="仿宋" w:cs="仿宋"/>
          <w:spacing w:val="4"/>
          <w:sz w:val="31"/>
          <w:szCs w:val="31"/>
        </w:rPr>
        <w:t>对村集体经济的补助</w:t>
      </w:r>
      <w:r>
        <w:rPr>
          <w:rFonts w:ascii="Times New Roman" w:eastAsia="仿宋_GB2312"/>
          <w:b w:val="0"/>
          <w:sz w:val="32"/>
          <w:szCs w:val="32"/>
        </w:rPr>
        <w:t>等支出；住房保障（类）支出112.35万元，占2.9%，主要用于</w:t>
      </w:r>
      <w:r>
        <w:rPr>
          <w:rFonts w:ascii="仿宋" w:hAnsi="仿宋" w:eastAsia="仿宋" w:cs="仿宋"/>
          <w:spacing w:val="8"/>
          <w:sz w:val="31"/>
          <w:szCs w:val="31"/>
        </w:rPr>
        <w:t>用于</w:t>
      </w:r>
      <w:r>
        <w:rPr>
          <w:rFonts w:hint="eastAsia" w:ascii="仿宋" w:hAnsi="仿宋" w:eastAsia="仿宋" w:cs="仿宋"/>
          <w:spacing w:val="-8"/>
          <w:sz w:val="31"/>
          <w:szCs w:val="31"/>
          <w:highlight w:val="none"/>
          <w:lang w:val="en-US" w:eastAsia="zh-CN"/>
        </w:rPr>
        <w:t>机关人员住房公积金</w:t>
      </w:r>
      <w:r>
        <w:rPr>
          <w:rFonts w:ascii="Times New Roman" w:eastAsia="仿宋_GB2312"/>
          <w:b w:val="0"/>
          <w:sz w:val="32"/>
          <w:szCs w:val="32"/>
        </w:rPr>
        <w:t>等支出；</w:t>
      </w:r>
      <w:r>
        <w:rPr>
          <w:rFonts w:hint="eastAsia" w:ascii="Times New Roman" w:eastAsia="仿宋_GB2312"/>
          <w:b w:val="0"/>
          <w:sz w:val="32"/>
          <w:szCs w:val="32"/>
          <w:lang w:val="en-US" w:eastAsia="zh-CN"/>
        </w:rPr>
        <w:t>灾</w:t>
      </w:r>
      <w:r>
        <w:rPr>
          <w:rFonts w:ascii="Times New Roman" w:eastAsia="仿宋_GB2312"/>
          <w:b w:val="0"/>
          <w:sz w:val="32"/>
          <w:szCs w:val="32"/>
        </w:rPr>
        <w:t>害防治及应急管理（类）支出28.56万元，占0.7%，主要用于</w:t>
      </w:r>
      <w:r>
        <w:rPr>
          <w:rFonts w:ascii="仿宋" w:hAnsi="仿宋" w:eastAsia="仿宋" w:cs="仿宋"/>
          <w:spacing w:val="8"/>
          <w:sz w:val="31"/>
          <w:szCs w:val="31"/>
        </w:rPr>
        <w:t>企业安全生产监管</w:t>
      </w:r>
      <w:r>
        <w:rPr>
          <w:rFonts w:ascii="Times New Roman" w:eastAsia="仿宋_GB2312"/>
          <w:b w:val="0"/>
          <w:sz w:val="32"/>
          <w:szCs w:val="32"/>
        </w:rPr>
        <w:t>等支出。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政府性基金预算财政拨款支出：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城乡社区（类）支出458.01万元，占11.7%，主要用于</w:t>
      </w:r>
      <w:r>
        <w:rPr>
          <w:rFonts w:ascii="仿宋" w:hAnsi="仿宋" w:eastAsia="仿宋" w:cs="仿宋"/>
          <w:spacing w:val="-4"/>
          <w:sz w:val="31"/>
          <w:szCs w:val="31"/>
        </w:rPr>
        <w:t>城乡社</w:t>
      </w:r>
      <w:r>
        <w:rPr>
          <w:rFonts w:ascii="仿宋" w:hAnsi="仿宋" w:eastAsia="仿宋" w:cs="仿宋"/>
          <w:spacing w:val="-1"/>
          <w:sz w:val="31"/>
          <w:szCs w:val="31"/>
        </w:rPr>
        <w:t>区公共设施维护及环境卫生清</w:t>
      </w:r>
      <w:r>
        <w:rPr>
          <w:rFonts w:ascii="仿宋" w:hAnsi="仿宋" w:eastAsia="仿宋" w:cs="仿宋"/>
          <w:sz w:val="31"/>
          <w:szCs w:val="31"/>
        </w:rPr>
        <w:t>理</w:t>
      </w:r>
      <w:r>
        <w:rPr>
          <w:rFonts w:ascii="Times New Roman" w:eastAsia="仿宋_GB2312"/>
          <w:b w:val="0"/>
          <w:sz w:val="32"/>
          <w:szCs w:val="32"/>
        </w:rPr>
        <w:t>等支出。</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2222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2024年度财政拨款基本支出1,479.98万元，其中：</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人员经费1,338.76万元，主要包括基本工资</w:t>
      </w:r>
      <w:r>
        <w:rPr>
          <w:rFonts w:hint="eastAsia" w:ascii="Times New Roman" w:eastAsia="仿宋_GB2312"/>
          <w:b w:val="0"/>
          <w:sz w:val="32"/>
          <w:szCs w:val="32"/>
          <w:lang w:val="en-US" w:eastAsia="zh-CN"/>
        </w:rPr>
        <w:t>266.62万元</w:t>
      </w:r>
      <w:r>
        <w:rPr>
          <w:rFonts w:ascii="Times New Roman" w:eastAsia="仿宋_GB2312"/>
          <w:b w:val="0"/>
          <w:sz w:val="32"/>
          <w:szCs w:val="32"/>
        </w:rPr>
        <w:t>、津贴补贴</w:t>
      </w:r>
      <w:r>
        <w:rPr>
          <w:rFonts w:hint="eastAsia" w:ascii="Times New Roman" w:eastAsia="仿宋_GB2312"/>
          <w:b w:val="0"/>
          <w:sz w:val="32"/>
          <w:szCs w:val="32"/>
          <w:lang w:val="en-US" w:eastAsia="zh-CN"/>
        </w:rPr>
        <w:t>277.21万元</w:t>
      </w:r>
      <w:r>
        <w:rPr>
          <w:rFonts w:ascii="Times New Roman" w:eastAsia="仿宋_GB2312"/>
          <w:b w:val="0"/>
          <w:sz w:val="32"/>
          <w:szCs w:val="32"/>
        </w:rPr>
        <w:t>、奖金</w:t>
      </w:r>
      <w:r>
        <w:rPr>
          <w:rFonts w:hint="eastAsia" w:ascii="Times New Roman" w:eastAsia="仿宋_GB2312"/>
          <w:b w:val="0"/>
          <w:sz w:val="32"/>
          <w:szCs w:val="32"/>
          <w:lang w:val="en-US" w:eastAsia="zh-CN"/>
        </w:rPr>
        <w:t>10.93万元</w:t>
      </w:r>
      <w:r>
        <w:rPr>
          <w:rFonts w:ascii="Times New Roman" w:eastAsia="仿宋_GB2312"/>
          <w:b w:val="0"/>
          <w:sz w:val="32"/>
          <w:szCs w:val="32"/>
        </w:rPr>
        <w:t>、绩效工资</w:t>
      </w:r>
      <w:r>
        <w:rPr>
          <w:rFonts w:hint="eastAsia" w:ascii="Times New Roman" w:eastAsia="仿宋_GB2312"/>
          <w:b w:val="0"/>
          <w:sz w:val="32"/>
          <w:szCs w:val="32"/>
          <w:lang w:val="en-US" w:eastAsia="zh-CN"/>
        </w:rPr>
        <w:t>341.93万元</w:t>
      </w:r>
      <w:r>
        <w:rPr>
          <w:rFonts w:ascii="Times New Roman" w:eastAsia="仿宋_GB2312"/>
          <w:b w:val="0"/>
          <w:sz w:val="32"/>
          <w:szCs w:val="32"/>
        </w:rPr>
        <w:t>、机关事业</w:t>
      </w:r>
      <w:r>
        <w:rPr>
          <w:rFonts w:hint="eastAsia" w:ascii="Times New Roman" w:eastAsia="仿宋_GB2312"/>
          <w:b w:val="0"/>
          <w:sz w:val="32"/>
          <w:szCs w:val="32"/>
          <w:lang w:eastAsia="zh-CN"/>
        </w:rPr>
        <w:t>部门</w:t>
      </w:r>
      <w:r>
        <w:rPr>
          <w:rFonts w:ascii="Times New Roman" w:eastAsia="仿宋_GB2312"/>
          <w:b w:val="0"/>
          <w:sz w:val="32"/>
          <w:szCs w:val="32"/>
        </w:rPr>
        <w:t>基本养老保险缴费</w:t>
      </w:r>
      <w:r>
        <w:rPr>
          <w:rFonts w:hint="eastAsia" w:ascii="Times New Roman" w:eastAsia="仿宋_GB2312"/>
          <w:b w:val="0"/>
          <w:sz w:val="32"/>
          <w:szCs w:val="32"/>
          <w:lang w:val="en-US" w:eastAsia="zh-CN"/>
        </w:rPr>
        <w:t>107.77万元</w:t>
      </w:r>
      <w:r>
        <w:rPr>
          <w:rFonts w:ascii="Times New Roman" w:eastAsia="仿宋_GB2312"/>
          <w:b w:val="0"/>
          <w:sz w:val="32"/>
          <w:szCs w:val="32"/>
        </w:rPr>
        <w:t>、职工基本医疗保险缴费</w:t>
      </w:r>
      <w:r>
        <w:rPr>
          <w:rFonts w:hint="eastAsia" w:ascii="Times New Roman" w:eastAsia="仿宋_GB2312"/>
          <w:b w:val="0"/>
          <w:sz w:val="32"/>
          <w:szCs w:val="32"/>
          <w:lang w:val="en-US" w:eastAsia="zh-CN"/>
        </w:rPr>
        <w:t>74.76万元</w:t>
      </w:r>
      <w:r>
        <w:rPr>
          <w:rFonts w:ascii="Times New Roman" w:eastAsia="仿宋_GB2312"/>
          <w:b w:val="0"/>
          <w:sz w:val="32"/>
          <w:szCs w:val="32"/>
        </w:rPr>
        <w:t>、住房公积金</w:t>
      </w:r>
      <w:r>
        <w:rPr>
          <w:rFonts w:hint="eastAsia" w:ascii="Times New Roman" w:eastAsia="仿宋_GB2312"/>
          <w:b w:val="0"/>
          <w:sz w:val="32"/>
          <w:szCs w:val="32"/>
          <w:lang w:val="en-US" w:eastAsia="zh-CN"/>
        </w:rPr>
        <w:t>112.35万元</w:t>
      </w:r>
      <w:r>
        <w:rPr>
          <w:rFonts w:ascii="Times New Roman" w:eastAsia="仿宋_GB2312"/>
          <w:b w:val="0"/>
          <w:sz w:val="32"/>
          <w:szCs w:val="32"/>
        </w:rPr>
        <w:t>、其他社会保障缴费</w:t>
      </w:r>
      <w:r>
        <w:rPr>
          <w:rFonts w:hint="eastAsia" w:ascii="Times New Roman" w:eastAsia="仿宋_GB2312"/>
          <w:b w:val="0"/>
          <w:sz w:val="32"/>
          <w:szCs w:val="32"/>
          <w:lang w:val="en-US" w:eastAsia="zh-CN"/>
        </w:rPr>
        <w:t>16.89万元</w:t>
      </w:r>
      <w:r>
        <w:rPr>
          <w:rFonts w:ascii="Times New Roman" w:eastAsia="仿宋_GB2312"/>
          <w:b w:val="0"/>
          <w:sz w:val="32"/>
          <w:szCs w:val="32"/>
        </w:rPr>
        <w:t>、离休费</w:t>
      </w:r>
      <w:r>
        <w:rPr>
          <w:rFonts w:hint="eastAsia" w:ascii="Times New Roman" w:eastAsia="仿宋_GB2312"/>
          <w:b w:val="0"/>
          <w:sz w:val="32"/>
          <w:szCs w:val="32"/>
          <w:lang w:val="en-US" w:eastAsia="zh-CN"/>
        </w:rPr>
        <w:t>26.79万元</w:t>
      </w:r>
      <w:r>
        <w:rPr>
          <w:rFonts w:ascii="Times New Roman" w:eastAsia="仿宋_GB2312"/>
          <w:b w:val="0"/>
          <w:sz w:val="32"/>
          <w:szCs w:val="32"/>
        </w:rPr>
        <w:t>、退休费</w:t>
      </w:r>
      <w:r>
        <w:rPr>
          <w:rFonts w:hint="eastAsia" w:ascii="Times New Roman" w:eastAsia="仿宋_GB2312"/>
          <w:b w:val="0"/>
          <w:sz w:val="32"/>
          <w:szCs w:val="32"/>
          <w:lang w:val="en-US" w:eastAsia="zh-CN"/>
        </w:rPr>
        <w:t>96.33万元</w:t>
      </w:r>
      <w:r>
        <w:rPr>
          <w:rFonts w:ascii="Times New Roman" w:eastAsia="仿宋_GB2312"/>
          <w:b w:val="0"/>
          <w:sz w:val="32"/>
          <w:szCs w:val="32"/>
        </w:rPr>
        <w:t>、生活补助</w:t>
      </w:r>
      <w:r>
        <w:rPr>
          <w:rFonts w:hint="eastAsia" w:ascii="Times New Roman" w:eastAsia="仿宋_GB2312"/>
          <w:b w:val="0"/>
          <w:sz w:val="32"/>
          <w:szCs w:val="32"/>
          <w:lang w:val="en-US" w:eastAsia="zh-CN"/>
        </w:rPr>
        <w:t>7.16万元</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公用经费141.22万元，主要包括办公费</w:t>
      </w:r>
      <w:r>
        <w:rPr>
          <w:rFonts w:hint="eastAsia" w:ascii="Times New Roman" w:eastAsia="仿宋_GB2312"/>
          <w:b w:val="0"/>
          <w:sz w:val="32"/>
          <w:szCs w:val="32"/>
          <w:lang w:val="en-US" w:eastAsia="zh-CN"/>
        </w:rPr>
        <w:t>36.68万元</w:t>
      </w:r>
      <w:r>
        <w:rPr>
          <w:rFonts w:ascii="Times New Roman" w:eastAsia="仿宋_GB2312"/>
          <w:b w:val="0"/>
          <w:sz w:val="32"/>
          <w:szCs w:val="32"/>
        </w:rPr>
        <w:t>、印刷费</w:t>
      </w:r>
      <w:r>
        <w:rPr>
          <w:rFonts w:hint="eastAsia" w:ascii="Times New Roman" w:eastAsia="仿宋_GB2312"/>
          <w:b w:val="0"/>
          <w:sz w:val="32"/>
          <w:szCs w:val="32"/>
          <w:lang w:val="en-US" w:eastAsia="zh-CN"/>
        </w:rPr>
        <w:t>4.22万元</w:t>
      </w:r>
      <w:r>
        <w:rPr>
          <w:rFonts w:ascii="Times New Roman" w:eastAsia="仿宋_GB2312"/>
          <w:b w:val="0"/>
          <w:sz w:val="32"/>
          <w:szCs w:val="32"/>
        </w:rPr>
        <w:t>、邮电费</w:t>
      </w:r>
      <w:r>
        <w:rPr>
          <w:rFonts w:hint="eastAsia" w:ascii="Times New Roman" w:eastAsia="仿宋_GB2312"/>
          <w:b w:val="0"/>
          <w:sz w:val="32"/>
          <w:szCs w:val="32"/>
          <w:lang w:val="en-US" w:eastAsia="zh-CN"/>
        </w:rPr>
        <w:t>20.61万元</w:t>
      </w:r>
      <w:r>
        <w:rPr>
          <w:rFonts w:ascii="Times New Roman" w:eastAsia="仿宋_GB2312"/>
          <w:b w:val="0"/>
          <w:sz w:val="32"/>
          <w:szCs w:val="32"/>
        </w:rPr>
        <w:t>、取暖费</w:t>
      </w:r>
      <w:r>
        <w:rPr>
          <w:rFonts w:hint="eastAsia" w:ascii="Times New Roman" w:eastAsia="仿宋_GB2312"/>
          <w:b w:val="0"/>
          <w:sz w:val="32"/>
          <w:szCs w:val="32"/>
          <w:lang w:val="en-US" w:eastAsia="zh-CN"/>
        </w:rPr>
        <w:t>20.68万元</w:t>
      </w:r>
      <w:r>
        <w:rPr>
          <w:rFonts w:ascii="Times New Roman" w:eastAsia="仿宋_GB2312"/>
          <w:b w:val="0"/>
          <w:sz w:val="32"/>
          <w:szCs w:val="32"/>
        </w:rPr>
        <w:t>、维修（护）费</w:t>
      </w:r>
      <w:r>
        <w:rPr>
          <w:rFonts w:hint="eastAsia" w:ascii="Times New Roman" w:eastAsia="仿宋_GB2312"/>
          <w:b w:val="0"/>
          <w:sz w:val="32"/>
          <w:szCs w:val="32"/>
          <w:lang w:val="en-US" w:eastAsia="zh-CN"/>
        </w:rPr>
        <w:t>1.66万元</w:t>
      </w:r>
      <w:r>
        <w:rPr>
          <w:rFonts w:ascii="Times New Roman" w:eastAsia="仿宋_GB2312"/>
          <w:b w:val="0"/>
          <w:sz w:val="32"/>
          <w:szCs w:val="32"/>
        </w:rPr>
        <w:t>、委托业务费</w:t>
      </w:r>
      <w:r>
        <w:rPr>
          <w:rFonts w:hint="eastAsia" w:ascii="Times New Roman" w:eastAsia="仿宋_GB2312"/>
          <w:b w:val="0"/>
          <w:sz w:val="32"/>
          <w:szCs w:val="32"/>
          <w:lang w:val="en-US" w:eastAsia="zh-CN"/>
        </w:rPr>
        <w:t>0.01万元</w:t>
      </w:r>
      <w:r>
        <w:rPr>
          <w:rFonts w:ascii="Times New Roman" w:eastAsia="仿宋_GB2312"/>
          <w:b w:val="0"/>
          <w:sz w:val="32"/>
          <w:szCs w:val="32"/>
        </w:rPr>
        <w:t>、工会经费</w:t>
      </w:r>
      <w:r>
        <w:rPr>
          <w:rFonts w:hint="eastAsia" w:ascii="Times New Roman" w:eastAsia="仿宋_GB2312"/>
          <w:b w:val="0"/>
          <w:sz w:val="32"/>
          <w:szCs w:val="32"/>
          <w:lang w:val="en-US" w:eastAsia="zh-CN"/>
        </w:rPr>
        <w:t>6.05万元</w:t>
      </w:r>
      <w:r>
        <w:rPr>
          <w:rFonts w:ascii="Times New Roman" w:eastAsia="仿宋_GB2312"/>
          <w:b w:val="0"/>
          <w:sz w:val="32"/>
          <w:szCs w:val="32"/>
        </w:rPr>
        <w:t>、福利费</w:t>
      </w:r>
      <w:r>
        <w:rPr>
          <w:rFonts w:hint="eastAsia" w:ascii="Times New Roman" w:eastAsia="仿宋_GB2312"/>
          <w:b w:val="0"/>
          <w:sz w:val="32"/>
          <w:szCs w:val="32"/>
          <w:lang w:val="en-US" w:eastAsia="zh-CN"/>
        </w:rPr>
        <w:t>8.37万元</w:t>
      </w:r>
      <w:r>
        <w:rPr>
          <w:rFonts w:ascii="Times New Roman" w:eastAsia="仿宋_GB2312"/>
          <w:b w:val="0"/>
          <w:sz w:val="32"/>
          <w:szCs w:val="32"/>
        </w:rPr>
        <w:t>、公务用车运行维护费</w:t>
      </w:r>
      <w:r>
        <w:rPr>
          <w:rFonts w:hint="eastAsia" w:ascii="Times New Roman" w:eastAsia="仿宋_GB2312"/>
          <w:b w:val="0"/>
          <w:sz w:val="32"/>
          <w:szCs w:val="32"/>
          <w:lang w:val="en-US" w:eastAsia="zh-CN"/>
        </w:rPr>
        <w:t>5.4万元</w:t>
      </w:r>
      <w:r>
        <w:rPr>
          <w:rFonts w:ascii="Times New Roman" w:eastAsia="仿宋_GB2312"/>
          <w:b w:val="0"/>
          <w:sz w:val="32"/>
          <w:szCs w:val="32"/>
        </w:rPr>
        <w:t>、其他交通费用</w:t>
      </w:r>
      <w:r>
        <w:rPr>
          <w:rFonts w:hint="eastAsia" w:ascii="Times New Roman" w:eastAsia="仿宋_GB2312"/>
          <w:b w:val="0"/>
          <w:sz w:val="32"/>
          <w:szCs w:val="32"/>
          <w:lang w:val="en-US" w:eastAsia="zh-CN"/>
        </w:rPr>
        <w:t>37.55万元</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outlineLvl w:val="1"/>
        <w:rPr>
          <w:rFonts w:ascii="Times New Roman" w:eastAsia="黑体"/>
          <w:b w:val="0"/>
          <w:sz w:val="32"/>
          <w:szCs w:val="32"/>
        </w:rPr>
      </w:pP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 经费支出决算情况说明</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部门</w:t>
      </w:r>
      <w:r>
        <w:rPr>
          <w:rFonts w:ascii="Times New Roman" w:eastAsia="仿宋_GB2312"/>
          <w:b w:val="0"/>
          <w:sz w:val="32"/>
          <w:szCs w:val="32"/>
        </w:rPr>
        <w:t>2024年度“三公”经费财政拨款支出预算为5.4万元，支出决算为5.4万元，完成预算的100%，较预算</w:t>
      </w:r>
      <w:r>
        <w:rPr>
          <w:rFonts w:hint="eastAsia" w:ascii="Times New Roman" w:eastAsia="仿宋_GB2312"/>
          <w:b w:val="0"/>
          <w:sz w:val="32"/>
          <w:szCs w:val="32"/>
          <w:lang w:val="en-US" w:eastAsia="zh-CN"/>
        </w:rPr>
        <w:t>持平</w:t>
      </w:r>
      <w:r>
        <w:rPr>
          <w:rFonts w:ascii="Times New Roman" w:eastAsia="仿宋_GB2312"/>
          <w:b w:val="0"/>
          <w:sz w:val="32"/>
          <w:szCs w:val="32"/>
        </w:rPr>
        <w:t>，主要原因是</w:t>
      </w:r>
      <w:r>
        <w:rPr>
          <w:rFonts w:hint="eastAsia" w:ascii="Times New Roman" w:eastAsia="仿宋_GB2312"/>
          <w:b w:val="0"/>
          <w:sz w:val="32"/>
          <w:szCs w:val="32"/>
          <w:lang w:val="en-US" w:eastAsia="zh-CN"/>
        </w:rPr>
        <w:t>年初根据需要合理安排预算</w:t>
      </w:r>
      <w:r>
        <w:rPr>
          <w:rFonts w:ascii="Times New Roman" w:eastAsia="仿宋_GB2312"/>
          <w:b w:val="0"/>
          <w:sz w:val="32"/>
          <w:szCs w:val="32"/>
        </w:rPr>
        <w:t>；较2023年度决算增加0.33万元，增长6.5%，主要原因是</w:t>
      </w:r>
      <w:r>
        <w:rPr>
          <w:rFonts w:hint="eastAsia" w:ascii="Times New Roman" w:eastAsia="仿宋_GB2312"/>
          <w:b w:val="0"/>
          <w:sz w:val="32"/>
          <w:szCs w:val="32"/>
          <w:lang w:val="en-US" w:eastAsia="zh-CN"/>
        </w:rPr>
        <w:t>部门车辆老化，维修需求增大，导致</w:t>
      </w:r>
      <w:r>
        <w:rPr>
          <w:rFonts w:ascii="Times New Roman" w:eastAsia="仿宋_GB2312"/>
          <w:b w:val="0"/>
          <w:sz w:val="32"/>
          <w:szCs w:val="32"/>
        </w:rPr>
        <w:t>公务用车运行维护费支出</w:t>
      </w:r>
      <w:r>
        <w:rPr>
          <w:rFonts w:hint="eastAsia" w:ascii="Times New Roman" w:eastAsia="仿宋_GB2312"/>
          <w:b w:val="0"/>
          <w:sz w:val="32"/>
          <w:szCs w:val="32"/>
          <w:lang w:val="en-US" w:eastAsia="zh-CN"/>
        </w:rPr>
        <w:t>增加</w:t>
      </w:r>
      <w:r>
        <w:rPr>
          <w:rFonts w:ascii="Times New Roman" w:eastAsia="仿宋_GB2312"/>
          <w:b w:val="0"/>
          <w:sz w:val="32"/>
          <w:szCs w:val="32"/>
        </w:rPr>
        <w:t>。</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 1.因公出国（境）费支出情况。</w:t>
      </w:r>
      <w:r>
        <w:rPr>
          <w:rFonts w:ascii="Times New Roman" w:eastAsia="仿宋_GB2312"/>
          <w:b w:val="0"/>
          <w:sz w:val="32"/>
          <w:szCs w:val="32"/>
        </w:rPr>
        <w:t>本</w:t>
      </w:r>
      <w:r>
        <w:rPr>
          <w:rFonts w:hint="eastAsia" w:ascii="Times New Roman" w:eastAsia="仿宋_GB2312"/>
          <w:b w:val="0"/>
          <w:sz w:val="32"/>
          <w:szCs w:val="32"/>
          <w:lang w:eastAsia="zh-CN"/>
        </w:rPr>
        <w:t>部门</w:t>
      </w:r>
      <w:r>
        <w:rPr>
          <w:rFonts w:ascii="Times New Roman" w:eastAsia="仿宋_GB2312"/>
          <w:b w:val="0"/>
          <w:sz w:val="32"/>
          <w:szCs w:val="32"/>
        </w:rPr>
        <w:t>2024年度因公出国（境）费支出预算为0万元,支出决算0万元。完成预算的0%。因公出国（境）费支出较预算</w:t>
      </w:r>
      <w:r>
        <w:rPr>
          <w:rFonts w:hint="eastAsia" w:ascii="Times New Roman" w:eastAsia="仿宋_GB2312"/>
          <w:b w:val="0"/>
          <w:sz w:val="32"/>
          <w:szCs w:val="32"/>
          <w:lang w:val="en-US" w:eastAsia="zh-CN"/>
        </w:rPr>
        <w:t>持平</w:t>
      </w:r>
      <w:r>
        <w:rPr>
          <w:rFonts w:ascii="Times New Roman" w:eastAsia="仿宋_GB2312"/>
          <w:b w:val="0"/>
          <w:sz w:val="32"/>
          <w:szCs w:val="32"/>
        </w:rPr>
        <w:t>,主要原因是</w:t>
      </w:r>
      <w:r>
        <w:rPr>
          <w:rFonts w:hint="eastAsia" w:ascii="Times New Roman" w:eastAsia="仿宋_GB2312"/>
          <w:b w:val="0"/>
          <w:sz w:val="32"/>
          <w:szCs w:val="32"/>
          <w:lang w:val="en-US" w:eastAsia="zh-CN"/>
        </w:rPr>
        <w:t>2023年、2024年均没有因公出国（境）事务</w:t>
      </w:r>
      <w:r>
        <w:rPr>
          <w:rFonts w:ascii="Times New Roman" w:eastAsia="仿宋_GB2312"/>
          <w:b w:val="0"/>
          <w:sz w:val="32"/>
          <w:szCs w:val="32"/>
        </w:rPr>
        <w:t>；较上年增加0万元，</w:t>
      </w:r>
      <w:r>
        <w:rPr>
          <w:rFonts w:hint="eastAsia" w:ascii="Times New Roman" w:eastAsia="仿宋_GB2312"/>
          <w:b w:val="0"/>
          <w:sz w:val="32"/>
          <w:szCs w:val="32"/>
          <w:lang w:val="en-US" w:eastAsia="zh-CN"/>
        </w:rPr>
        <w:t>与上年持平</w:t>
      </w:r>
      <w:r>
        <w:rPr>
          <w:rFonts w:ascii="Times New Roman" w:eastAsia="仿宋_GB2312"/>
          <w:b w:val="0"/>
          <w:sz w:val="32"/>
          <w:szCs w:val="32"/>
        </w:rPr>
        <w:t>,主要原因是</w:t>
      </w:r>
      <w:r>
        <w:rPr>
          <w:rFonts w:hint="eastAsia" w:ascii="Times New Roman" w:eastAsia="仿宋_GB2312"/>
          <w:b w:val="0"/>
          <w:sz w:val="32"/>
          <w:szCs w:val="32"/>
          <w:lang w:val="en-US" w:eastAsia="zh-CN"/>
        </w:rPr>
        <w:t>2023年、2024年均没有因公出国（境）事务</w:t>
      </w:r>
      <w:r>
        <w:rPr>
          <w:rFonts w:ascii="Times New Roman" w:eastAsia="仿宋_GB2312"/>
          <w:b w:val="0"/>
          <w:sz w:val="32"/>
          <w:szCs w:val="32"/>
        </w:rPr>
        <w:t>。因公出国（境）团组0个、共0人、参加其他</w:t>
      </w:r>
      <w:r>
        <w:rPr>
          <w:rFonts w:hint="eastAsia" w:ascii="Times New Roman" w:eastAsia="仿宋_GB2312"/>
          <w:b w:val="0"/>
          <w:sz w:val="32"/>
          <w:szCs w:val="32"/>
          <w:lang w:eastAsia="zh-CN"/>
        </w:rPr>
        <w:t>部门</w:t>
      </w:r>
      <w:r>
        <w:rPr>
          <w:rFonts w:ascii="Times New Roman" w:eastAsia="仿宋_GB2312"/>
          <w:b w:val="0"/>
          <w:sz w:val="32"/>
          <w:szCs w:val="32"/>
        </w:rPr>
        <w:t>组织的因公出国（境）团组</w:t>
      </w:r>
      <w:r>
        <w:rPr>
          <w:rFonts w:hint="eastAsia" w:ascii="Times New Roman" w:eastAsia="仿宋_GB2312"/>
          <w:b w:val="0"/>
          <w:sz w:val="32"/>
          <w:szCs w:val="32"/>
          <w:lang w:val="en-US" w:eastAsia="zh-CN"/>
        </w:rPr>
        <w:t>0</w:t>
      </w:r>
      <w:r>
        <w:rPr>
          <w:rFonts w:ascii="Times New Roman" w:eastAsia="仿宋_GB2312"/>
          <w:b w:val="0"/>
          <w:sz w:val="32"/>
          <w:szCs w:val="32"/>
        </w:rPr>
        <w:t>个、无本</w:t>
      </w:r>
      <w:r>
        <w:rPr>
          <w:rFonts w:hint="eastAsia" w:ascii="Times New Roman" w:eastAsia="仿宋_GB2312"/>
          <w:b w:val="0"/>
          <w:sz w:val="32"/>
          <w:szCs w:val="32"/>
          <w:lang w:eastAsia="zh-CN"/>
        </w:rPr>
        <w:t>部门</w:t>
      </w:r>
      <w:r>
        <w:rPr>
          <w:rFonts w:ascii="Times New Roman" w:eastAsia="仿宋_GB2312"/>
          <w:b w:val="0"/>
          <w:sz w:val="32"/>
          <w:szCs w:val="32"/>
        </w:rPr>
        <w:t>组织的出国（境）团组。</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 2.公务用车购置及运行维护费支出情况。</w:t>
      </w:r>
      <w:r>
        <w:rPr>
          <w:rFonts w:ascii="Times New Roman" w:eastAsia="仿宋_GB2312"/>
          <w:b w:val="0"/>
          <w:sz w:val="32"/>
          <w:szCs w:val="32"/>
        </w:rPr>
        <w:t>本</w:t>
      </w:r>
      <w:r>
        <w:rPr>
          <w:rFonts w:hint="eastAsia" w:ascii="Times New Roman" w:eastAsia="仿宋_GB2312"/>
          <w:b w:val="0"/>
          <w:sz w:val="32"/>
          <w:szCs w:val="32"/>
          <w:lang w:eastAsia="zh-CN"/>
        </w:rPr>
        <w:t>部门</w:t>
      </w:r>
      <w:r>
        <w:rPr>
          <w:rFonts w:ascii="Times New Roman" w:eastAsia="仿宋_GB2312"/>
          <w:b w:val="0"/>
          <w:sz w:val="32"/>
          <w:szCs w:val="32"/>
        </w:rPr>
        <w:t>2024年度公务用车购置及运行维护费预算为5.4万元，支出决算5.4万元，完成预算的100%,较预算</w:t>
      </w:r>
      <w:r>
        <w:rPr>
          <w:rFonts w:hint="eastAsia" w:ascii="Times New Roman" w:eastAsia="仿宋_GB2312"/>
          <w:b w:val="0"/>
          <w:sz w:val="32"/>
          <w:szCs w:val="32"/>
          <w:lang w:val="en-US" w:eastAsia="zh-CN"/>
        </w:rPr>
        <w:t>持平</w:t>
      </w:r>
      <w:r>
        <w:rPr>
          <w:rFonts w:ascii="Times New Roman" w:eastAsia="仿宋_GB2312"/>
          <w:b w:val="0"/>
          <w:sz w:val="32"/>
          <w:szCs w:val="32"/>
        </w:rPr>
        <w:t>,主要原因是</w:t>
      </w:r>
      <w:r>
        <w:rPr>
          <w:rFonts w:hint="eastAsia" w:ascii="Times New Roman" w:eastAsia="仿宋_GB2312"/>
          <w:b w:val="0"/>
          <w:sz w:val="32"/>
          <w:szCs w:val="32"/>
          <w:lang w:val="en-US" w:eastAsia="zh-CN"/>
        </w:rPr>
        <w:t>年初根据需要合理安排预算</w:t>
      </w:r>
      <w:r>
        <w:rPr>
          <w:rFonts w:ascii="Times New Roman" w:eastAsia="仿宋_GB2312"/>
          <w:b w:val="0"/>
          <w:sz w:val="32"/>
          <w:szCs w:val="32"/>
        </w:rPr>
        <w:t>；较上年增加0.33万元，增长6.5%,主要原因是公务用车运行维护费支出</w:t>
      </w:r>
      <w:r>
        <w:rPr>
          <w:rFonts w:hint="eastAsia" w:ascii="Times New Roman" w:eastAsia="仿宋_GB2312"/>
          <w:b w:val="0"/>
          <w:sz w:val="32"/>
          <w:szCs w:val="32"/>
          <w:lang w:val="en-US" w:eastAsia="zh-CN"/>
        </w:rPr>
        <w:t>增加，部门车辆老化，维修需求增大</w:t>
      </w:r>
      <w:r>
        <w:rPr>
          <w:rFonts w:ascii="Times New Roman" w:eastAsia="仿宋_GB2312"/>
          <w:b w:val="0"/>
          <w:sz w:val="32"/>
          <w:szCs w:val="32"/>
        </w:rPr>
        <w:t>。其中：</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公务用车购置费支出0万元：</w:t>
      </w:r>
      <w:r>
        <w:rPr>
          <w:rFonts w:ascii="Times New Roman" w:eastAsia="仿宋_GB2312"/>
          <w:b w:val="0"/>
          <w:sz w:val="32"/>
          <w:szCs w:val="32"/>
        </w:rPr>
        <w:t>本</w:t>
      </w:r>
      <w:r>
        <w:rPr>
          <w:rFonts w:hint="eastAsia" w:ascii="Times New Roman" w:eastAsia="仿宋_GB2312"/>
          <w:b w:val="0"/>
          <w:sz w:val="32"/>
          <w:szCs w:val="32"/>
          <w:lang w:eastAsia="zh-CN"/>
        </w:rPr>
        <w:t>部门</w:t>
      </w:r>
      <w:r>
        <w:rPr>
          <w:rFonts w:ascii="Times New Roman" w:eastAsia="仿宋_GB2312"/>
          <w:b w:val="0"/>
          <w:sz w:val="32"/>
          <w:szCs w:val="32"/>
        </w:rPr>
        <w:t>2024年度公务用车购置量0辆，发生“公务用车购置”经费支出0万元。公务用车购置费支出较预算</w:t>
      </w:r>
      <w:r>
        <w:rPr>
          <w:rFonts w:hint="eastAsia" w:ascii="Times New Roman" w:eastAsia="仿宋_GB2312"/>
          <w:b w:val="0"/>
          <w:sz w:val="32"/>
          <w:szCs w:val="32"/>
          <w:lang w:val="en-US" w:eastAsia="zh-CN"/>
        </w:rPr>
        <w:t>持平</w:t>
      </w:r>
      <w:r>
        <w:rPr>
          <w:rFonts w:ascii="Times New Roman" w:eastAsia="仿宋_GB2312"/>
          <w:b w:val="0"/>
          <w:sz w:val="32"/>
          <w:szCs w:val="32"/>
        </w:rPr>
        <w:t>,主要原因是</w:t>
      </w:r>
      <w:r>
        <w:rPr>
          <w:rFonts w:hint="eastAsia" w:ascii="Times New Roman" w:eastAsia="仿宋_GB2312"/>
          <w:b w:val="0"/>
          <w:sz w:val="32"/>
          <w:szCs w:val="32"/>
          <w:lang w:val="en-US" w:eastAsia="zh-CN"/>
        </w:rPr>
        <w:t>2023年、2024年均未购置公车</w:t>
      </w:r>
      <w:r>
        <w:rPr>
          <w:rFonts w:ascii="Times New Roman" w:eastAsia="仿宋_GB2312"/>
          <w:b w:val="0"/>
          <w:sz w:val="32"/>
          <w:szCs w:val="32"/>
        </w:rPr>
        <w:t>；较上年</w:t>
      </w:r>
      <w:r>
        <w:rPr>
          <w:rFonts w:hint="eastAsia" w:ascii="Times New Roman" w:eastAsia="仿宋_GB2312"/>
          <w:b w:val="0"/>
          <w:sz w:val="32"/>
          <w:szCs w:val="32"/>
          <w:lang w:val="en-US" w:eastAsia="zh-CN"/>
        </w:rPr>
        <w:t>持平</w:t>
      </w:r>
      <w:r>
        <w:rPr>
          <w:rFonts w:ascii="Times New Roman" w:eastAsia="仿宋_GB2312"/>
          <w:b w:val="0"/>
          <w:sz w:val="32"/>
          <w:szCs w:val="32"/>
        </w:rPr>
        <w:t>,主要原因是</w:t>
      </w:r>
      <w:r>
        <w:rPr>
          <w:rFonts w:hint="eastAsia" w:ascii="Times New Roman" w:eastAsia="仿宋_GB2312"/>
          <w:b w:val="0"/>
          <w:sz w:val="32"/>
          <w:szCs w:val="32"/>
          <w:lang w:val="en-US" w:eastAsia="zh-CN"/>
        </w:rPr>
        <w:t>2023年、2024年均未购置公车</w:t>
      </w:r>
      <w:r>
        <w:rPr>
          <w:rFonts w:ascii="Times New Roman" w:eastAsia="仿宋_GB2312"/>
          <w:b w:val="0"/>
          <w:sz w:val="32"/>
          <w:szCs w:val="32"/>
        </w:rPr>
        <w:t>。</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公务用车运行维护费支出5.4万元：</w:t>
      </w:r>
      <w:r>
        <w:rPr>
          <w:rFonts w:ascii="Times New Roman" w:eastAsia="仿宋_GB2312"/>
          <w:b w:val="0"/>
          <w:sz w:val="32"/>
          <w:szCs w:val="32"/>
        </w:rPr>
        <w:t>本</w:t>
      </w:r>
      <w:r>
        <w:rPr>
          <w:rFonts w:hint="eastAsia" w:ascii="Times New Roman" w:eastAsia="仿宋_GB2312"/>
          <w:b w:val="0"/>
          <w:sz w:val="32"/>
          <w:szCs w:val="32"/>
          <w:lang w:eastAsia="zh-CN"/>
        </w:rPr>
        <w:t>部门</w:t>
      </w:r>
      <w:r>
        <w:rPr>
          <w:rFonts w:ascii="Times New Roman" w:eastAsia="仿宋_GB2312"/>
          <w:b w:val="0"/>
          <w:sz w:val="32"/>
          <w:szCs w:val="32"/>
        </w:rPr>
        <w:t>2024年度</w:t>
      </w:r>
      <w:r>
        <w:rPr>
          <w:rFonts w:hint="eastAsia" w:ascii="Times New Roman" w:eastAsia="仿宋_GB2312"/>
          <w:b w:val="0"/>
          <w:sz w:val="32"/>
          <w:szCs w:val="32"/>
          <w:lang w:eastAsia="zh-CN"/>
        </w:rPr>
        <w:t>部门</w:t>
      </w:r>
      <w:r>
        <w:rPr>
          <w:rFonts w:ascii="Times New Roman" w:eastAsia="仿宋_GB2312"/>
          <w:b w:val="0"/>
          <w:sz w:val="32"/>
          <w:szCs w:val="32"/>
        </w:rPr>
        <w:t>公务用车保有量2辆，发生运行维护费支出5.4万元。公车运行维护费支出较预算</w:t>
      </w:r>
      <w:r>
        <w:rPr>
          <w:rFonts w:hint="eastAsia" w:ascii="Times New Roman" w:eastAsia="仿宋_GB2312"/>
          <w:b w:val="0"/>
          <w:sz w:val="32"/>
          <w:szCs w:val="32"/>
          <w:lang w:val="en-US" w:eastAsia="zh-CN"/>
        </w:rPr>
        <w:t>持平</w:t>
      </w:r>
      <w:r>
        <w:rPr>
          <w:rFonts w:ascii="Times New Roman" w:eastAsia="仿宋_GB2312"/>
          <w:b w:val="0"/>
          <w:sz w:val="32"/>
          <w:szCs w:val="32"/>
        </w:rPr>
        <w:t>,主要原因是</w:t>
      </w:r>
      <w:r>
        <w:rPr>
          <w:rFonts w:hint="eastAsia" w:ascii="Times New Roman" w:eastAsia="仿宋_GB2312"/>
          <w:b w:val="0"/>
          <w:sz w:val="32"/>
          <w:szCs w:val="32"/>
          <w:lang w:val="en-US" w:eastAsia="zh-CN"/>
        </w:rPr>
        <w:t>年初根据需要合理安排预算</w:t>
      </w:r>
      <w:r>
        <w:rPr>
          <w:rFonts w:ascii="Times New Roman" w:eastAsia="仿宋_GB2312"/>
          <w:b w:val="0"/>
          <w:sz w:val="32"/>
          <w:szCs w:val="32"/>
        </w:rPr>
        <w:t>；较上年增加0.33万元，增长6.5%，主要原因是</w:t>
      </w:r>
      <w:r>
        <w:rPr>
          <w:rFonts w:hint="eastAsia" w:ascii="Times New Roman" w:eastAsia="仿宋_GB2312"/>
          <w:b w:val="0"/>
          <w:sz w:val="32"/>
          <w:szCs w:val="32"/>
          <w:lang w:val="en-US" w:eastAsia="zh-CN"/>
        </w:rPr>
        <w:t>部门车辆老化，维修需求增大</w:t>
      </w:r>
      <w:r>
        <w:rPr>
          <w:rFonts w:ascii="Times New Roman" w:eastAsia="仿宋_GB2312"/>
          <w:b w:val="0"/>
          <w:sz w:val="32"/>
          <w:szCs w:val="32"/>
        </w:rPr>
        <w:t>。</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w:t>
      </w:r>
      <w:r>
        <w:rPr>
          <w:rFonts w:hint="eastAsia" w:ascii="Times New Roman" w:eastAsia="仿宋_GB2312"/>
          <w:b w:val="0"/>
          <w:sz w:val="32"/>
          <w:szCs w:val="32"/>
          <w:lang w:eastAsia="zh-CN"/>
        </w:rPr>
        <w:t>部门</w:t>
      </w:r>
      <w:r>
        <w:rPr>
          <w:rFonts w:ascii="Times New Roman" w:eastAsia="仿宋_GB2312"/>
          <w:b w:val="0"/>
          <w:sz w:val="32"/>
          <w:szCs w:val="32"/>
        </w:rPr>
        <w:t>2024年度公务接待费支出预算为0万元，支出决算0万元，完成预算的0%。公务接待费支出较预算</w:t>
      </w:r>
      <w:r>
        <w:rPr>
          <w:rFonts w:hint="eastAsia" w:ascii="Times New Roman" w:eastAsia="仿宋_GB2312"/>
          <w:b w:val="0"/>
          <w:sz w:val="32"/>
          <w:szCs w:val="32"/>
          <w:lang w:val="en-US" w:eastAsia="zh-CN"/>
        </w:rPr>
        <w:t>持平</w:t>
      </w:r>
      <w:r>
        <w:rPr>
          <w:rFonts w:ascii="Times New Roman" w:eastAsia="仿宋_GB2312"/>
          <w:b w:val="0"/>
          <w:sz w:val="32"/>
          <w:szCs w:val="32"/>
        </w:rPr>
        <w:t>,主要原因是</w:t>
      </w:r>
      <w:r>
        <w:rPr>
          <w:rFonts w:hint="eastAsia" w:ascii="Times New Roman" w:eastAsia="仿宋_GB2312"/>
          <w:b w:val="0"/>
          <w:sz w:val="32"/>
          <w:szCs w:val="32"/>
          <w:lang w:val="en-US" w:eastAsia="zh-CN"/>
        </w:rPr>
        <w:t>2023年、2024年均未公务接待</w:t>
      </w:r>
      <w:r>
        <w:rPr>
          <w:rFonts w:ascii="Times New Roman" w:eastAsia="仿宋_GB2312"/>
          <w:b w:val="0"/>
          <w:sz w:val="32"/>
          <w:szCs w:val="32"/>
        </w:rPr>
        <w:t>；较上年度</w:t>
      </w:r>
      <w:r>
        <w:rPr>
          <w:rFonts w:hint="eastAsia" w:ascii="Times New Roman" w:eastAsia="仿宋_GB2312"/>
          <w:b w:val="0"/>
          <w:sz w:val="32"/>
          <w:szCs w:val="32"/>
          <w:lang w:val="en-US" w:eastAsia="zh-CN"/>
        </w:rPr>
        <w:t>持平</w:t>
      </w:r>
      <w:r>
        <w:rPr>
          <w:rFonts w:ascii="Times New Roman" w:eastAsia="仿宋_GB2312"/>
          <w:b w:val="0"/>
          <w:sz w:val="32"/>
          <w:szCs w:val="32"/>
        </w:rPr>
        <w:t>,主要原因是</w:t>
      </w:r>
      <w:r>
        <w:rPr>
          <w:rFonts w:hint="eastAsia" w:ascii="Times New Roman" w:eastAsia="仿宋_GB2312"/>
          <w:b w:val="0"/>
          <w:sz w:val="32"/>
          <w:szCs w:val="32"/>
          <w:lang w:val="en-US" w:eastAsia="zh-CN"/>
        </w:rPr>
        <w:t>2023年、2024年均未公务接待</w:t>
      </w:r>
      <w:r>
        <w:rPr>
          <w:rFonts w:ascii="Times New Roman" w:eastAsia="仿宋_GB2312"/>
          <w:b w:val="0"/>
          <w:sz w:val="32"/>
          <w:szCs w:val="32"/>
        </w:rPr>
        <w:t>。本年度共发生公务接待0批次、0人次。</w:t>
      </w:r>
    </w:p>
    <w:p>
      <w:pPr>
        <w:widowControl/>
        <w:spacing w:before="0" w:beforeLines="0" w:beforeAutospacing="0" w:after="0" w:afterLines="0" w:afterAutospacing="0" w:line="360" w:lineRule="auto"/>
        <w:ind w:firstLine="640" w:firstLineChars="200"/>
        <w:jc w:val="left"/>
        <w:outlineLvl w:val="1"/>
        <w:rPr>
          <w:rFonts w:ascii="Times New Roman" w:eastAsia="黑体"/>
          <w:b w:val="0"/>
          <w:sz w:val="32"/>
          <w:szCs w:val="32"/>
        </w:rPr>
      </w:pPr>
    </w:p>
    <w:p>
      <w:pPr>
        <w:widowControl/>
        <w:spacing w:before="0" w:beforeLines="0" w:beforeAutospacing="0" w:after="0" w:afterLines="0" w:afterAutospacing="0" w:line="360" w:lineRule="auto"/>
        <w:ind w:firstLine="640" w:firstLineChars="200"/>
        <w:jc w:val="left"/>
        <w:outlineLvl w:val="1"/>
        <w:rPr>
          <w:rFonts w:ascii="Times New Roman" w:eastAsia="黑体"/>
          <w:b w:val="0"/>
          <w:sz w:val="32"/>
          <w:szCs w:val="32"/>
        </w:rPr>
      </w:pPr>
    </w:p>
    <w:p>
      <w:pPr>
        <w:widowControl/>
        <w:spacing w:before="0" w:beforeLines="0" w:beforeAutospacing="0" w:after="0" w:afterLines="0" w:afterAutospacing="0" w:line="360" w:lineRule="auto"/>
        <w:ind w:firstLine="640" w:firstLineChars="200"/>
        <w:jc w:val="left"/>
        <w:outlineLvl w:val="1"/>
        <w:rPr>
          <w:rFonts w:ascii="Times New Roman" w:eastAsia="黑体"/>
          <w:b w:val="0"/>
          <w:sz w:val="32"/>
          <w:szCs w:val="32"/>
        </w:rPr>
      </w:pP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部门</w:t>
      </w:r>
      <w:r>
        <w:rPr>
          <w:rFonts w:ascii="Times New Roman" w:eastAsia="仿宋_GB2312"/>
          <w:b w:val="0"/>
          <w:sz w:val="32"/>
          <w:szCs w:val="32"/>
        </w:rPr>
        <w:t>2024年度机关运行经费支出141.22万元，较2023年度增加12.71万元，增长9.9%。</w:t>
      </w:r>
      <w:r>
        <w:rPr>
          <w:rFonts w:ascii="Times New Roman" w:eastAsia="仿宋_GB2312"/>
          <w:b w:val="0"/>
          <w:sz w:val="32"/>
          <w:szCs w:val="32"/>
          <w:highlight w:val="none"/>
        </w:rPr>
        <w:t>主要原因是</w:t>
      </w:r>
      <w:r>
        <w:rPr>
          <w:rFonts w:hint="eastAsia" w:ascii="Times New Roman" w:eastAsia="仿宋_GB2312"/>
          <w:b w:val="0"/>
          <w:sz w:val="32"/>
          <w:szCs w:val="32"/>
          <w:highlight w:val="none"/>
          <w:lang w:val="en-US" w:eastAsia="zh-CN"/>
        </w:rPr>
        <w:t>机关办公设备老化，增加维修费支出，增加2022年、2023年残疾人保障金的支出</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部门</w:t>
      </w:r>
      <w:r>
        <w:rPr>
          <w:rFonts w:ascii="Times New Roman" w:eastAsia="仿宋_GB2312"/>
          <w:b w:val="0"/>
          <w:sz w:val="32"/>
          <w:szCs w:val="32"/>
        </w:rPr>
        <w:t>2024年度政府采购支出总额515.47万元，从采购类型来看，政府采购货物支出2.34万元、政府采购工程支出321.38万元、政府采购服务支出191.75万元。授予中小企业合同金额512.59万元，占政府采购支出总额的99.4%，其中授予小微企业合同金额353.59万元，占政府采购支出总额的68.6%。</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w:t>
      </w:r>
      <w:r>
        <w:rPr>
          <w:rFonts w:hint="eastAsia" w:ascii="Times New Roman" w:eastAsia="仿宋_GB2312"/>
          <w:b w:val="0"/>
          <w:sz w:val="32"/>
          <w:szCs w:val="32"/>
          <w:lang w:eastAsia="zh-CN"/>
        </w:rPr>
        <w:t>部门</w:t>
      </w:r>
      <w:r>
        <w:rPr>
          <w:rFonts w:ascii="Times New Roman" w:eastAsia="仿宋_GB2312"/>
          <w:b w:val="0"/>
          <w:sz w:val="32"/>
          <w:szCs w:val="32"/>
        </w:rPr>
        <w:t>共有车辆7辆，比上年减少4辆，主要是。其中，副部（省）级及以上领导用车0辆，主要负责人用车0辆，机要通信用车0辆，应急保障用车2辆，执法执勤用车0辆，特种专业技术用车0辆，离退休干部用车0辆，其他用车5辆，其他用车主要是</w:t>
      </w:r>
      <w:r>
        <w:rPr>
          <w:rFonts w:hint="eastAsia" w:ascii="Times New Roman" w:hAnsi="Times New Roman" w:eastAsia="仿宋_GB2312" w:cs="Times New Roman"/>
          <w:color w:val="auto"/>
          <w:kern w:val="2"/>
          <w:sz w:val="32"/>
          <w:szCs w:val="32"/>
          <w:lang w:val="en-US" w:eastAsia="zh-CN" w:bidi="ar-SA"/>
        </w:rPr>
        <w:t>村内抽粪三轮罐车</w:t>
      </w:r>
      <w:r>
        <w:rPr>
          <w:rFonts w:ascii="Times New Roman" w:eastAsia="仿宋_GB2312"/>
          <w:b w:val="0"/>
          <w:sz w:val="32"/>
          <w:szCs w:val="32"/>
        </w:rPr>
        <w:t>。</w:t>
      </w:r>
      <w:r>
        <w:rPr>
          <w:rFonts w:hint="eastAsia" w:ascii="Times New Roman" w:eastAsia="仿宋_GB2312"/>
          <w:b w:val="0"/>
          <w:sz w:val="32"/>
          <w:szCs w:val="32"/>
          <w:lang w:eastAsia="zh-CN"/>
        </w:rPr>
        <w:t>部门</w:t>
      </w:r>
      <w:r>
        <w:rPr>
          <w:rFonts w:ascii="Times New Roman" w:eastAsia="仿宋_GB2312"/>
          <w:b w:val="0"/>
          <w:sz w:val="32"/>
          <w:szCs w:val="32"/>
        </w:rPr>
        <w:t>价值100万元（含）以上设备（不含车辆）0台（套）。</w:t>
      </w:r>
    </w:p>
    <w:p>
      <w:pPr>
        <w:widowControl/>
        <w:spacing w:before="0" w:beforeLines="0" w:beforeAutospacing="0" w:after="0" w:afterLines="0" w:afterAutospacing="0" w:line="360" w:lineRule="auto"/>
        <w:ind w:firstLine="640" w:firstLineChars="200"/>
        <w:jc w:val="left"/>
        <w:outlineLvl w:val="1"/>
        <w:rPr>
          <w:rFonts w:ascii="Times New Roman" w:eastAsia="黑体"/>
          <w:b w:val="0"/>
          <w:sz w:val="32"/>
          <w:szCs w:val="32"/>
        </w:rPr>
      </w:pPr>
    </w:p>
    <w:p>
      <w:pPr>
        <w:widowControl/>
        <w:spacing w:before="0" w:beforeLines="0" w:beforeAutospacing="0" w:after="0" w:afterLines="0" w:afterAutospacing="0" w:line="360" w:lineRule="auto"/>
        <w:ind w:firstLine="640" w:firstLineChars="200"/>
        <w:jc w:val="left"/>
        <w:outlineLvl w:val="1"/>
        <w:rPr>
          <w:rFonts w:ascii="Times New Roman" w:eastAsia="黑体"/>
          <w:b w:val="0"/>
          <w:sz w:val="32"/>
          <w:szCs w:val="32"/>
        </w:rPr>
      </w:pPr>
    </w:p>
    <w:p>
      <w:pPr>
        <w:widowControl/>
        <w:spacing w:before="0" w:beforeLines="0" w:beforeAutospacing="0" w:after="0" w:afterLines="0" w:afterAutospacing="0" w:line="360" w:lineRule="auto"/>
        <w:ind w:firstLine="640" w:firstLineChars="200"/>
        <w:jc w:val="left"/>
        <w:outlineLvl w:val="1"/>
        <w:rPr>
          <w:rFonts w:ascii="Times New Roman" w:eastAsia="黑体"/>
          <w:b w:val="0"/>
          <w:sz w:val="32"/>
          <w:szCs w:val="32"/>
        </w:rPr>
      </w:pP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根据预算绩效管理要求，本</w:t>
      </w:r>
      <w:r>
        <w:rPr>
          <w:rFonts w:hint="eastAsia" w:ascii="Times New Roman" w:eastAsia="仿宋_GB2312"/>
          <w:b w:val="0"/>
          <w:sz w:val="32"/>
          <w:szCs w:val="32"/>
          <w:lang w:eastAsia="zh-CN"/>
        </w:rPr>
        <w:t>部门</w:t>
      </w:r>
      <w:r>
        <w:rPr>
          <w:rFonts w:ascii="Times New Roman" w:eastAsia="仿宋_GB2312"/>
          <w:b w:val="0"/>
          <w:sz w:val="32"/>
          <w:szCs w:val="32"/>
        </w:rPr>
        <w:t>组织对2024年度本级预算项目支出全面开展绩效自评，共涉及资金</w:t>
      </w:r>
      <w:r>
        <w:rPr>
          <w:rFonts w:hint="eastAsia" w:ascii="Times New Roman" w:eastAsia="仿宋_GB2312"/>
          <w:b w:val="0"/>
          <w:sz w:val="32"/>
          <w:szCs w:val="32"/>
          <w:lang w:val="en-US" w:eastAsia="zh-CN"/>
        </w:rPr>
        <w:t>2444.58</w:t>
      </w:r>
      <w:r>
        <w:rPr>
          <w:rFonts w:ascii="Times New Roman" w:eastAsia="仿宋_GB2312"/>
          <w:b w:val="0"/>
          <w:sz w:val="32"/>
          <w:szCs w:val="32"/>
        </w:rPr>
        <w:t>万元。其中，一般公共预算项目</w:t>
      </w:r>
      <w:r>
        <w:rPr>
          <w:rFonts w:hint="eastAsia" w:ascii="Times New Roman" w:eastAsia="仿宋_GB2312"/>
          <w:b w:val="0"/>
          <w:sz w:val="32"/>
          <w:szCs w:val="32"/>
          <w:lang w:val="en-US" w:eastAsia="zh-CN"/>
        </w:rPr>
        <w:t>29</w:t>
      </w:r>
      <w:r>
        <w:rPr>
          <w:rFonts w:ascii="Times New Roman" w:eastAsia="仿宋_GB2312"/>
          <w:b w:val="0"/>
          <w:sz w:val="32"/>
          <w:szCs w:val="32"/>
        </w:rPr>
        <w:t>个，涉及资金</w:t>
      </w:r>
      <w:r>
        <w:rPr>
          <w:rFonts w:hint="eastAsia" w:ascii="Times New Roman" w:eastAsia="仿宋_GB2312"/>
          <w:b w:val="0"/>
          <w:sz w:val="32"/>
          <w:szCs w:val="32"/>
          <w:lang w:val="en-US" w:eastAsia="zh-CN"/>
        </w:rPr>
        <w:t>1986.57</w:t>
      </w:r>
      <w:r>
        <w:rPr>
          <w:rFonts w:ascii="Times New Roman" w:eastAsia="仿宋_GB2312"/>
          <w:b w:val="0"/>
          <w:sz w:val="32"/>
          <w:szCs w:val="32"/>
        </w:rPr>
        <w:t>万元，占一般公共预算项目支出总额的</w:t>
      </w:r>
      <w:r>
        <w:rPr>
          <w:rFonts w:hint="eastAsia" w:ascii="Times New Roman" w:eastAsia="仿宋_GB2312"/>
          <w:b w:val="0"/>
          <w:sz w:val="32"/>
          <w:szCs w:val="32"/>
          <w:lang w:val="en-US" w:eastAsia="zh-CN"/>
        </w:rPr>
        <w:t>81.3</w:t>
      </w:r>
      <w:r>
        <w:rPr>
          <w:rFonts w:ascii="Times New Roman" w:eastAsia="仿宋_GB2312"/>
          <w:b w:val="0"/>
          <w:sz w:val="32"/>
          <w:szCs w:val="32"/>
        </w:rPr>
        <w:t>%；政府性基金预算项目</w:t>
      </w:r>
      <w:r>
        <w:rPr>
          <w:rFonts w:hint="eastAsia" w:ascii="Times New Roman" w:eastAsia="仿宋_GB2312"/>
          <w:b w:val="0"/>
          <w:sz w:val="32"/>
          <w:szCs w:val="32"/>
          <w:lang w:val="en-US" w:eastAsia="zh-CN"/>
        </w:rPr>
        <w:t>2</w:t>
      </w:r>
      <w:r>
        <w:rPr>
          <w:rFonts w:ascii="Times New Roman" w:eastAsia="仿宋_GB2312"/>
          <w:b w:val="0"/>
          <w:sz w:val="32"/>
          <w:szCs w:val="32"/>
        </w:rPr>
        <w:t>个，涉及资金</w:t>
      </w:r>
      <w:r>
        <w:rPr>
          <w:rFonts w:hint="eastAsia" w:ascii="Times New Roman" w:eastAsia="仿宋_GB2312"/>
          <w:b w:val="0"/>
          <w:sz w:val="32"/>
          <w:szCs w:val="32"/>
          <w:lang w:val="en-US" w:eastAsia="zh-CN"/>
        </w:rPr>
        <w:t>458.01</w:t>
      </w:r>
      <w:r>
        <w:rPr>
          <w:rFonts w:ascii="Times New Roman" w:eastAsia="仿宋_GB2312"/>
          <w:b w:val="0"/>
          <w:sz w:val="32"/>
          <w:szCs w:val="32"/>
        </w:rPr>
        <w:t>万元，占政府性基金预算项目支出总额的</w:t>
      </w:r>
      <w:r>
        <w:rPr>
          <w:rFonts w:hint="eastAsia" w:ascii="Times New Roman" w:eastAsia="仿宋_GB2312"/>
          <w:b w:val="0"/>
          <w:sz w:val="32"/>
          <w:szCs w:val="32"/>
          <w:lang w:val="en-US" w:eastAsia="zh-CN"/>
        </w:rPr>
        <w:t>18.57</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组织对</w:t>
      </w:r>
      <w:r>
        <w:rPr>
          <w:rFonts w:hint="eastAsia" w:ascii="Times New Roman" w:eastAsia="仿宋_GB2312"/>
          <w:b w:val="0"/>
          <w:sz w:val="32"/>
          <w:szCs w:val="32"/>
        </w:rPr>
        <w:t>2024年镇级卫生及计划生育事物支出</w:t>
      </w:r>
      <w:r>
        <w:rPr>
          <w:rFonts w:ascii="Times New Roman" w:eastAsia="仿宋_GB2312"/>
          <w:b w:val="0"/>
          <w:sz w:val="32"/>
          <w:szCs w:val="32"/>
        </w:rPr>
        <w:t>等</w:t>
      </w:r>
      <w:r>
        <w:rPr>
          <w:rFonts w:hint="eastAsia" w:ascii="Times New Roman" w:eastAsia="仿宋_GB2312"/>
          <w:b w:val="0"/>
          <w:sz w:val="32"/>
          <w:szCs w:val="32"/>
          <w:lang w:val="en-US" w:eastAsia="zh-CN"/>
        </w:rPr>
        <w:t>3</w:t>
      </w:r>
      <w:r>
        <w:rPr>
          <w:rFonts w:ascii="Times New Roman" w:eastAsia="仿宋_GB2312"/>
          <w:b w:val="0"/>
          <w:sz w:val="32"/>
          <w:szCs w:val="32"/>
        </w:rPr>
        <w:t>个项目开展了</w:t>
      </w:r>
      <w:r>
        <w:rPr>
          <w:rFonts w:hint="eastAsia" w:ascii="Times New Roman" w:eastAsia="仿宋_GB2312"/>
          <w:b w:val="0"/>
          <w:sz w:val="32"/>
          <w:szCs w:val="32"/>
          <w:lang w:eastAsia="zh-CN"/>
        </w:rPr>
        <w:t>部门</w:t>
      </w:r>
      <w:r>
        <w:rPr>
          <w:rFonts w:ascii="Times New Roman" w:eastAsia="仿宋_GB2312"/>
          <w:b w:val="0"/>
          <w:sz w:val="32"/>
          <w:szCs w:val="32"/>
        </w:rPr>
        <w:t>重点评价，涉及一般公共预算支出</w:t>
      </w:r>
      <w:r>
        <w:rPr>
          <w:rFonts w:hint="eastAsia" w:ascii="Times New Roman" w:eastAsia="仿宋_GB2312"/>
          <w:b w:val="0"/>
          <w:sz w:val="32"/>
          <w:szCs w:val="32"/>
          <w:lang w:val="en-US" w:eastAsia="zh-CN"/>
        </w:rPr>
        <w:t>308.24</w:t>
      </w:r>
      <w:r>
        <w:rPr>
          <w:rFonts w:ascii="Times New Roman" w:eastAsia="仿宋_GB2312"/>
          <w:b w:val="0"/>
          <w:sz w:val="32"/>
          <w:szCs w:val="32"/>
        </w:rPr>
        <w:t>万元，政府性基金预算支出</w:t>
      </w:r>
      <w:r>
        <w:rPr>
          <w:rFonts w:hint="eastAsia" w:ascii="Times New Roman" w:eastAsia="仿宋_GB2312"/>
          <w:b w:val="0"/>
          <w:sz w:val="32"/>
          <w:szCs w:val="32"/>
          <w:lang w:val="en-US" w:eastAsia="zh-CN"/>
        </w:rPr>
        <w:t>0</w:t>
      </w:r>
      <w:r>
        <w:rPr>
          <w:rFonts w:ascii="Times New Roman" w:eastAsia="仿宋_GB2312"/>
          <w:b w:val="0"/>
          <w:sz w:val="32"/>
          <w:szCs w:val="32"/>
        </w:rPr>
        <w:t>万元，国有资本经营预算支出</w:t>
      </w:r>
      <w:r>
        <w:rPr>
          <w:rFonts w:hint="eastAsia" w:ascii="Times New Roman" w:eastAsia="仿宋_GB2312"/>
          <w:b w:val="0"/>
          <w:sz w:val="32"/>
          <w:szCs w:val="32"/>
          <w:lang w:val="en-US" w:eastAsia="zh-CN"/>
        </w:rPr>
        <w:t>0</w:t>
      </w:r>
      <w:r>
        <w:rPr>
          <w:rFonts w:ascii="Times New Roman" w:eastAsia="仿宋_GB2312"/>
          <w:b w:val="0"/>
          <w:sz w:val="32"/>
          <w:szCs w:val="32"/>
        </w:rPr>
        <w:t>万元，从评价情况来看，项目</w:t>
      </w:r>
      <w:r>
        <w:rPr>
          <w:rFonts w:hint="eastAsia" w:ascii="仿宋_GB2312" w:hAnsi="仿宋_GB2312" w:eastAsia="仿宋_GB2312" w:cs="仿宋_GB2312"/>
          <w:b w:val="0"/>
          <w:kern w:val="2"/>
          <w:sz w:val="32"/>
          <w:szCs w:val="32"/>
          <w:lang w:val="en-US" w:eastAsia="zh-CN" w:bidi="ar-SA"/>
        </w:rPr>
        <w:t>预算执行率较高，数量、质量、时效、成本、效益指标、满意度指标均全部完成预期指标值，项目绩效评价等级均为优</w:t>
      </w:r>
      <w:r>
        <w:rPr>
          <w:rFonts w:ascii="Times New Roman" w:eastAsia="仿宋_GB2312"/>
          <w:b w:val="0"/>
          <w:sz w:val="32"/>
          <w:szCs w:val="32"/>
        </w:rPr>
        <w:t>。</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w:t>
      </w:r>
      <w:r>
        <w:rPr>
          <w:rFonts w:hint="eastAsia" w:ascii="Times New Roman" w:eastAsia="仿宋_GB2312"/>
          <w:b/>
          <w:sz w:val="32"/>
          <w:szCs w:val="32"/>
          <w:lang w:eastAsia="zh-CN"/>
        </w:rPr>
        <w:t>部门</w:t>
      </w:r>
      <w:r>
        <w:rPr>
          <w:rFonts w:ascii="Times New Roman" w:eastAsia="仿宋_GB2312"/>
          <w:b/>
          <w:sz w:val="32"/>
          <w:szCs w:val="32"/>
        </w:rPr>
        <w:t>决算中项目绩效自评结果</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部门</w:t>
      </w:r>
      <w:r>
        <w:rPr>
          <w:rFonts w:ascii="Times New Roman" w:eastAsia="仿宋_GB2312"/>
          <w:b w:val="0"/>
          <w:sz w:val="32"/>
          <w:szCs w:val="32"/>
        </w:rPr>
        <w:t>在今年</w:t>
      </w:r>
      <w:r>
        <w:rPr>
          <w:rFonts w:hint="eastAsia" w:ascii="Times New Roman" w:eastAsia="仿宋_GB2312"/>
          <w:b w:val="0"/>
          <w:sz w:val="32"/>
          <w:szCs w:val="32"/>
          <w:lang w:eastAsia="zh-CN"/>
        </w:rPr>
        <w:t>部门</w:t>
      </w:r>
      <w:r>
        <w:rPr>
          <w:rFonts w:ascii="Times New Roman" w:eastAsia="仿宋_GB2312"/>
          <w:b w:val="0"/>
          <w:sz w:val="32"/>
          <w:szCs w:val="32"/>
        </w:rPr>
        <w:t>决算公开中反映</w:t>
      </w:r>
      <w:r>
        <w:rPr>
          <w:rFonts w:hint="eastAsia" w:ascii="Times New Roman" w:eastAsia="仿宋_GB2312"/>
          <w:b w:val="0"/>
          <w:sz w:val="32"/>
          <w:szCs w:val="32"/>
        </w:rPr>
        <w:t>2024年镇级应急管理事务支出</w:t>
      </w:r>
      <w:r>
        <w:rPr>
          <w:rFonts w:hint="eastAsia" w:ascii="Times New Roman" w:eastAsia="仿宋_GB2312"/>
          <w:b w:val="0"/>
          <w:sz w:val="32"/>
          <w:szCs w:val="32"/>
          <w:lang w:eastAsia="zh-CN"/>
        </w:rPr>
        <w:t>、</w:t>
      </w:r>
      <w:r>
        <w:rPr>
          <w:rFonts w:hint="eastAsia" w:ascii="Times New Roman" w:eastAsia="仿宋_GB2312"/>
          <w:b w:val="0"/>
          <w:sz w:val="32"/>
          <w:szCs w:val="32"/>
        </w:rPr>
        <w:t>2024年镇级卫生及计划生育事物支出</w:t>
      </w:r>
      <w:r>
        <w:rPr>
          <w:rFonts w:ascii="Times New Roman" w:eastAsia="仿宋_GB2312"/>
          <w:b w:val="0"/>
          <w:sz w:val="32"/>
          <w:szCs w:val="32"/>
        </w:rPr>
        <w:t>等</w:t>
      </w:r>
      <w:r>
        <w:rPr>
          <w:rFonts w:hint="eastAsia" w:ascii="Times New Roman" w:eastAsia="仿宋_GB2312"/>
          <w:b w:val="0"/>
          <w:sz w:val="32"/>
          <w:szCs w:val="32"/>
          <w:lang w:val="en-US" w:eastAsia="zh-CN"/>
        </w:rPr>
        <w:t>10</w:t>
      </w:r>
      <w:r>
        <w:rPr>
          <w:rFonts w:ascii="Times New Roman" w:eastAsia="仿宋_GB2312"/>
          <w:b w:val="0"/>
          <w:sz w:val="32"/>
          <w:szCs w:val="32"/>
        </w:rPr>
        <w:t>个项目绩效自评结果。</w:t>
      </w:r>
    </w:p>
    <w:p>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hint="eastAsia" w:ascii="Times New Roman" w:eastAsia="仿宋_GB2312"/>
          <w:b w:val="0"/>
          <w:sz w:val="32"/>
          <w:szCs w:val="32"/>
          <w:lang w:val="en-US" w:eastAsia="zh-CN"/>
        </w:rPr>
        <w:t>1、2024年镇级应急管理事务支出</w:t>
      </w:r>
      <w:r>
        <w:rPr>
          <w:rFonts w:ascii="Times New Roman" w:eastAsia="仿宋_GB2312"/>
          <w:b w:val="0"/>
          <w:sz w:val="32"/>
          <w:szCs w:val="32"/>
        </w:rPr>
        <w:t>项目绩效自评情况：根据年初设定的绩效目标，项目绩效自评得分为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28.5642</w:t>
      </w:r>
      <w:r>
        <w:rPr>
          <w:rFonts w:ascii="Times New Roman" w:eastAsia="仿宋_GB2312"/>
          <w:b w:val="0"/>
          <w:sz w:val="32"/>
          <w:szCs w:val="32"/>
        </w:rPr>
        <w:t>万元，执行数为</w:t>
      </w:r>
      <w:r>
        <w:rPr>
          <w:rFonts w:hint="eastAsia" w:ascii="Times New Roman" w:eastAsia="仿宋_GB2312"/>
          <w:b w:val="0"/>
          <w:sz w:val="32"/>
          <w:szCs w:val="32"/>
          <w:lang w:val="en-US" w:eastAsia="zh-CN"/>
        </w:rPr>
        <w:t>28.5642</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w:t>
      </w:r>
      <w:r>
        <w:rPr>
          <w:rFonts w:hint="eastAsia" w:ascii="Times New Roman" w:eastAsia="仿宋_GB2312"/>
          <w:b w:val="0"/>
          <w:sz w:val="32"/>
          <w:szCs w:val="32"/>
          <w:lang w:val="en-US" w:eastAsia="zh-CN"/>
        </w:rPr>
        <w:t>绩效目标已完成，</w:t>
      </w:r>
      <w:r>
        <w:rPr>
          <w:rFonts w:hint="eastAsia" w:ascii="仿宋" w:hAnsi="仿宋" w:eastAsia="仿宋"/>
          <w:sz w:val="32"/>
          <w:szCs w:val="32"/>
        </w:rPr>
        <w:t>不仅加强安全生产监督，减少生产事故的发生还有效的提升群众的消防安全意识，保障区域内不着一把火，不冒一股烟</w:t>
      </w:r>
      <w:r>
        <w:rPr>
          <w:rFonts w:ascii="Times New Roman" w:eastAsia="仿宋_GB2312"/>
          <w:b w:val="0"/>
          <w:sz w:val="32"/>
          <w:szCs w:val="32"/>
        </w:rPr>
        <w:t>。发现的主要问题及原因是：</w:t>
      </w:r>
      <w:r>
        <w:rPr>
          <w:rFonts w:hint="eastAsia" w:ascii="仿宋" w:hAnsi="仿宋" w:eastAsia="仿宋" w:cs="黑体"/>
          <w:b w:val="0"/>
          <w:kern w:val="2"/>
          <w:sz w:val="32"/>
          <w:szCs w:val="32"/>
          <w:lang w:val="en-US" w:eastAsia="zh-CN" w:bidi="ar-SA"/>
        </w:rPr>
        <w:t>预算目标指标设置不够精准</w:t>
      </w:r>
      <w:r>
        <w:rPr>
          <w:rFonts w:ascii="Times New Roman" w:eastAsia="仿宋_GB2312"/>
          <w:b w:val="0"/>
          <w:sz w:val="32"/>
          <w:szCs w:val="32"/>
        </w:rPr>
        <w:t>。下一步改进措施：</w:t>
      </w:r>
      <w:r>
        <w:rPr>
          <w:rFonts w:hint="eastAsia" w:ascii="仿宋_GB2312" w:hAnsi="仿宋_GB2312" w:eastAsia="仿宋_GB2312" w:cs="仿宋_GB2312"/>
          <w:sz w:val="32"/>
          <w:szCs w:val="32"/>
          <w:highlight w:val="none"/>
          <w:lang w:eastAsia="zh-CN"/>
        </w:rPr>
        <w:t>根据项目年度工作内容和总体目标，合理编制、细化预算，结合实际情况，科学合理设置绩效目标和绩效指标，确保指标设置能够全面体现工作任务的主要产出和效益</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lang w:val="en-US" w:eastAsia="zh-CN"/>
        </w:rPr>
        <w:t>2、</w:t>
      </w:r>
      <w:r>
        <w:rPr>
          <w:rFonts w:hint="eastAsia" w:ascii="Times New Roman" w:eastAsia="仿宋_GB2312"/>
          <w:b w:val="0"/>
          <w:sz w:val="32"/>
          <w:szCs w:val="32"/>
        </w:rPr>
        <w:t>2024年镇级卫生及计划生育事物支出</w:t>
      </w:r>
      <w:r>
        <w:rPr>
          <w:rFonts w:ascii="Times New Roman" w:eastAsia="仿宋_GB2312"/>
          <w:b w:val="0"/>
          <w:sz w:val="32"/>
          <w:szCs w:val="32"/>
        </w:rPr>
        <w:t>绩效自评情况：根据年初设定的绩效目标，项目绩效自评得分为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10.35</w:t>
      </w:r>
      <w:r>
        <w:rPr>
          <w:rFonts w:ascii="Times New Roman" w:eastAsia="仿宋_GB2312"/>
          <w:b w:val="0"/>
          <w:sz w:val="32"/>
          <w:szCs w:val="32"/>
        </w:rPr>
        <w:t>万元，执行数为</w:t>
      </w:r>
      <w:r>
        <w:rPr>
          <w:rFonts w:hint="eastAsia" w:ascii="Times New Roman" w:eastAsia="仿宋_GB2312"/>
          <w:b w:val="0"/>
          <w:sz w:val="32"/>
          <w:szCs w:val="32"/>
          <w:lang w:val="en-US" w:eastAsia="zh-CN"/>
        </w:rPr>
        <w:t>10.35</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w:t>
      </w:r>
      <w:r>
        <w:rPr>
          <w:rFonts w:hint="eastAsia" w:ascii="Times New Roman" w:eastAsia="仿宋_GB2312"/>
          <w:b w:val="0"/>
          <w:sz w:val="32"/>
          <w:szCs w:val="32"/>
          <w:lang w:val="en-US" w:eastAsia="zh-CN"/>
        </w:rPr>
        <w:t>绩效目标已完成，</w:t>
      </w:r>
      <w:r>
        <w:rPr>
          <w:rFonts w:hint="eastAsia" w:ascii="Times New Roman" w:eastAsia="仿宋_GB2312"/>
          <w:b w:val="0"/>
          <w:sz w:val="32"/>
          <w:szCs w:val="32"/>
        </w:rPr>
        <w:t>落实计生帮扶政策、疫情防控物资支出等，搞好计生健康服务及奖励慰问到位，提高群众幸福度</w:t>
      </w:r>
      <w:r>
        <w:rPr>
          <w:rFonts w:hint="eastAsia" w:ascii="Times New Roman" w:eastAsia="仿宋_GB2312"/>
          <w:b w:val="0"/>
          <w:sz w:val="32"/>
          <w:szCs w:val="32"/>
          <w:lang w:eastAsia="zh-CN"/>
        </w:rPr>
        <w:t>。</w:t>
      </w:r>
      <w:r>
        <w:rPr>
          <w:rFonts w:hint="eastAsia" w:ascii="Times New Roman" w:eastAsia="仿宋_GB2312"/>
          <w:b w:val="0"/>
          <w:sz w:val="32"/>
          <w:szCs w:val="32"/>
        </w:rPr>
        <w:t xml:space="preserve"> </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lang w:val="en-US" w:eastAsia="zh-CN"/>
        </w:rPr>
        <w:t>3、</w:t>
      </w:r>
      <w:r>
        <w:rPr>
          <w:rFonts w:hint="eastAsia" w:ascii="仿宋_GB2312" w:hAnsi="仿宋_GB2312" w:eastAsia="仿宋_GB2312" w:cs="仿宋_GB2312"/>
          <w:sz w:val="32"/>
          <w:szCs w:val="32"/>
          <w:lang w:val="en-US" w:eastAsia="zh-CN"/>
        </w:rPr>
        <w:t>2024年镇级节能环保大气污染防治支出</w:t>
      </w:r>
      <w:r>
        <w:rPr>
          <w:rFonts w:ascii="Times New Roman" w:eastAsia="仿宋_GB2312"/>
          <w:b w:val="0"/>
          <w:sz w:val="32"/>
          <w:szCs w:val="32"/>
        </w:rPr>
        <w:t>绩效自评情况：根据年初设定的绩效目标，项目绩效自评得分为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20</w:t>
      </w:r>
      <w:r>
        <w:rPr>
          <w:rFonts w:ascii="Times New Roman" w:eastAsia="仿宋_GB2312"/>
          <w:b w:val="0"/>
          <w:sz w:val="32"/>
          <w:szCs w:val="32"/>
        </w:rPr>
        <w:t>万元，执行数为</w:t>
      </w:r>
      <w:r>
        <w:rPr>
          <w:rFonts w:hint="eastAsia" w:ascii="Times New Roman" w:eastAsia="仿宋_GB2312"/>
          <w:b w:val="0"/>
          <w:sz w:val="32"/>
          <w:szCs w:val="32"/>
          <w:lang w:val="en-US" w:eastAsia="zh-CN"/>
        </w:rPr>
        <w:t>20</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w:t>
      </w:r>
      <w:r>
        <w:rPr>
          <w:rFonts w:hint="eastAsia" w:ascii="Times New Roman" w:eastAsia="仿宋_GB2312"/>
          <w:b w:val="0"/>
          <w:sz w:val="32"/>
          <w:szCs w:val="32"/>
          <w:lang w:val="en-US" w:eastAsia="zh-CN"/>
        </w:rPr>
        <w:t>绩效目标已完成，</w:t>
      </w:r>
      <w:r>
        <w:rPr>
          <w:rFonts w:hint="eastAsia" w:ascii="Times New Roman" w:eastAsia="仿宋_GB2312"/>
          <w:b w:val="0"/>
          <w:sz w:val="32"/>
          <w:szCs w:val="32"/>
        </w:rPr>
        <w:t>施工工地、企业等全面巡查切实做好维护、洒水降尘等防治，营造良好的空气环境</w:t>
      </w:r>
      <w:r>
        <w:rPr>
          <w:rFonts w:hint="eastAsia" w:ascii="Times New Roman" w:eastAsia="仿宋_GB2312"/>
          <w:b w:val="0"/>
          <w:sz w:val="32"/>
          <w:szCs w:val="32"/>
          <w:lang w:eastAsia="zh-CN"/>
        </w:rPr>
        <w:t>。</w:t>
      </w:r>
      <w:r>
        <w:rPr>
          <w:rFonts w:hint="eastAsia" w:ascii="Times New Roman" w:eastAsia="仿宋_GB2312"/>
          <w:b w:val="0"/>
          <w:sz w:val="32"/>
          <w:szCs w:val="32"/>
        </w:rPr>
        <w:t xml:space="preserve">   </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val="en-US" w:eastAsia="zh-CN"/>
        </w:rPr>
      </w:pPr>
      <w:r>
        <w:rPr>
          <w:rFonts w:hint="eastAsia" w:ascii="Times New Roman" w:eastAsia="仿宋_GB2312"/>
          <w:b w:val="0"/>
          <w:sz w:val="32"/>
          <w:szCs w:val="32"/>
          <w:lang w:val="en-US" w:eastAsia="zh-CN"/>
        </w:rPr>
        <w:t>4、</w:t>
      </w:r>
      <w:r>
        <w:rPr>
          <w:rFonts w:hint="eastAsia" w:ascii="仿宋_GB2312" w:hAnsi="仿宋_GB2312" w:eastAsia="仿宋_GB2312" w:cs="仿宋_GB2312"/>
          <w:sz w:val="32"/>
          <w:szCs w:val="32"/>
          <w:lang w:val="en-US" w:eastAsia="zh-CN"/>
        </w:rPr>
        <w:t>2024年镇级幼儿教师及代课教师劳务支出</w:t>
      </w:r>
      <w:r>
        <w:rPr>
          <w:rFonts w:ascii="Times New Roman" w:eastAsia="仿宋_GB2312"/>
          <w:b w:val="0"/>
          <w:sz w:val="32"/>
          <w:szCs w:val="32"/>
        </w:rPr>
        <w:t>绩效自评情况：根据年初设定的绩效目标，项目绩效自评得分为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247.885236</w:t>
      </w:r>
      <w:r>
        <w:rPr>
          <w:rFonts w:ascii="Times New Roman" w:eastAsia="仿宋_GB2312"/>
          <w:b w:val="0"/>
          <w:sz w:val="32"/>
          <w:szCs w:val="32"/>
        </w:rPr>
        <w:t>万元，执行数为</w:t>
      </w:r>
      <w:r>
        <w:rPr>
          <w:rFonts w:hint="eastAsia" w:ascii="Times New Roman" w:eastAsia="仿宋_GB2312"/>
          <w:b w:val="0"/>
          <w:sz w:val="32"/>
          <w:szCs w:val="32"/>
          <w:lang w:val="en-US" w:eastAsia="zh-CN"/>
        </w:rPr>
        <w:t>247.885236</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w:t>
      </w:r>
      <w:r>
        <w:rPr>
          <w:rFonts w:hint="eastAsia" w:ascii="Times New Roman" w:eastAsia="仿宋_GB2312"/>
          <w:b w:val="0"/>
          <w:sz w:val="32"/>
          <w:szCs w:val="32"/>
          <w:lang w:val="en-US" w:eastAsia="zh-CN"/>
        </w:rPr>
        <w:t>绩效目标已完成，保障了我镇教师队伍稳定，保证教学质量，推动教育事业高质量发展。</w:t>
      </w:r>
    </w:p>
    <w:p>
      <w:pPr>
        <w:widowControl/>
        <w:numPr>
          <w:ilvl w:val="0"/>
          <w:numId w:val="2"/>
        </w:numPr>
        <w:spacing w:before="0" w:beforeLines="0" w:beforeAutospacing="0" w:after="0" w:afterLines="0" w:afterAutospacing="0" w:line="360" w:lineRule="auto"/>
        <w:ind w:firstLine="640" w:firstLineChars="200"/>
        <w:jc w:val="left"/>
        <w:rPr>
          <w:rFonts w:hint="eastAsia" w:ascii="Times New Roman" w:eastAsia="仿宋_GB2312"/>
          <w:b w:val="0"/>
          <w:sz w:val="32"/>
          <w:szCs w:val="32"/>
          <w:lang w:val="en-US" w:eastAsia="zh-CN"/>
        </w:rPr>
      </w:pPr>
      <w:r>
        <w:rPr>
          <w:rFonts w:hint="eastAsia" w:ascii="仿宋_GB2312" w:hAnsi="仿宋_GB2312" w:eastAsia="仿宋_GB2312" w:cs="仿宋_GB2312"/>
          <w:sz w:val="32"/>
          <w:szCs w:val="32"/>
          <w:lang w:val="en-US" w:eastAsia="zh-CN"/>
        </w:rPr>
        <w:t>大河镇村级基础设施提升、环境卫生整治补助</w:t>
      </w:r>
      <w:r>
        <w:rPr>
          <w:rFonts w:ascii="Times New Roman" w:eastAsia="仿宋_GB2312"/>
          <w:b w:val="0"/>
          <w:sz w:val="32"/>
          <w:szCs w:val="32"/>
        </w:rPr>
        <w:t>绩效自评情况：根据年初设定的绩效目标，项目绩效自评得分为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9</w:t>
      </w:r>
      <w:r>
        <w:rPr>
          <w:rFonts w:ascii="Times New Roman" w:eastAsia="仿宋_GB2312"/>
          <w:b w:val="0"/>
          <w:sz w:val="32"/>
          <w:szCs w:val="32"/>
        </w:rPr>
        <w:t>万元，执行数为</w:t>
      </w:r>
      <w:r>
        <w:rPr>
          <w:rFonts w:hint="eastAsia" w:ascii="Times New Roman" w:eastAsia="仿宋_GB2312"/>
          <w:b w:val="0"/>
          <w:sz w:val="32"/>
          <w:szCs w:val="32"/>
          <w:lang w:val="en-US" w:eastAsia="zh-CN"/>
        </w:rPr>
        <w:t>9</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w:t>
      </w:r>
      <w:r>
        <w:rPr>
          <w:rFonts w:hint="eastAsia" w:ascii="Times New Roman" w:eastAsia="仿宋_GB2312"/>
          <w:b w:val="0"/>
          <w:sz w:val="32"/>
          <w:szCs w:val="32"/>
          <w:lang w:val="en-US" w:eastAsia="zh-CN"/>
        </w:rPr>
        <w:t>绩效目标已完成，对村道路进行修缮，提高村内整体交通水平，进行人居环境整治，提高群众生活幸福感。</w:t>
      </w:r>
    </w:p>
    <w:p>
      <w:pPr>
        <w:widowControl/>
        <w:numPr>
          <w:ilvl w:val="0"/>
          <w:numId w:val="2"/>
        </w:numPr>
        <w:spacing w:before="0" w:beforeLines="0" w:beforeAutospacing="0" w:after="0" w:afterLines="0" w:afterAutospacing="0" w:line="360" w:lineRule="auto"/>
        <w:ind w:firstLine="640" w:firstLineChars="200"/>
        <w:jc w:val="left"/>
        <w:rPr>
          <w:rFonts w:hint="eastAsia" w:ascii="Times New Roman" w:eastAsia="仿宋_GB2312"/>
          <w:b w:val="0"/>
          <w:sz w:val="32"/>
          <w:szCs w:val="32"/>
          <w:lang w:val="en-US" w:eastAsia="zh-CN"/>
        </w:rPr>
      </w:pPr>
      <w:r>
        <w:rPr>
          <w:rFonts w:hint="eastAsia" w:ascii="Times New Roman" w:eastAsia="仿宋_GB2312"/>
          <w:b w:val="0"/>
          <w:sz w:val="32"/>
          <w:szCs w:val="32"/>
          <w:lang w:val="en-US" w:eastAsia="zh-CN"/>
        </w:rPr>
        <w:t>2024年大河镇主要道路两侧提升整治支出</w:t>
      </w:r>
      <w:r>
        <w:rPr>
          <w:rFonts w:ascii="Times New Roman" w:eastAsia="仿宋_GB2312"/>
          <w:b w:val="0"/>
          <w:sz w:val="32"/>
          <w:szCs w:val="32"/>
        </w:rPr>
        <w:t>绩效自评情况：根据年初设定的绩效目标，项目绩效自评得分为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103.828189</w:t>
      </w:r>
      <w:r>
        <w:rPr>
          <w:rFonts w:ascii="Times New Roman" w:eastAsia="仿宋_GB2312"/>
          <w:b w:val="0"/>
          <w:sz w:val="32"/>
          <w:szCs w:val="32"/>
        </w:rPr>
        <w:t>万元，执行数为</w:t>
      </w:r>
      <w:r>
        <w:rPr>
          <w:rFonts w:hint="eastAsia" w:ascii="Times New Roman" w:eastAsia="仿宋_GB2312"/>
          <w:b w:val="0"/>
          <w:sz w:val="32"/>
          <w:szCs w:val="32"/>
          <w:lang w:val="en-US" w:eastAsia="zh-CN"/>
        </w:rPr>
        <w:t>103.828189</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w:t>
      </w:r>
      <w:r>
        <w:rPr>
          <w:rFonts w:hint="eastAsia" w:ascii="Times New Roman" w:eastAsia="仿宋_GB2312"/>
          <w:b w:val="0"/>
          <w:sz w:val="32"/>
          <w:szCs w:val="32"/>
          <w:lang w:val="en-US" w:eastAsia="zh-CN"/>
        </w:rPr>
        <w:t>绩效目标已完成，对我镇大河路、大成路、五七路、京赞线、石延线等我镇小街小巷的改造提升整治，提高整体交通水平，提升我镇路面形象。</w:t>
      </w:r>
    </w:p>
    <w:p>
      <w:pPr>
        <w:widowControl/>
        <w:numPr>
          <w:ilvl w:val="0"/>
          <w:numId w:val="2"/>
        </w:numPr>
        <w:spacing w:before="0" w:beforeLines="0" w:beforeAutospacing="0" w:after="0" w:afterLines="0" w:afterAutospacing="0" w:line="360" w:lineRule="auto"/>
        <w:ind w:firstLine="640" w:firstLineChars="200"/>
        <w:jc w:val="left"/>
        <w:rPr>
          <w:rFonts w:hint="eastAsia" w:ascii="Times New Roman" w:eastAsia="仿宋_GB2312"/>
          <w:b w:val="0"/>
          <w:sz w:val="32"/>
          <w:szCs w:val="32"/>
          <w:lang w:val="en-US" w:eastAsia="zh-CN"/>
        </w:rPr>
      </w:pPr>
      <w:r>
        <w:rPr>
          <w:rFonts w:hint="eastAsia" w:ascii="仿宋_GB2312" w:hAnsi="仿宋_GB2312" w:eastAsia="仿宋_GB2312" w:cs="仿宋_GB2312"/>
          <w:sz w:val="32"/>
          <w:szCs w:val="32"/>
          <w:lang w:val="en-US" w:eastAsia="zh-CN"/>
        </w:rPr>
        <w:t>文化站免费开放</w:t>
      </w:r>
      <w:r>
        <w:rPr>
          <w:rFonts w:ascii="Times New Roman" w:eastAsia="仿宋_GB2312"/>
          <w:b w:val="0"/>
          <w:sz w:val="32"/>
          <w:szCs w:val="32"/>
        </w:rPr>
        <w:t>绩效自评情况：根据年初设定的绩效目标，项目绩效自评得分为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1</w:t>
      </w:r>
      <w:r>
        <w:rPr>
          <w:rFonts w:ascii="Times New Roman" w:eastAsia="仿宋_GB2312"/>
          <w:b w:val="0"/>
          <w:sz w:val="32"/>
          <w:szCs w:val="32"/>
        </w:rPr>
        <w:t>万元，执行数为</w:t>
      </w:r>
      <w:r>
        <w:rPr>
          <w:rFonts w:hint="eastAsia" w:ascii="Times New Roman" w:eastAsia="仿宋_GB2312"/>
          <w:b w:val="0"/>
          <w:sz w:val="32"/>
          <w:szCs w:val="32"/>
          <w:lang w:val="en-US" w:eastAsia="zh-CN"/>
        </w:rPr>
        <w:t>1</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w:t>
      </w:r>
      <w:r>
        <w:rPr>
          <w:rFonts w:hint="eastAsia" w:ascii="Times New Roman" w:eastAsia="仿宋_GB2312"/>
          <w:b w:val="0"/>
          <w:sz w:val="32"/>
          <w:szCs w:val="32"/>
          <w:lang w:val="en-US" w:eastAsia="zh-CN"/>
        </w:rPr>
        <w:t xml:space="preserve">绩效目标已完成，用于文化站购置图书、杂志，开展群众文化活动等，满足了群众日益增长的精神文化需要。   </w:t>
      </w:r>
    </w:p>
    <w:p>
      <w:pPr>
        <w:widowControl/>
        <w:numPr>
          <w:ilvl w:val="0"/>
          <w:numId w:val="2"/>
        </w:numPr>
        <w:spacing w:before="0" w:beforeLines="0" w:beforeAutospacing="0" w:after="0" w:afterLines="0" w:afterAutospacing="0" w:line="360" w:lineRule="auto"/>
        <w:ind w:firstLine="640" w:firstLineChars="200"/>
        <w:jc w:val="left"/>
        <w:rPr>
          <w:rFonts w:hint="eastAsia" w:ascii="Times New Roman" w:eastAsia="仿宋_GB2312"/>
          <w:b w:val="0"/>
          <w:sz w:val="32"/>
          <w:szCs w:val="32"/>
          <w:lang w:val="en-US" w:eastAsia="zh-CN"/>
        </w:rPr>
      </w:pPr>
      <w:r>
        <w:rPr>
          <w:rFonts w:hint="eastAsia" w:ascii="仿宋_GB2312" w:hAnsi="仿宋_GB2312" w:eastAsia="仿宋_GB2312" w:cs="仿宋_GB2312"/>
          <w:sz w:val="32"/>
          <w:szCs w:val="32"/>
          <w:lang w:val="en-US" w:eastAsia="zh-CN"/>
        </w:rPr>
        <w:t>2024年区级退役公益岗位、派遣人员工资、社保</w:t>
      </w:r>
      <w:r>
        <w:rPr>
          <w:rFonts w:ascii="Times New Roman" w:eastAsia="仿宋_GB2312"/>
          <w:b w:val="0"/>
          <w:sz w:val="32"/>
          <w:szCs w:val="32"/>
        </w:rPr>
        <w:t>绩效自评情况：根据年初设定的绩效目标，项目绩效自评得分为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66.2</w:t>
      </w:r>
      <w:r>
        <w:rPr>
          <w:rFonts w:ascii="Times New Roman" w:eastAsia="仿宋_GB2312"/>
          <w:b w:val="0"/>
          <w:sz w:val="32"/>
          <w:szCs w:val="32"/>
        </w:rPr>
        <w:t>万元，执行数为</w:t>
      </w:r>
      <w:r>
        <w:rPr>
          <w:rFonts w:hint="eastAsia" w:ascii="Times New Roman" w:eastAsia="仿宋_GB2312"/>
          <w:b w:val="0"/>
          <w:sz w:val="32"/>
          <w:szCs w:val="32"/>
          <w:lang w:val="en-US" w:eastAsia="zh-CN"/>
        </w:rPr>
        <w:t>66.2</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w:t>
      </w:r>
      <w:r>
        <w:rPr>
          <w:rFonts w:hint="eastAsia" w:ascii="Times New Roman" w:eastAsia="仿宋_GB2312"/>
          <w:b w:val="0"/>
          <w:sz w:val="32"/>
          <w:szCs w:val="32"/>
          <w:lang w:val="en-US" w:eastAsia="zh-CN"/>
        </w:rPr>
        <w:t>绩效目标已完成，保障了退役人员工资，助力我镇工作发展。</w:t>
      </w:r>
    </w:p>
    <w:p>
      <w:pPr>
        <w:widowControl/>
        <w:numPr>
          <w:ilvl w:val="0"/>
          <w:numId w:val="2"/>
        </w:numPr>
        <w:spacing w:before="0" w:beforeLines="0" w:beforeAutospacing="0" w:after="0" w:afterLines="0" w:afterAutospacing="0" w:line="360" w:lineRule="auto"/>
        <w:ind w:firstLine="640" w:firstLineChars="200"/>
        <w:jc w:val="left"/>
        <w:rPr>
          <w:rFonts w:hint="eastAsia" w:ascii="Times New Roman" w:eastAsia="仿宋_GB2312"/>
          <w:b w:val="0"/>
          <w:sz w:val="32"/>
          <w:szCs w:val="32"/>
          <w:lang w:val="en-US" w:eastAsia="zh-CN"/>
        </w:rPr>
      </w:pPr>
      <w:r>
        <w:rPr>
          <w:rFonts w:hint="eastAsia" w:ascii="仿宋_GB2312" w:hAnsi="仿宋_GB2312" w:eastAsia="仿宋_GB2312" w:cs="仿宋_GB2312"/>
          <w:sz w:val="32"/>
          <w:szCs w:val="32"/>
          <w:lang w:val="en-US" w:eastAsia="zh-CN"/>
        </w:rPr>
        <w:t>新庄头温室大棚项目</w:t>
      </w:r>
      <w:r>
        <w:rPr>
          <w:rFonts w:ascii="Times New Roman" w:eastAsia="仿宋_GB2312"/>
          <w:b w:val="0"/>
          <w:sz w:val="32"/>
          <w:szCs w:val="32"/>
        </w:rPr>
        <w:t>绩效自评情况：根据年初设定的绩效目标，项目绩效自评得分为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50</w:t>
      </w:r>
      <w:r>
        <w:rPr>
          <w:rFonts w:ascii="Times New Roman" w:eastAsia="仿宋_GB2312"/>
          <w:b w:val="0"/>
          <w:sz w:val="32"/>
          <w:szCs w:val="32"/>
        </w:rPr>
        <w:t>万元，执行数为</w:t>
      </w:r>
      <w:r>
        <w:rPr>
          <w:rFonts w:hint="eastAsia" w:ascii="Times New Roman" w:eastAsia="仿宋_GB2312"/>
          <w:b w:val="0"/>
          <w:sz w:val="32"/>
          <w:szCs w:val="32"/>
          <w:lang w:val="en-US" w:eastAsia="zh-CN"/>
        </w:rPr>
        <w:t>50</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w:t>
      </w:r>
      <w:r>
        <w:rPr>
          <w:rFonts w:hint="eastAsia" w:ascii="Times New Roman" w:eastAsia="仿宋_GB2312"/>
          <w:b w:val="0"/>
          <w:sz w:val="32"/>
          <w:szCs w:val="32"/>
          <w:lang w:val="en-US" w:eastAsia="zh-CN"/>
        </w:rPr>
        <w:t>绩效目标已完成，该项目完工后不仅提升了农村容貌，同时带动乡村经济发展，提高村民收入。</w:t>
      </w:r>
    </w:p>
    <w:p>
      <w:pPr>
        <w:widowControl/>
        <w:numPr>
          <w:ilvl w:val="0"/>
          <w:numId w:val="2"/>
        </w:numPr>
        <w:spacing w:before="0" w:beforeLines="0" w:beforeAutospacing="0" w:after="0" w:afterLines="0" w:afterAutospacing="0" w:line="360" w:lineRule="auto"/>
        <w:ind w:firstLine="640" w:firstLineChars="200"/>
        <w:jc w:val="left"/>
        <w:rPr>
          <w:rFonts w:hint="default" w:ascii="Times New Roman" w:eastAsia="仿宋_GB2312"/>
          <w:b w:val="0"/>
          <w:sz w:val="32"/>
          <w:szCs w:val="32"/>
          <w:lang w:val="en-US" w:eastAsia="zh-CN"/>
        </w:rPr>
      </w:pPr>
      <w:r>
        <w:rPr>
          <w:rFonts w:hint="eastAsia" w:ascii="仿宋_GB2312" w:hAnsi="仿宋_GB2312" w:eastAsia="仿宋_GB2312" w:cs="仿宋_GB2312"/>
          <w:sz w:val="32"/>
          <w:szCs w:val="32"/>
          <w:lang w:val="en-US" w:eastAsia="zh-CN"/>
        </w:rPr>
        <w:t>石财农【2023】86号2024年中央农村综合改革（大河镇项目）</w:t>
      </w:r>
      <w:r>
        <w:rPr>
          <w:rFonts w:ascii="Times New Roman" w:eastAsia="仿宋_GB2312"/>
          <w:b w:val="0"/>
          <w:sz w:val="32"/>
          <w:szCs w:val="32"/>
        </w:rPr>
        <w:t>绩效自评情况：根据年初设定的绩效目标，项目绩效自评得分为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82.7945</w:t>
      </w:r>
      <w:r>
        <w:rPr>
          <w:rFonts w:ascii="Times New Roman" w:eastAsia="仿宋_GB2312"/>
          <w:b w:val="0"/>
          <w:sz w:val="32"/>
          <w:szCs w:val="32"/>
        </w:rPr>
        <w:t>万元，执行数为</w:t>
      </w:r>
      <w:r>
        <w:rPr>
          <w:rFonts w:hint="eastAsia" w:ascii="Times New Roman" w:eastAsia="仿宋_GB2312"/>
          <w:b w:val="0"/>
          <w:sz w:val="32"/>
          <w:szCs w:val="32"/>
          <w:lang w:val="en-US" w:eastAsia="zh-CN"/>
        </w:rPr>
        <w:t>82.7945</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w:t>
      </w:r>
      <w:r>
        <w:rPr>
          <w:rFonts w:hint="eastAsia" w:ascii="Times New Roman" w:eastAsia="仿宋_GB2312"/>
          <w:b w:val="0"/>
          <w:sz w:val="32"/>
          <w:szCs w:val="32"/>
          <w:lang w:val="en-US" w:eastAsia="zh-CN"/>
        </w:rPr>
        <w:t>绩效目标已完成，进一步推进了各村美丽乡村建设，改善了村容村貌，极大地改善了农村基础设施和人居环境，提升村民幸福感。</w:t>
      </w:r>
    </w:p>
    <w:p>
      <w:pPr>
        <w:widowControl/>
        <w:numPr>
          <w:ilvl w:val="0"/>
          <w:numId w:val="0"/>
        </w:numPr>
        <w:spacing w:before="0" w:beforeLines="0" w:beforeAutospacing="0" w:after="0" w:afterLines="0" w:afterAutospacing="0" w:line="360" w:lineRule="auto"/>
        <w:ind w:left="420" w:leftChars="0" w:firstLine="420" w:firstLineChars="0"/>
        <w:jc w:val="left"/>
        <w:rPr>
          <w:rFonts w:hint="eastAsia" w:ascii="Times New Roman" w:eastAsia="仿宋_GB2312"/>
          <w:b w:val="0"/>
          <w:sz w:val="32"/>
          <w:szCs w:val="32"/>
          <w:lang w:val="en-US" w:eastAsia="zh-CN"/>
        </w:rPr>
      </w:pPr>
      <w:r>
        <w:rPr>
          <w:rFonts w:hint="eastAsia" w:ascii="Times New Roman" w:eastAsia="仿宋_GB2312"/>
          <w:b w:val="0"/>
          <w:sz w:val="32"/>
          <w:szCs w:val="32"/>
          <w:lang w:val="en-US" w:eastAsia="zh-CN"/>
        </w:rPr>
        <w:t>各项目</w:t>
      </w:r>
      <w:r>
        <w:rPr>
          <w:rFonts w:ascii="Times New Roman" w:eastAsia="仿宋_GB2312"/>
          <w:b w:val="0"/>
          <w:sz w:val="32"/>
          <w:szCs w:val="32"/>
        </w:rPr>
        <w:t>绩效自评表</w:t>
      </w:r>
      <w:r>
        <w:rPr>
          <w:rFonts w:hint="eastAsia" w:ascii="Times New Roman" w:eastAsia="仿宋_GB2312"/>
          <w:b w:val="0"/>
          <w:sz w:val="32"/>
          <w:szCs w:val="32"/>
          <w:lang w:eastAsia="zh-CN"/>
        </w:rPr>
        <w:t>：</w:t>
      </w:r>
    </w:p>
    <w:p>
      <w:pPr>
        <w:widowControl/>
        <w:spacing w:before="0" w:beforeLines="0" w:beforeAutospacing="0" w:after="0" w:afterLines="0" w:afterAutospacing="0" w:line="360" w:lineRule="auto"/>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（1）2024年镇级应急管理事务支出绩效自评表</w:t>
      </w:r>
    </w:p>
    <w:tbl>
      <w:tblPr>
        <w:tblStyle w:val="13"/>
        <w:tblW w:w="9288" w:type="dxa"/>
        <w:jc w:val="center"/>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148"/>
        <w:gridCol w:w="2826"/>
        <w:gridCol w:w="869"/>
        <w:gridCol w:w="589"/>
        <w:gridCol w:w="869"/>
        <w:gridCol w:w="634"/>
        <w:gridCol w:w="831"/>
        <w:gridCol w:w="152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0" w:hRule="atLeast"/>
          <w:jc w:val="center"/>
        </w:trPr>
        <w:tc>
          <w:tcPr>
            <w:tcW w:w="9288" w:type="dxa"/>
            <w:gridSpan w:val="8"/>
            <w:tcBorders>
              <w:top w:val="nil"/>
              <w:left w:val="nil"/>
              <w:bottom w:val="nil"/>
              <w:right w:val="nil"/>
            </w:tcBorders>
            <w:shd w:val="clear" w:color="auto" w:fill="auto"/>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9288" w:type="dxa"/>
            <w:gridSpan w:val="8"/>
            <w:tcBorders>
              <w:top w:val="nil"/>
              <w:left w:val="nil"/>
              <w:bottom w:val="nil"/>
              <w:right w:val="nil"/>
            </w:tcBorders>
            <w:shd w:val="clear" w:color="auto" w:fill="auto"/>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148" w:type="dxa"/>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填报部门：</w:t>
            </w:r>
          </w:p>
        </w:tc>
        <w:tc>
          <w:tcPr>
            <w:tcW w:w="2826" w:type="dxa"/>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石家庄市鹿泉区大河镇人民政府</w:t>
            </w:r>
          </w:p>
        </w:tc>
        <w:tc>
          <w:tcPr>
            <w:tcW w:w="869"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89"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69"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34"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31"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522" w:type="dxa"/>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金额部门：万元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148"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28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145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2024年镇级应急管理事务支出</w:t>
            </w:r>
          </w:p>
        </w:tc>
        <w:tc>
          <w:tcPr>
            <w:tcW w:w="86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实施(主管）部门</w:t>
            </w:r>
          </w:p>
        </w:tc>
        <w:tc>
          <w:tcPr>
            <w:tcW w:w="298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石家庄市鹿泉区大河镇人民政府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14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369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145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14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152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1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8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86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28.5642</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86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28.5642</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8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28.5642</w:t>
            </w:r>
          </w:p>
        </w:tc>
        <w:tc>
          <w:tcPr>
            <w:tcW w:w="152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1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8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86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28.5642</w:t>
            </w: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86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28.5642</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8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28.5642</w:t>
            </w:r>
          </w:p>
        </w:tc>
        <w:tc>
          <w:tcPr>
            <w:tcW w:w="152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1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8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8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Calibri" w:hAnsi="Calibri" w:eastAsia="宋体" w:cs="Calibri"/>
                <w:i w:val="0"/>
                <w:iCs w:val="0"/>
                <w:color w:val="000000"/>
                <w:sz w:val="20"/>
                <w:szCs w:val="20"/>
                <w:u w:val="none"/>
              </w:rPr>
            </w:pPr>
          </w:p>
        </w:tc>
        <w:tc>
          <w:tcPr>
            <w:tcW w:w="5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8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83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152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14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428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233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152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1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284"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不仅加强安全生产监督，减少生产事故的发生还有效的提升群众的消防安全意识，保障区域内不着一把火，不冒一股烟      </w:t>
            </w:r>
          </w:p>
        </w:tc>
        <w:tc>
          <w:tcPr>
            <w:tcW w:w="2334"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预期目标全部完成</w:t>
            </w:r>
          </w:p>
        </w:tc>
        <w:tc>
          <w:tcPr>
            <w:tcW w:w="152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1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28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33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52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14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28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33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52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148"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28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86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145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8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152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148"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826"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869"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145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涉及26个村</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26</w:t>
            </w:r>
            <w:r>
              <w:rPr>
                <w:rStyle w:val="25"/>
                <w:lang w:val="en-US" w:eastAsia="zh-CN" w:bidi="ar"/>
              </w:rPr>
              <w:t>个</w:t>
            </w:r>
          </w:p>
        </w:tc>
        <w:tc>
          <w:tcPr>
            <w:tcW w:w="8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26</w:t>
            </w:r>
            <w:r>
              <w:rPr>
                <w:rStyle w:val="25"/>
                <w:lang w:val="en-US" w:eastAsia="zh-CN" w:bidi="ar"/>
              </w:rPr>
              <w:t>个</w:t>
            </w:r>
          </w:p>
        </w:tc>
        <w:tc>
          <w:tcPr>
            <w:tcW w:w="152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148"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826"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6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145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消防、防火知识宣传覆盖率</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r>
              <w:rPr>
                <w:rFonts w:hint="default" w:ascii="Calibri" w:hAnsi="Calibri" w:eastAsia="宋体" w:cs="Calibri"/>
                <w:i w:val="0"/>
                <w:iCs w:val="0"/>
                <w:color w:val="000000"/>
                <w:kern w:val="0"/>
                <w:sz w:val="20"/>
                <w:szCs w:val="20"/>
                <w:u w:val="none"/>
                <w:lang w:val="en-US" w:eastAsia="zh-CN" w:bidi="ar"/>
              </w:rPr>
              <w:t>95%</w:t>
            </w:r>
          </w:p>
        </w:tc>
        <w:tc>
          <w:tcPr>
            <w:tcW w:w="8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r>
              <w:rPr>
                <w:rFonts w:hint="default" w:ascii="Calibri" w:hAnsi="Calibri" w:eastAsia="宋体" w:cs="Calibri"/>
                <w:i w:val="0"/>
                <w:iCs w:val="0"/>
                <w:color w:val="000000"/>
                <w:kern w:val="0"/>
                <w:sz w:val="20"/>
                <w:szCs w:val="20"/>
                <w:u w:val="none"/>
                <w:lang w:val="en-US" w:eastAsia="zh-CN" w:bidi="ar"/>
              </w:rPr>
              <w:t>95%</w:t>
            </w:r>
          </w:p>
        </w:tc>
        <w:tc>
          <w:tcPr>
            <w:tcW w:w="152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148"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826"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6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145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消防安全隐患排查及时率</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r>
              <w:rPr>
                <w:rFonts w:hint="default" w:ascii="Calibri" w:hAnsi="Calibri" w:eastAsia="宋体" w:cs="Calibri"/>
                <w:i w:val="0"/>
                <w:iCs w:val="0"/>
                <w:color w:val="000000"/>
                <w:kern w:val="0"/>
                <w:sz w:val="20"/>
                <w:szCs w:val="20"/>
                <w:u w:val="none"/>
                <w:lang w:val="en-US" w:eastAsia="zh-CN" w:bidi="ar"/>
              </w:rPr>
              <w:t>95%</w:t>
            </w:r>
          </w:p>
        </w:tc>
        <w:tc>
          <w:tcPr>
            <w:tcW w:w="8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r>
              <w:rPr>
                <w:rFonts w:hint="default" w:ascii="Calibri" w:hAnsi="Calibri" w:eastAsia="宋体" w:cs="Calibri"/>
                <w:i w:val="0"/>
                <w:iCs w:val="0"/>
                <w:color w:val="000000"/>
                <w:kern w:val="0"/>
                <w:sz w:val="20"/>
                <w:szCs w:val="20"/>
                <w:u w:val="none"/>
                <w:lang w:val="en-US" w:eastAsia="zh-CN" w:bidi="ar"/>
              </w:rPr>
              <w:t>95%</w:t>
            </w:r>
          </w:p>
        </w:tc>
        <w:tc>
          <w:tcPr>
            <w:tcW w:w="152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148"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826"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6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145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所需经费成本</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r>
              <w:rPr>
                <w:rFonts w:hint="default" w:ascii="Calibri" w:hAnsi="Calibri" w:eastAsia="宋体" w:cs="Calibri"/>
                <w:i w:val="0"/>
                <w:iCs w:val="0"/>
                <w:color w:val="000000"/>
                <w:kern w:val="0"/>
                <w:sz w:val="20"/>
                <w:szCs w:val="20"/>
                <w:u w:val="none"/>
                <w:lang w:val="en-US" w:eastAsia="zh-CN" w:bidi="ar"/>
              </w:rPr>
              <w:t>30</w:t>
            </w:r>
          </w:p>
        </w:tc>
        <w:tc>
          <w:tcPr>
            <w:tcW w:w="8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28.5642</w:t>
            </w:r>
          </w:p>
        </w:tc>
        <w:tc>
          <w:tcPr>
            <w:tcW w:w="152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148"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8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869"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1458" w:type="dxa"/>
            <w:gridSpan w:val="2"/>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8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52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148"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826" w:type="dxa"/>
            <w:vMerge w:val="restart"/>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69"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145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受益人口数</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r>
              <w:rPr>
                <w:rFonts w:hint="default" w:ascii="Calibri" w:hAnsi="Calibri" w:eastAsia="宋体" w:cs="Calibri"/>
                <w:i w:val="0"/>
                <w:iCs w:val="0"/>
                <w:color w:val="000000"/>
                <w:kern w:val="0"/>
                <w:sz w:val="20"/>
                <w:szCs w:val="20"/>
                <w:u w:val="none"/>
                <w:lang w:val="en-US" w:eastAsia="zh-CN" w:bidi="ar"/>
              </w:rPr>
              <w:t>4.5</w:t>
            </w:r>
            <w:r>
              <w:rPr>
                <w:rStyle w:val="25"/>
                <w:lang w:val="en-US" w:eastAsia="zh-CN" w:bidi="ar"/>
              </w:rPr>
              <w:t>万人</w:t>
            </w:r>
          </w:p>
        </w:tc>
        <w:tc>
          <w:tcPr>
            <w:tcW w:w="8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r>
              <w:rPr>
                <w:rFonts w:hint="default" w:ascii="Calibri" w:hAnsi="Calibri" w:eastAsia="宋体" w:cs="Calibri"/>
                <w:i w:val="0"/>
                <w:iCs w:val="0"/>
                <w:color w:val="000000"/>
                <w:kern w:val="0"/>
                <w:sz w:val="20"/>
                <w:szCs w:val="20"/>
                <w:u w:val="none"/>
                <w:lang w:val="en-US" w:eastAsia="zh-CN" w:bidi="ar"/>
              </w:rPr>
              <w:t>4.5</w:t>
            </w:r>
            <w:r>
              <w:rPr>
                <w:rStyle w:val="25"/>
                <w:lang w:val="en-US" w:eastAsia="zh-CN" w:bidi="ar"/>
              </w:rPr>
              <w:t>万人</w:t>
            </w:r>
          </w:p>
        </w:tc>
        <w:tc>
          <w:tcPr>
            <w:tcW w:w="152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148"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826"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69"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145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可持续发挥作用年限</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≥5</w:t>
            </w:r>
            <w:r>
              <w:rPr>
                <w:rFonts w:hint="eastAsia" w:ascii="宋体" w:hAnsi="宋体" w:eastAsia="宋体" w:cs="宋体"/>
                <w:i w:val="0"/>
                <w:iCs w:val="0"/>
                <w:color w:val="000000"/>
                <w:kern w:val="0"/>
                <w:sz w:val="20"/>
                <w:szCs w:val="20"/>
                <w:u w:val="none"/>
                <w:lang w:val="en-US" w:eastAsia="zh-CN" w:bidi="ar"/>
              </w:rPr>
              <w:t>年</w:t>
            </w:r>
          </w:p>
        </w:tc>
        <w:tc>
          <w:tcPr>
            <w:tcW w:w="8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≥5</w:t>
            </w:r>
            <w:r>
              <w:rPr>
                <w:rFonts w:hint="eastAsia" w:ascii="宋体" w:hAnsi="宋体" w:eastAsia="宋体" w:cs="宋体"/>
                <w:i w:val="0"/>
                <w:iCs w:val="0"/>
                <w:color w:val="000000"/>
                <w:kern w:val="0"/>
                <w:sz w:val="20"/>
                <w:szCs w:val="20"/>
                <w:u w:val="none"/>
                <w:lang w:val="en-US" w:eastAsia="zh-CN" w:bidi="ar"/>
              </w:rPr>
              <w:t>年</w:t>
            </w:r>
          </w:p>
        </w:tc>
        <w:tc>
          <w:tcPr>
            <w:tcW w:w="152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148"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82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869"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145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调查问卷中，满意和较满意人数的比例</w:t>
            </w:r>
          </w:p>
        </w:tc>
        <w:tc>
          <w:tcPr>
            <w:tcW w:w="63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83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152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148"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618"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152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148"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814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bl>
    <w:p>
      <w:pPr>
        <w:widowControl/>
        <w:spacing w:before="0" w:beforeLines="0" w:beforeAutospacing="0" w:after="0" w:afterLines="0" w:afterAutospacing="0" w:line="360" w:lineRule="auto"/>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w:t>
      </w:r>
      <w:r>
        <w:rPr>
          <w:rFonts w:hint="eastAsia" w:ascii="Times New Roman" w:eastAsia="仿宋_GB2312"/>
          <w:b w:val="0"/>
          <w:sz w:val="32"/>
          <w:szCs w:val="32"/>
        </w:rPr>
        <w:t>2024年镇级卫生及计划生育事物支出</w:t>
      </w:r>
      <w:r>
        <w:rPr>
          <w:rFonts w:hint="eastAsia" w:ascii="仿宋_GB2312" w:hAnsi="仿宋_GB2312" w:eastAsia="仿宋_GB2312" w:cs="仿宋_GB2312"/>
          <w:sz w:val="32"/>
          <w:szCs w:val="32"/>
          <w:lang w:val="en-US" w:eastAsia="zh-CN"/>
        </w:rPr>
        <w:t>绩效自评表</w:t>
      </w:r>
    </w:p>
    <w:tbl>
      <w:tblPr>
        <w:tblStyle w:val="13"/>
        <w:tblW w:w="9288" w:type="dxa"/>
        <w:jc w:val="center"/>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216"/>
        <w:gridCol w:w="3016"/>
        <w:gridCol w:w="716"/>
        <w:gridCol w:w="619"/>
        <w:gridCol w:w="717"/>
        <w:gridCol w:w="667"/>
        <w:gridCol w:w="721"/>
        <w:gridCol w:w="161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0" w:hRule="atLeast"/>
          <w:jc w:val="center"/>
        </w:trPr>
        <w:tc>
          <w:tcPr>
            <w:tcW w:w="9288" w:type="dxa"/>
            <w:gridSpan w:val="8"/>
            <w:tcBorders>
              <w:top w:val="nil"/>
              <w:left w:val="nil"/>
              <w:bottom w:val="nil"/>
              <w:right w:val="nil"/>
            </w:tcBorders>
            <w:shd w:val="clear" w:color="auto" w:fill="auto"/>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9288" w:type="dxa"/>
            <w:gridSpan w:val="8"/>
            <w:tcBorders>
              <w:top w:val="nil"/>
              <w:left w:val="nil"/>
              <w:bottom w:val="nil"/>
              <w:right w:val="nil"/>
            </w:tcBorders>
            <w:shd w:val="clear" w:color="auto" w:fill="auto"/>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216" w:type="dxa"/>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填报部门：</w:t>
            </w:r>
          </w:p>
        </w:tc>
        <w:tc>
          <w:tcPr>
            <w:tcW w:w="3016" w:type="dxa"/>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石家庄市鹿泉区大河镇人民政府</w:t>
            </w:r>
          </w:p>
        </w:tc>
        <w:tc>
          <w:tcPr>
            <w:tcW w:w="716"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19"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17"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67"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21"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616" w:type="dxa"/>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金额部门：万元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216"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3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13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2024年镇级卫生及计划生育支出</w:t>
            </w:r>
          </w:p>
        </w:tc>
        <w:tc>
          <w:tcPr>
            <w:tcW w:w="71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实施(主管）部门</w:t>
            </w:r>
          </w:p>
        </w:tc>
        <w:tc>
          <w:tcPr>
            <w:tcW w:w="300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石家庄市鹿泉区大河镇人民政府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21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37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133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13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2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7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10.35</w:t>
            </w: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71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10.35</w:t>
            </w:r>
          </w:p>
        </w:tc>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10.35</w:t>
            </w:r>
          </w:p>
        </w:tc>
        <w:tc>
          <w:tcPr>
            <w:tcW w:w="161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2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7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10.35</w:t>
            </w: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71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10.35</w:t>
            </w:r>
          </w:p>
        </w:tc>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10.35</w:t>
            </w:r>
          </w:p>
        </w:tc>
        <w:tc>
          <w:tcPr>
            <w:tcW w:w="16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2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71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Calibri" w:hAnsi="Calibri" w:eastAsia="宋体" w:cs="Calibri"/>
                <w:i w:val="0"/>
                <w:iCs w:val="0"/>
                <w:color w:val="000000"/>
                <w:sz w:val="20"/>
                <w:szCs w:val="20"/>
                <w:u w:val="none"/>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71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16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21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435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210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2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351"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落实计生帮扶政策、疫情防控物资支出等，搞好计生健康服务及奖励慰问到位，提高群众幸福度     </w:t>
            </w:r>
          </w:p>
        </w:tc>
        <w:tc>
          <w:tcPr>
            <w:tcW w:w="210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预期目标全部完成</w:t>
            </w:r>
          </w:p>
        </w:tc>
        <w:tc>
          <w:tcPr>
            <w:tcW w:w="161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2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35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10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6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2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35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10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6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216"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3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7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133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2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016"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716"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133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独生子女数量</w:t>
            </w:r>
          </w:p>
        </w:tc>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785</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785</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2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016"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1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133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补助发放精准率</w:t>
            </w:r>
          </w:p>
        </w:tc>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r>
              <w:rPr>
                <w:rStyle w:val="26"/>
                <w:rFonts w:eastAsia="宋体"/>
                <w:lang w:val="en-US" w:eastAsia="zh-CN" w:bidi="ar"/>
              </w:rPr>
              <w:t>95%</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2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016"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33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补助发放覆盖率</w:t>
            </w:r>
          </w:p>
        </w:tc>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2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016"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133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补助发放时间</w:t>
            </w:r>
          </w:p>
        </w:tc>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2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016"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133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农村独生子女补助金发放标准</w:t>
            </w:r>
          </w:p>
        </w:tc>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r>
              <w:rPr>
                <w:rFonts w:hint="eastAsia" w:ascii="宋体" w:hAnsi="宋体" w:eastAsia="宋体" w:cs="宋体"/>
                <w:i w:val="0"/>
                <w:iCs w:val="0"/>
                <w:color w:val="000000"/>
                <w:kern w:val="0"/>
                <w:sz w:val="20"/>
                <w:szCs w:val="20"/>
                <w:u w:val="none"/>
                <w:lang w:val="en-US" w:eastAsia="zh-CN" w:bidi="ar"/>
              </w:rPr>
              <w:t>元</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r>
              <w:rPr>
                <w:rFonts w:hint="eastAsia" w:ascii="宋体" w:hAnsi="宋体" w:eastAsia="宋体" w:cs="宋体"/>
                <w:i w:val="0"/>
                <w:iCs w:val="0"/>
                <w:color w:val="000000"/>
                <w:kern w:val="0"/>
                <w:sz w:val="20"/>
                <w:szCs w:val="20"/>
                <w:u w:val="none"/>
                <w:lang w:val="en-US" w:eastAsia="zh-CN" w:bidi="ar"/>
              </w:rPr>
              <w:t>元</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2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71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1336" w:type="dxa"/>
            <w:gridSpan w:val="2"/>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2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016" w:type="dxa"/>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16"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133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可持续影响时间</w:t>
            </w:r>
          </w:p>
        </w:tc>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r>
              <w:rPr>
                <w:rStyle w:val="26"/>
                <w:rFonts w:eastAsia="宋体"/>
                <w:lang w:val="en-US" w:eastAsia="zh-CN" w:bidi="ar"/>
              </w:rPr>
              <w:t>5</w:t>
            </w:r>
            <w:r>
              <w:rPr>
                <w:rFonts w:hint="eastAsia" w:ascii="宋体" w:hAnsi="宋体" w:eastAsia="宋体" w:cs="宋体"/>
                <w:i w:val="0"/>
                <w:iCs w:val="0"/>
                <w:color w:val="000000"/>
                <w:kern w:val="0"/>
                <w:sz w:val="20"/>
                <w:szCs w:val="20"/>
                <w:u w:val="none"/>
                <w:lang w:val="en-US" w:eastAsia="zh-CN" w:bidi="ar"/>
              </w:rPr>
              <w:t>年</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5</w:t>
            </w:r>
            <w:r>
              <w:rPr>
                <w:rFonts w:hint="eastAsia" w:ascii="宋体" w:hAnsi="宋体" w:eastAsia="宋体" w:cs="宋体"/>
                <w:i w:val="0"/>
                <w:iCs w:val="0"/>
                <w:color w:val="000000"/>
                <w:kern w:val="0"/>
                <w:sz w:val="20"/>
                <w:szCs w:val="20"/>
                <w:u w:val="none"/>
                <w:lang w:val="en-US" w:eastAsia="zh-CN" w:bidi="ar"/>
              </w:rPr>
              <w:t>年</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2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716"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133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调查问卷中，满意和较满意人数的比例</w:t>
            </w:r>
          </w:p>
        </w:tc>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7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2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45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216"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8072"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bl>
    <w:p>
      <w:pPr>
        <w:widowControl/>
        <w:spacing w:before="0" w:beforeLines="0" w:beforeAutospacing="0" w:after="0" w:afterLines="0" w:afterAutospacing="0" w:line="360" w:lineRule="auto"/>
        <w:jc w:val="left"/>
        <w:rPr>
          <w:rFonts w:hint="eastAsia" w:ascii="仿宋_GB2312" w:hAnsi="仿宋_GB2312" w:eastAsia="仿宋_GB2312" w:cs="仿宋_GB2312"/>
          <w:sz w:val="32"/>
          <w:szCs w:val="32"/>
          <w:lang w:val="en-US" w:eastAsia="zh-CN"/>
        </w:rPr>
      </w:pPr>
    </w:p>
    <w:p>
      <w:pPr>
        <w:widowControl/>
        <w:spacing w:before="0" w:beforeLines="0" w:beforeAutospacing="0" w:after="0" w:afterLines="0" w:afterAutospacing="0" w:line="360" w:lineRule="auto"/>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（3）2024年镇级节能环保大气污染防治支出绩效自评表</w:t>
      </w:r>
    </w:p>
    <w:tbl>
      <w:tblPr>
        <w:tblStyle w:val="13"/>
        <w:tblW w:w="9288" w:type="dxa"/>
        <w:jc w:val="center"/>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280"/>
        <w:gridCol w:w="3020"/>
        <w:gridCol w:w="450"/>
        <w:gridCol w:w="698"/>
        <w:gridCol w:w="646"/>
        <w:gridCol w:w="838"/>
        <w:gridCol w:w="737"/>
        <w:gridCol w:w="161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0" w:hRule="atLeast"/>
          <w:jc w:val="center"/>
        </w:trPr>
        <w:tc>
          <w:tcPr>
            <w:tcW w:w="9288" w:type="dxa"/>
            <w:gridSpan w:val="8"/>
            <w:tcBorders>
              <w:top w:val="nil"/>
              <w:left w:val="nil"/>
              <w:bottom w:val="nil"/>
              <w:right w:val="nil"/>
            </w:tcBorders>
            <w:shd w:val="clear" w:color="auto" w:fill="auto"/>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9288" w:type="dxa"/>
            <w:gridSpan w:val="8"/>
            <w:tcBorders>
              <w:top w:val="nil"/>
              <w:left w:val="nil"/>
              <w:bottom w:val="nil"/>
              <w:right w:val="nil"/>
            </w:tcBorders>
            <w:shd w:val="clear" w:color="auto" w:fill="auto"/>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280" w:type="dxa"/>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填报部门：</w:t>
            </w:r>
          </w:p>
        </w:tc>
        <w:tc>
          <w:tcPr>
            <w:tcW w:w="3020" w:type="dxa"/>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石家庄市鹿泉区大河镇人民政府</w:t>
            </w:r>
          </w:p>
        </w:tc>
        <w:tc>
          <w:tcPr>
            <w:tcW w:w="450"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98"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46"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38"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37"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619" w:type="dxa"/>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金额部门：万元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280"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30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114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2024年镇级节能环保大气污染防治支出</w:t>
            </w:r>
          </w:p>
        </w:tc>
        <w:tc>
          <w:tcPr>
            <w:tcW w:w="6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实施(主管）部门</w:t>
            </w:r>
          </w:p>
        </w:tc>
        <w:tc>
          <w:tcPr>
            <w:tcW w:w="319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石家庄市鹿泉区大河镇人民政府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2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34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13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15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16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2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0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4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w:t>
            </w: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6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w:t>
            </w:r>
          </w:p>
        </w:tc>
        <w:tc>
          <w:tcPr>
            <w:tcW w:w="8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7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20</w:t>
            </w:r>
          </w:p>
        </w:tc>
        <w:tc>
          <w:tcPr>
            <w:tcW w:w="161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2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0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4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w:t>
            </w: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6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w:t>
            </w:r>
          </w:p>
        </w:tc>
        <w:tc>
          <w:tcPr>
            <w:tcW w:w="8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7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w:t>
            </w:r>
          </w:p>
        </w:tc>
        <w:tc>
          <w:tcPr>
            <w:tcW w:w="16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2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0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45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Calibri" w:hAnsi="Calibri" w:eastAsia="宋体" w:cs="Calibri"/>
                <w:i w:val="0"/>
                <w:iCs w:val="0"/>
                <w:color w:val="000000"/>
                <w:sz w:val="20"/>
                <w:szCs w:val="20"/>
                <w:u w:val="none"/>
              </w:rPr>
            </w:pP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64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8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73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16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2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416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222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16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2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168"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施工工地、企业等全面巡查切实做好维护、洒水降尘等防治，营造良好的空气环境</w:t>
            </w:r>
          </w:p>
        </w:tc>
        <w:tc>
          <w:tcPr>
            <w:tcW w:w="2221"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预期目标全部完成</w:t>
            </w:r>
          </w:p>
        </w:tc>
        <w:tc>
          <w:tcPr>
            <w:tcW w:w="161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2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16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22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6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2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16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22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6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280"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30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4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13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8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7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16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28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020"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45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13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每个月排查企业的次数</w:t>
            </w:r>
          </w:p>
        </w:tc>
        <w:tc>
          <w:tcPr>
            <w:tcW w:w="8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7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16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28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020"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3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每天巡查次数不低于1次</w:t>
            </w:r>
          </w:p>
        </w:tc>
        <w:tc>
          <w:tcPr>
            <w:tcW w:w="8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7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w:t>
            </w:r>
          </w:p>
        </w:tc>
        <w:tc>
          <w:tcPr>
            <w:tcW w:w="16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28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020"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3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每天洒水的次数</w:t>
            </w:r>
          </w:p>
        </w:tc>
        <w:tc>
          <w:tcPr>
            <w:tcW w:w="8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≥5</w:t>
            </w:r>
          </w:p>
        </w:tc>
        <w:tc>
          <w:tcPr>
            <w:tcW w:w="7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5</w:t>
            </w:r>
          </w:p>
        </w:tc>
        <w:tc>
          <w:tcPr>
            <w:tcW w:w="16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28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020"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13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已排查治理污染源占应排查治理污染源的比率</w:t>
            </w:r>
          </w:p>
        </w:tc>
        <w:tc>
          <w:tcPr>
            <w:tcW w:w="8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r>
              <w:rPr>
                <w:rFonts w:ascii="Calibri" w:hAnsi="Calibri" w:eastAsia="宋体" w:cs="Calibri"/>
                <w:i w:val="0"/>
                <w:iCs w:val="0"/>
                <w:color w:val="000000"/>
                <w:kern w:val="0"/>
                <w:sz w:val="20"/>
                <w:szCs w:val="20"/>
                <w:u w:val="none"/>
                <w:lang w:val="en-US" w:eastAsia="zh-CN" w:bidi="ar"/>
              </w:rPr>
              <w:t>95%</w:t>
            </w:r>
          </w:p>
        </w:tc>
        <w:tc>
          <w:tcPr>
            <w:tcW w:w="7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16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28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020"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1344" w:type="dxa"/>
            <w:gridSpan w:val="2"/>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有记录的巡查维护到场次数占规定次数的比率</w:t>
            </w:r>
          </w:p>
        </w:tc>
        <w:tc>
          <w:tcPr>
            <w:tcW w:w="8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r>
              <w:rPr>
                <w:rFonts w:ascii="Calibri" w:hAnsi="Calibri" w:eastAsia="宋体" w:cs="Calibri"/>
                <w:i w:val="0"/>
                <w:iCs w:val="0"/>
                <w:color w:val="000000"/>
                <w:kern w:val="0"/>
                <w:sz w:val="20"/>
                <w:szCs w:val="20"/>
                <w:u w:val="none"/>
                <w:lang w:val="en-US" w:eastAsia="zh-CN" w:bidi="ar"/>
              </w:rPr>
              <w:t>95%</w:t>
            </w:r>
          </w:p>
        </w:tc>
        <w:tc>
          <w:tcPr>
            <w:tcW w:w="7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1619"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28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0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45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13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8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7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6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28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020" w:type="dxa"/>
            <w:vMerge w:val="restart"/>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5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13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受益人口总数</w:t>
            </w:r>
          </w:p>
        </w:tc>
        <w:tc>
          <w:tcPr>
            <w:tcW w:w="8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45000</w:t>
            </w:r>
          </w:p>
        </w:tc>
        <w:tc>
          <w:tcPr>
            <w:tcW w:w="7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45000</w:t>
            </w:r>
          </w:p>
        </w:tc>
        <w:tc>
          <w:tcPr>
            <w:tcW w:w="16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28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020"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5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13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可持续发挥效力5年以上</w:t>
            </w:r>
          </w:p>
        </w:tc>
        <w:tc>
          <w:tcPr>
            <w:tcW w:w="8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≧5</w:t>
            </w:r>
          </w:p>
        </w:tc>
        <w:tc>
          <w:tcPr>
            <w:tcW w:w="7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5</w:t>
            </w:r>
          </w:p>
        </w:tc>
        <w:tc>
          <w:tcPr>
            <w:tcW w:w="16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28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0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45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13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调查中，满意和较满意人数的比例</w:t>
            </w:r>
          </w:p>
        </w:tc>
        <w:tc>
          <w:tcPr>
            <w:tcW w:w="8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7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16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28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38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16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280"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8008"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bl>
    <w:p>
      <w:pPr>
        <w:widowControl/>
        <w:spacing w:before="0" w:beforeLines="0" w:beforeAutospacing="0" w:after="0" w:afterLines="0" w:afterAutospacing="0" w:line="360" w:lineRule="auto"/>
        <w:ind w:firstLine="640" w:firstLineChars="200"/>
        <w:jc w:val="left"/>
        <w:rPr>
          <w:rFonts w:hint="eastAsia" w:ascii="仿宋_GB2312" w:hAnsi="仿宋_GB2312" w:eastAsia="仿宋_GB2312" w:cs="仿宋_GB2312"/>
          <w:sz w:val="32"/>
          <w:szCs w:val="32"/>
          <w:lang w:val="en-US" w:eastAsia="zh-CN"/>
        </w:rPr>
      </w:pPr>
    </w:p>
    <w:p>
      <w:pPr>
        <w:widowControl/>
        <w:spacing w:before="0" w:beforeLines="0" w:beforeAutospacing="0" w:after="0" w:afterLines="0" w:afterAutospacing="0" w:line="360" w:lineRule="auto"/>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（4）2024年镇级幼儿教师及代课教师劳务支出绩效自评表</w:t>
      </w:r>
    </w:p>
    <w:tbl>
      <w:tblPr>
        <w:tblStyle w:val="13"/>
        <w:tblW w:w="9288" w:type="dxa"/>
        <w:jc w:val="center"/>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051"/>
        <w:gridCol w:w="2555"/>
        <w:gridCol w:w="1052"/>
        <w:gridCol w:w="550"/>
        <w:gridCol w:w="1052"/>
        <w:gridCol w:w="590"/>
        <w:gridCol w:w="1052"/>
        <w:gridCol w:w="138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0" w:hRule="atLeast"/>
          <w:jc w:val="center"/>
        </w:trPr>
        <w:tc>
          <w:tcPr>
            <w:tcW w:w="9288" w:type="dxa"/>
            <w:gridSpan w:val="8"/>
            <w:tcBorders>
              <w:top w:val="nil"/>
              <w:left w:val="nil"/>
              <w:bottom w:val="nil"/>
              <w:right w:val="nil"/>
            </w:tcBorders>
            <w:shd w:val="clear" w:color="auto" w:fill="auto"/>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9288" w:type="dxa"/>
            <w:gridSpan w:val="8"/>
            <w:tcBorders>
              <w:top w:val="nil"/>
              <w:left w:val="nil"/>
              <w:bottom w:val="nil"/>
              <w:right w:val="nil"/>
            </w:tcBorders>
            <w:shd w:val="clear" w:color="auto" w:fill="auto"/>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051" w:type="dxa"/>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填报部门：</w:t>
            </w:r>
          </w:p>
        </w:tc>
        <w:tc>
          <w:tcPr>
            <w:tcW w:w="2555" w:type="dxa"/>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石家庄市鹿泉区大河镇人民政府</w:t>
            </w:r>
          </w:p>
        </w:tc>
        <w:tc>
          <w:tcPr>
            <w:tcW w:w="1052"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50"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52"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90"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52"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386" w:type="dxa"/>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金额部门：万元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051"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25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160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2024年镇级幼儿教师及代课教师劳务支出</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实施(主管）部门</w:t>
            </w:r>
          </w:p>
        </w:tc>
        <w:tc>
          <w:tcPr>
            <w:tcW w:w="302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石家庄市鹿泉区大河镇人民政府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05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360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160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164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138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05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5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247.885236</w:t>
            </w:r>
          </w:p>
        </w:tc>
        <w:tc>
          <w:tcPr>
            <w:tcW w:w="5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247.885236</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247.885236</w:t>
            </w:r>
          </w:p>
        </w:tc>
        <w:tc>
          <w:tcPr>
            <w:tcW w:w="138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05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5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247.885236</w:t>
            </w:r>
          </w:p>
        </w:tc>
        <w:tc>
          <w:tcPr>
            <w:tcW w:w="5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247.885236</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247.885236</w:t>
            </w:r>
          </w:p>
        </w:tc>
        <w:tc>
          <w:tcPr>
            <w:tcW w:w="138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05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5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Calibri" w:hAnsi="Calibri" w:eastAsia="宋体" w:cs="Calibri"/>
                <w:i w:val="0"/>
                <w:iCs w:val="0"/>
                <w:color w:val="000000"/>
                <w:sz w:val="20"/>
                <w:szCs w:val="20"/>
                <w:u w:val="none"/>
              </w:rPr>
            </w:pPr>
          </w:p>
        </w:tc>
        <w:tc>
          <w:tcPr>
            <w:tcW w:w="5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138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05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415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269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138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05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157"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我镇2024年临时聘用代课教师72名，每月劳务费2200元，共需1900800元；幼儿园教师22人，月劳务费2260月，共需596640元；2名幼儿教师一次性补助54240元；聘任司机2名，共需33320元。共计2585000元。</w:t>
            </w:r>
          </w:p>
        </w:tc>
        <w:tc>
          <w:tcPr>
            <w:tcW w:w="2694"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预期目标全部完成</w:t>
            </w:r>
          </w:p>
        </w:tc>
        <w:tc>
          <w:tcPr>
            <w:tcW w:w="138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05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15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69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38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05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15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69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38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051"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25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160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138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051"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555"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1052"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160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幼儿教师数量</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22人</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22人</w:t>
            </w:r>
          </w:p>
        </w:tc>
        <w:tc>
          <w:tcPr>
            <w:tcW w:w="138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051"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55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52"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60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临时代课教师数量</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72</w:t>
            </w:r>
            <w:r>
              <w:rPr>
                <w:rFonts w:hint="eastAsia" w:ascii="宋体" w:hAnsi="宋体" w:eastAsia="宋体" w:cs="宋体"/>
                <w:i w:val="0"/>
                <w:iCs w:val="0"/>
                <w:color w:val="000000"/>
                <w:kern w:val="0"/>
                <w:sz w:val="20"/>
                <w:szCs w:val="20"/>
                <w:u w:val="none"/>
                <w:lang w:val="en-US" w:eastAsia="zh-CN" w:bidi="ar"/>
              </w:rPr>
              <w:t>人</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72</w:t>
            </w:r>
            <w:r>
              <w:rPr>
                <w:rFonts w:hint="eastAsia" w:ascii="宋体" w:hAnsi="宋体" w:eastAsia="宋体" w:cs="宋体"/>
                <w:i w:val="0"/>
                <w:iCs w:val="0"/>
                <w:color w:val="000000"/>
                <w:kern w:val="0"/>
                <w:sz w:val="20"/>
                <w:szCs w:val="20"/>
                <w:u w:val="none"/>
                <w:lang w:val="en-US" w:eastAsia="zh-CN" w:bidi="ar"/>
              </w:rPr>
              <w:t>人</w:t>
            </w:r>
          </w:p>
        </w:tc>
        <w:tc>
          <w:tcPr>
            <w:tcW w:w="138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051"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55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160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补助发放人员范围的精准性和发放数据精准性</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38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051"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55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160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及时发放的补助占应及时发放补助的比例</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38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051"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55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160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幼儿教师每人每月</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2260</w:t>
            </w:r>
            <w:r>
              <w:rPr>
                <w:rFonts w:hint="eastAsia" w:ascii="宋体" w:hAnsi="宋体" w:eastAsia="宋体" w:cs="宋体"/>
                <w:i w:val="0"/>
                <w:iCs w:val="0"/>
                <w:color w:val="000000"/>
                <w:kern w:val="0"/>
                <w:sz w:val="20"/>
                <w:szCs w:val="20"/>
                <w:u w:val="none"/>
                <w:lang w:val="en-US" w:eastAsia="zh-CN" w:bidi="ar"/>
              </w:rPr>
              <w:t>元</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2260</w:t>
            </w:r>
            <w:r>
              <w:rPr>
                <w:rFonts w:hint="eastAsia" w:ascii="宋体" w:hAnsi="宋体" w:eastAsia="宋体" w:cs="宋体"/>
                <w:i w:val="0"/>
                <w:iCs w:val="0"/>
                <w:color w:val="000000"/>
                <w:kern w:val="0"/>
                <w:sz w:val="20"/>
                <w:szCs w:val="20"/>
                <w:u w:val="none"/>
                <w:lang w:val="en-US" w:eastAsia="zh-CN" w:bidi="ar"/>
              </w:rPr>
              <w:t>元</w:t>
            </w:r>
          </w:p>
        </w:tc>
        <w:tc>
          <w:tcPr>
            <w:tcW w:w="138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051"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5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05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1602" w:type="dxa"/>
            <w:gridSpan w:val="2"/>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38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051"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555" w:type="dxa"/>
            <w:vMerge w:val="restart"/>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52"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160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受益人口数</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r>
              <w:rPr>
                <w:rFonts w:hint="default" w:ascii="Calibri" w:hAnsi="Calibri" w:eastAsia="宋体" w:cs="Calibri"/>
                <w:i w:val="0"/>
                <w:iCs w:val="0"/>
                <w:color w:val="000000"/>
                <w:kern w:val="0"/>
                <w:sz w:val="20"/>
                <w:szCs w:val="20"/>
                <w:u w:val="none"/>
                <w:lang w:val="en-US" w:eastAsia="zh-CN" w:bidi="ar"/>
              </w:rPr>
              <w:t>2500</w:t>
            </w:r>
            <w:r>
              <w:rPr>
                <w:rFonts w:hint="eastAsia" w:ascii="宋体" w:hAnsi="宋体" w:eastAsia="宋体" w:cs="宋体"/>
                <w:i w:val="0"/>
                <w:iCs w:val="0"/>
                <w:color w:val="000000"/>
                <w:kern w:val="0"/>
                <w:sz w:val="20"/>
                <w:szCs w:val="20"/>
                <w:u w:val="none"/>
                <w:lang w:val="en-US" w:eastAsia="zh-CN" w:bidi="ar"/>
              </w:rPr>
              <w:t>人</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2500</w:t>
            </w:r>
            <w:r>
              <w:rPr>
                <w:rFonts w:hint="eastAsia" w:ascii="宋体" w:hAnsi="宋体" w:eastAsia="宋体" w:cs="宋体"/>
                <w:i w:val="0"/>
                <w:iCs w:val="0"/>
                <w:color w:val="000000"/>
                <w:kern w:val="0"/>
                <w:sz w:val="20"/>
                <w:szCs w:val="20"/>
                <w:u w:val="none"/>
                <w:lang w:val="en-US" w:eastAsia="zh-CN" w:bidi="ar"/>
              </w:rPr>
              <w:t>人</w:t>
            </w:r>
          </w:p>
        </w:tc>
        <w:tc>
          <w:tcPr>
            <w:tcW w:w="138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051"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555"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52"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160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可持续影响时间</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r>
              <w:rPr>
                <w:rFonts w:hint="default" w:ascii="Calibri" w:hAnsi="Calibri" w:eastAsia="宋体" w:cs="Calibri"/>
                <w:i w:val="0"/>
                <w:iCs w:val="0"/>
                <w:color w:val="000000"/>
                <w:kern w:val="0"/>
                <w:sz w:val="20"/>
                <w:szCs w:val="20"/>
                <w:u w:val="none"/>
                <w:lang w:val="en-US" w:eastAsia="zh-CN" w:bidi="ar"/>
              </w:rPr>
              <w:t>5</w:t>
            </w:r>
            <w:r>
              <w:rPr>
                <w:rFonts w:hint="eastAsia" w:ascii="宋体" w:hAnsi="宋体" w:eastAsia="宋体" w:cs="宋体"/>
                <w:i w:val="0"/>
                <w:iCs w:val="0"/>
                <w:color w:val="000000"/>
                <w:kern w:val="0"/>
                <w:sz w:val="20"/>
                <w:szCs w:val="20"/>
                <w:u w:val="none"/>
                <w:lang w:val="en-US" w:eastAsia="zh-CN" w:bidi="ar"/>
              </w:rPr>
              <w:t>年</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5</w:t>
            </w:r>
            <w:r>
              <w:rPr>
                <w:rFonts w:hint="eastAsia" w:ascii="宋体" w:hAnsi="宋体" w:eastAsia="宋体" w:cs="宋体"/>
                <w:i w:val="0"/>
                <w:iCs w:val="0"/>
                <w:color w:val="000000"/>
                <w:kern w:val="0"/>
                <w:sz w:val="20"/>
                <w:szCs w:val="20"/>
                <w:u w:val="none"/>
                <w:lang w:val="en-US" w:eastAsia="zh-CN" w:bidi="ar"/>
              </w:rPr>
              <w:t>年</w:t>
            </w:r>
          </w:p>
        </w:tc>
        <w:tc>
          <w:tcPr>
            <w:tcW w:w="138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051"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5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052"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160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调查中，满意和较满意人数的比例</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w:t>
            </w:r>
            <w:r>
              <w:rPr>
                <w:rFonts w:hint="default" w:ascii="Calibri" w:hAnsi="Calibri" w:eastAsia="宋体" w:cs="Calibri"/>
                <w:i w:val="0"/>
                <w:iCs w:val="0"/>
                <w:color w:val="000000"/>
                <w:kern w:val="0"/>
                <w:sz w:val="20"/>
                <w:szCs w:val="20"/>
                <w:u w:val="none"/>
                <w:lang w:val="en-US" w:eastAsia="zh-CN" w:bidi="ar"/>
              </w:rPr>
              <w:t>5</w:t>
            </w:r>
          </w:p>
        </w:tc>
        <w:tc>
          <w:tcPr>
            <w:tcW w:w="105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138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051"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851"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138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051"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8237"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bl>
    <w:p>
      <w:pPr>
        <w:widowControl/>
        <w:spacing w:before="0" w:beforeLines="0" w:beforeAutospacing="0" w:after="0" w:afterLines="0" w:afterAutospacing="0" w:line="360" w:lineRule="auto"/>
        <w:ind w:firstLine="640" w:firstLineChars="200"/>
        <w:jc w:val="left"/>
        <w:rPr>
          <w:rFonts w:hint="eastAsia" w:ascii="仿宋_GB2312" w:hAnsi="仿宋_GB2312" w:eastAsia="仿宋_GB2312" w:cs="仿宋_GB2312"/>
          <w:sz w:val="32"/>
          <w:szCs w:val="32"/>
          <w:lang w:val="en-US" w:eastAsia="zh-CN"/>
        </w:rPr>
      </w:pPr>
    </w:p>
    <w:p>
      <w:pPr>
        <w:widowControl/>
        <w:spacing w:before="0" w:beforeLines="0" w:beforeAutospacing="0" w:after="0" w:afterLines="0" w:afterAutospacing="0" w:line="360" w:lineRule="auto"/>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（5）大河镇村级基础设施提升、环境卫生整治补助绩效自评表</w:t>
      </w:r>
    </w:p>
    <w:tbl>
      <w:tblPr>
        <w:tblStyle w:val="13"/>
        <w:tblW w:w="9288" w:type="dxa"/>
        <w:jc w:val="center"/>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258"/>
        <w:gridCol w:w="3022"/>
        <w:gridCol w:w="438"/>
        <w:gridCol w:w="676"/>
        <w:gridCol w:w="632"/>
        <w:gridCol w:w="869"/>
        <w:gridCol w:w="773"/>
        <w:gridCol w:w="162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0" w:hRule="atLeast"/>
          <w:jc w:val="center"/>
        </w:trPr>
        <w:tc>
          <w:tcPr>
            <w:tcW w:w="9288" w:type="dxa"/>
            <w:gridSpan w:val="8"/>
            <w:tcBorders>
              <w:top w:val="nil"/>
              <w:left w:val="nil"/>
              <w:bottom w:val="nil"/>
              <w:right w:val="nil"/>
            </w:tcBorders>
            <w:shd w:val="clear" w:color="auto" w:fill="auto"/>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9288" w:type="dxa"/>
            <w:gridSpan w:val="8"/>
            <w:tcBorders>
              <w:top w:val="nil"/>
              <w:left w:val="nil"/>
              <w:bottom w:val="nil"/>
              <w:right w:val="nil"/>
            </w:tcBorders>
            <w:shd w:val="clear" w:color="auto" w:fill="auto"/>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258" w:type="dxa"/>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填报部门：</w:t>
            </w:r>
          </w:p>
        </w:tc>
        <w:tc>
          <w:tcPr>
            <w:tcW w:w="3022" w:type="dxa"/>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石家庄市鹿泉区大河镇人民政府</w:t>
            </w:r>
          </w:p>
        </w:tc>
        <w:tc>
          <w:tcPr>
            <w:tcW w:w="438"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76"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32"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69"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73"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620" w:type="dxa"/>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金额部门：万元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258"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302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111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大河镇村级基础设施提升、环境卫生整治补助</w:t>
            </w:r>
          </w:p>
        </w:tc>
        <w:tc>
          <w:tcPr>
            <w:tcW w:w="6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实施(主管）部门</w:t>
            </w:r>
          </w:p>
        </w:tc>
        <w:tc>
          <w:tcPr>
            <w:tcW w:w="326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石家庄市鹿泉区大河镇人民政府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25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34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130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164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25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02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4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w:t>
            </w:r>
          </w:p>
        </w:tc>
        <w:tc>
          <w:tcPr>
            <w:tcW w:w="6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6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w:t>
            </w:r>
          </w:p>
        </w:tc>
        <w:tc>
          <w:tcPr>
            <w:tcW w:w="86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7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w:t>
            </w:r>
          </w:p>
        </w:tc>
        <w:tc>
          <w:tcPr>
            <w:tcW w:w="16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25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02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4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w:t>
            </w:r>
          </w:p>
        </w:tc>
        <w:tc>
          <w:tcPr>
            <w:tcW w:w="6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6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w:t>
            </w:r>
          </w:p>
        </w:tc>
        <w:tc>
          <w:tcPr>
            <w:tcW w:w="86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7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w:t>
            </w:r>
          </w:p>
        </w:tc>
        <w:tc>
          <w:tcPr>
            <w:tcW w:w="16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25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02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43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Calibri" w:hAnsi="Calibri" w:eastAsia="宋体" w:cs="Calibri"/>
                <w:i w:val="0"/>
                <w:iCs w:val="0"/>
                <w:color w:val="000000"/>
                <w:sz w:val="20"/>
                <w:szCs w:val="20"/>
                <w:u w:val="none"/>
              </w:rPr>
            </w:pPr>
          </w:p>
        </w:tc>
        <w:tc>
          <w:tcPr>
            <w:tcW w:w="6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63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86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77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16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25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413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227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25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136"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对北故城村工业区北侧道路进行修缮，提高村内整体交通水平，进行人居环境整治，提高群众生活幸福感</w:t>
            </w:r>
          </w:p>
        </w:tc>
        <w:tc>
          <w:tcPr>
            <w:tcW w:w="2274"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预期目标全部完成</w:t>
            </w:r>
          </w:p>
        </w:tc>
        <w:tc>
          <w:tcPr>
            <w:tcW w:w="16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25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13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27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6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25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13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27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6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258"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302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4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130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86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7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258"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022"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43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130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修缮道路面积</w:t>
            </w:r>
          </w:p>
        </w:tc>
        <w:tc>
          <w:tcPr>
            <w:tcW w:w="86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460.25</w:t>
            </w:r>
          </w:p>
        </w:tc>
        <w:tc>
          <w:tcPr>
            <w:tcW w:w="7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460.25平方米</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258"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022"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30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清挖垃圾土方</w:t>
            </w:r>
          </w:p>
        </w:tc>
        <w:tc>
          <w:tcPr>
            <w:tcW w:w="86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≥230</w:t>
            </w:r>
            <w:r>
              <w:rPr>
                <w:rFonts w:hint="eastAsia" w:ascii="宋体" w:hAnsi="宋体" w:eastAsia="宋体" w:cs="宋体"/>
                <w:i w:val="0"/>
                <w:iCs w:val="0"/>
                <w:color w:val="000000"/>
                <w:kern w:val="0"/>
                <w:sz w:val="20"/>
                <w:szCs w:val="20"/>
                <w:u w:val="none"/>
                <w:lang w:val="en-US" w:eastAsia="zh-CN" w:bidi="ar"/>
              </w:rPr>
              <w:t>平方米</w:t>
            </w:r>
          </w:p>
        </w:tc>
        <w:tc>
          <w:tcPr>
            <w:tcW w:w="7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230</w:t>
            </w:r>
            <w:r>
              <w:rPr>
                <w:rFonts w:hint="eastAsia" w:ascii="宋体" w:hAnsi="宋体" w:eastAsia="宋体" w:cs="宋体"/>
                <w:i w:val="0"/>
                <w:iCs w:val="0"/>
                <w:color w:val="000000"/>
                <w:kern w:val="0"/>
                <w:sz w:val="20"/>
                <w:szCs w:val="20"/>
                <w:u w:val="none"/>
                <w:lang w:val="en-US" w:eastAsia="zh-CN" w:bidi="ar"/>
              </w:rPr>
              <w:t>平方米</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258"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022"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30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安装围挡长度</w:t>
            </w:r>
          </w:p>
        </w:tc>
        <w:tc>
          <w:tcPr>
            <w:tcW w:w="86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≥200</w:t>
            </w:r>
            <w:r>
              <w:rPr>
                <w:rFonts w:hint="eastAsia" w:ascii="宋体" w:hAnsi="宋体" w:eastAsia="宋体" w:cs="宋体"/>
                <w:i w:val="0"/>
                <w:iCs w:val="0"/>
                <w:color w:val="000000"/>
                <w:kern w:val="0"/>
                <w:sz w:val="20"/>
                <w:szCs w:val="20"/>
                <w:u w:val="none"/>
                <w:lang w:val="en-US" w:eastAsia="zh-CN" w:bidi="ar"/>
              </w:rPr>
              <w:t>米</w:t>
            </w:r>
          </w:p>
        </w:tc>
        <w:tc>
          <w:tcPr>
            <w:tcW w:w="7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200</w:t>
            </w:r>
            <w:r>
              <w:rPr>
                <w:rFonts w:hint="eastAsia" w:ascii="宋体" w:hAnsi="宋体" w:eastAsia="宋体" w:cs="宋体"/>
                <w:i w:val="0"/>
                <w:iCs w:val="0"/>
                <w:color w:val="000000"/>
                <w:kern w:val="0"/>
                <w:sz w:val="20"/>
                <w:szCs w:val="20"/>
                <w:u w:val="none"/>
                <w:lang w:val="en-US" w:eastAsia="zh-CN" w:bidi="ar"/>
              </w:rPr>
              <w:t>米</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258"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022"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30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补助村庄数量</w:t>
            </w:r>
          </w:p>
        </w:tc>
        <w:tc>
          <w:tcPr>
            <w:tcW w:w="86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个</w:t>
            </w:r>
          </w:p>
        </w:tc>
        <w:tc>
          <w:tcPr>
            <w:tcW w:w="7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w:t>
            </w:r>
            <w:r>
              <w:rPr>
                <w:rFonts w:hint="eastAsia" w:ascii="宋体" w:hAnsi="宋体" w:eastAsia="宋体" w:cs="宋体"/>
                <w:i w:val="0"/>
                <w:iCs w:val="0"/>
                <w:color w:val="000000"/>
                <w:kern w:val="0"/>
                <w:sz w:val="20"/>
                <w:szCs w:val="20"/>
                <w:u w:val="none"/>
                <w:lang w:val="en-US" w:eastAsia="zh-CN" w:bidi="ar"/>
              </w:rPr>
              <w:t>个</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258"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022"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130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补助覆盖率</w:t>
            </w:r>
          </w:p>
        </w:tc>
        <w:tc>
          <w:tcPr>
            <w:tcW w:w="86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7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258"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022"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130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村级补助发放的及时性</w:t>
            </w:r>
          </w:p>
        </w:tc>
        <w:tc>
          <w:tcPr>
            <w:tcW w:w="86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7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258"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022"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130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项目所需成本</w:t>
            </w:r>
          </w:p>
        </w:tc>
        <w:tc>
          <w:tcPr>
            <w:tcW w:w="86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w:t>
            </w:r>
          </w:p>
        </w:tc>
        <w:tc>
          <w:tcPr>
            <w:tcW w:w="7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258"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02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438"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130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86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7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258"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022" w:type="dxa"/>
            <w:vMerge w:val="restart"/>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38"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130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受益人群总数</w:t>
            </w:r>
          </w:p>
        </w:tc>
        <w:tc>
          <w:tcPr>
            <w:tcW w:w="86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≥45000</w:t>
            </w:r>
            <w:r>
              <w:rPr>
                <w:rFonts w:hint="eastAsia" w:ascii="宋体" w:hAnsi="宋体" w:eastAsia="宋体" w:cs="宋体"/>
                <w:i w:val="0"/>
                <w:iCs w:val="0"/>
                <w:color w:val="000000"/>
                <w:kern w:val="0"/>
                <w:sz w:val="20"/>
                <w:szCs w:val="20"/>
                <w:u w:val="none"/>
                <w:lang w:val="en-US" w:eastAsia="zh-CN" w:bidi="ar"/>
              </w:rPr>
              <w:t>人</w:t>
            </w:r>
          </w:p>
        </w:tc>
        <w:tc>
          <w:tcPr>
            <w:tcW w:w="7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45000</w:t>
            </w:r>
            <w:r>
              <w:rPr>
                <w:rFonts w:hint="eastAsia" w:ascii="宋体" w:hAnsi="宋体" w:eastAsia="宋体" w:cs="宋体"/>
                <w:i w:val="0"/>
                <w:iCs w:val="0"/>
                <w:color w:val="000000"/>
                <w:kern w:val="0"/>
                <w:sz w:val="20"/>
                <w:szCs w:val="20"/>
                <w:u w:val="none"/>
                <w:lang w:val="en-US" w:eastAsia="zh-CN" w:bidi="ar"/>
              </w:rPr>
              <w:t>人</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258"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022"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38"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130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持续发挥作用年限</w:t>
            </w:r>
          </w:p>
        </w:tc>
        <w:tc>
          <w:tcPr>
            <w:tcW w:w="86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r>
              <w:rPr>
                <w:rFonts w:hint="eastAsia" w:ascii="宋体" w:hAnsi="宋体" w:eastAsia="宋体" w:cs="宋体"/>
                <w:i w:val="0"/>
                <w:iCs w:val="0"/>
                <w:color w:val="000000"/>
                <w:kern w:val="0"/>
                <w:sz w:val="20"/>
                <w:szCs w:val="20"/>
                <w:u w:val="none"/>
                <w:lang w:val="en-US" w:eastAsia="zh-CN" w:bidi="ar"/>
              </w:rPr>
              <w:t>年</w:t>
            </w:r>
          </w:p>
        </w:tc>
        <w:tc>
          <w:tcPr>
            <w:tcW w:w="7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r>
              <w:rPr>
                <w:rFonts w:hint="eastAsia" w:ascii="宋体" w:hAnsi="宋体" w:eastAsia="宋体" w:cs="宋体"/>
                <w:i w:val="0"/>
                <w:iCs w:val="0"/>
                <w:color w:val="000000"/>
                <w:kern w:val="0"/>
                <w:sz w:val="20"/>
                <w:szCs w:val="20"/>
                <w:u w:val="none"/>
                <w:lang w:val="en-US" w:eastAsia="zh-CN" w:bidi="ar"/>
              </w:rPr>
              <w:t>年</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258"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02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438"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130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调查中，满意和较满意人数的比例</w:t>
            </w:r>
          </w:p>
        </w:tc>
        <w:tc>
          <w:tcPr>
            <w:tcW w:w="86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77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258"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41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258"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803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bl>
    <w:p>
      <w:pPr>
        <w:widowControl/>
        <w:spacing w:before="0" w:beforeLines="0" w:beforeAutospacing="0" w:after="0" w:afterLines="0" w:afterAutospacing="0" w:line="360" w:lineRule="auto"/>
        <w:ind w:firstLine="640" w:firstLineChars="200"/>
        <w:jc w:val="left"/>
        <w:rPr>
          <w:rFonts w:hint="eastAsia" w:ascii="仿宋_GB2312" w:hAnsi="仿宋_GB2312" w:eastAsia="仿宋_GB2312" w:cs="仿宋_GB2312"/>
          <w:sz w:val="32"/>
          <w:szCs w:val="32"/>
          <w:lang w:val="en-US" w:eastAsia="zh-CN"/>
        </w:rPr>
      </w:pPr>
    </w:p>
    <w:p>
      <w:pPr>
        <w:widowControl/>
        <w:spacing w:before="0" w:beforeLines="0" w:beforeAutospacing="0" w:after="0" w:afterLines="0" w:afterAutospacing="0" w:line="360" w:lineRule="auto"/>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（6）2024年大河镇主要道路两侧提升整治支出绩效自评表</w:t>
      </w:r>
    </w:p>
    <w:tbl>
      <w:tblPr>
        <w:tblStyle w:val="13"/>
        <w:tblW w:w="9288" w:type="dxa"/>
        <w:jc w:val="center"/>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037"/>
        <w:gridCol w:w="2515"/>
        <w:gridCol w:w="1037"/>
        <w:gridCol w:w="544"/>
        <w:gridCol w:w="1037"/>
        <w:gridCol w:w="714"/>
        <w:gridCol w:w="1037"/>
        <w:gridCol w:w="136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0" w:hRule="atLeast"/>
          <w:jc w:val="center"/>
        </w:trPr>
        <w:tc>
          <w:tcPr>
            <w:tcW w:w="9288" w:type="dxa"/>
            <w:gridSpan w:val="8"/>
            <w:tcBorders>
              <w:top w:val="nil"/>
              <w:left w:val="nil"/>
              <w:bottom w:val="nil"/>
              <w:right w:val="nil"/>
            </w:tcBorders>
            <w:shd w:val="clear" w:color="auto" w:fill="auto"/>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9288" w:type="dxa"/>
            <w:gridSpan w:val="8"/>
            <w:tcBorders>
              <w:top w:val="nil"/>
              <w:left w:val="nil"/>
              <w:bottom w:val="nil"/>
              <w:right w:val="nil"/>
            </w:tcBorders>
            <w:shd w:val="clear" w:color="auto" w:fill="auto"/>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037" w:type="dxa"/>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填报部门：</w:t>
            </w:r>
          </w:p>
        </w:tc>
        <w:tc>
          <w:tcPr>
            <w:tcW w:w="2515" w:type="dxa"/>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石家庄市鹿泉区大河镇人民政府</w:t>
            </w:r>
          </w:p>
        </w:tc>
        <w:tc>
          <w:tcPr>
            <w:tcW w:w="1037"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44"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37"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14"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37"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367" w:type="dxa"/>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金额部门：万元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037"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25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158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2024年大河镇主要道路两侧提升整治支出</w:t>
            </w:r>
          </w:p>
        </w:tc>
        <w:tc>
          <w:tcPr>
            <w:tcW w:w="10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实施(主管）部门</w:t>
            </w:r>
          </w:p>
        </w:tc>
        <w:tc>
          <w:tcPr>
            <w:tcW w:w="311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石家庄市鹿泉区大河镇人民政府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03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355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158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175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0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5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10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103.828189</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10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103.828189</w:t>
            </w:r>
          </w:p>
        </w:tc>
        <w:tc>
          <w:tcPr>
            <w:tcW w:w="7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10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103.828189</w:t>
            </w:r>
          </w:p>
        </w:tc>
        <w:tc>
          <w:tcPr>
            <w:tcW w:w="136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0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5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0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103.828189</w:t>
            </w: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0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103.828189</w:t>
            </w:r>
          </w:p>
        </w:tc>
        <w:tc>
          <w:tcPr>
            <w:tcW w:w="7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0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103.828189</w:t>
            </w:r>
          </w:p>
        </w:tc>
        <w:tc>
          <w:tcPr>
            <w:tcW w:w="136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0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5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03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Calibri" w:hAnsi="Calibri" w:eastAsia="宋体" w:cs="Calibri"/>
                <w:i w:val="0"/>
                <w:iCs w:val="0"/>
                <w:color w:val="000000"/>
                <w:sz w:val="20"/>
                <w:szCs w:val="20"/>
                <w:u w:val="none"/>
              </w:rPr>
            </w:pPr>
          </w:p>
        </w:tc>
        <w:tc>
          <w:tcPr>
            <w:tcW w:w="54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03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7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03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136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03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409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278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0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096"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对我镇大河路、大成路、五七路、京赞线、石延线等我镇小街小巷的改造提升整治，提升我镇路面形象。</w:t>
            </w:r>
          </w:p>
        </w:tc>
        <w:tc>
          <w:tcPr>
            <w:tcW w:w="2788"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预期目标全部完成</w:t>
            </w:r>
          </w:p>
        </w:tc>
        <w:tc>
          <w:tcPr>
            <w:tcW w:w="136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0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09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78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36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03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09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78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36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037"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25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10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158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7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10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037"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515"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1037"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158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整治道路长度</w:t>
            </w:r>
          </w:p>
        </w:tc>
        <w:tc>
          <w:tcPr>
            <w:tcW w:w="7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≧1千米</w:t>
            </w:r>
          </w:p>
        </w:tc>
        <w:tc>
          <w:tcPr>
            <w:tcW w:w="10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1千米</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037"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51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158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路面提升整治覆盖率</w:t>
            </w:r>
          </w:p>
        </w:tc>
        <w:tc>
          <w:tcPr>
            <w:tcW w:w="7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0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037"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51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158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提升整治及时性</w:t>
            </w:r>
          </w:p>
        </w:tc>
        <w:tc>
          <w:tcPr>
            <w:tcW w:w="7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r>
              <w:rPr>
                <w:rFonts w:hint="default" w:ascii="Calibri" w:hAnsi="Calibri" w:eastAsia="宋体" w:cs="Calibri"/>
                <w:i w:val="0"/>
                <w:iCs w:val="0"/>
                <w:color w:val="000000"/>
                <w:kern w:val="0"/>
                <w:sz w:val="20"/>
                <w:szCs w:val="20"/>
                <w:u w:val="none"/>
                <w:lang w:val="en-US" w:eastAsia="zh-CN" w:bidi="ar"/>
              </w:rPr>
              <w:t>95%</w:t>
            </w:r>
          </w:p>
        </w:tc>
        <w:tc>
          <w:tcPr>
            <w:tcW w:w="10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037"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51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158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项目所需成本资金</w:t>
            </w:r>
          </w:p>
        </w:tc>
        <w:tc>
          <w:tcPr>
            <w:tcW w:w="7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r>
              <w:rPr>
                <w:rFonts w:hint="default" w:ascii="Calibri" w:hAnsi="Calibri" w:eastAsia="宋体" w:cs="Calibri"/>
                <w:i w:val="0"/>
                <w:iCs w:val="0"/>
                <w:color w:val="000000"/>
                <w:kern w:val="0"/>
                <w:sz w:val="20"/>
                <w:szCs w:val="20"/>
                <w:u w:val="none"/>
                <w:lang w:val="en-US" w:eastAsia="zh-CN" w:bidi="ar"/>
              </w:rPr>
              <w:t>110</w:t>
            </w:r>
            <w:r>
              <w:rPr>
                <w:rFonts w:hint="eastAsia" w:ascii="宋体" w:hAnsi="宋体" w:eastAsia="宋体" w:cs="宋体"/>
                <w:i w:val="0"/>
                <w:iCs w:val="0"/>
                <w:color w:val="000000"/>
                <w:kern w:val="0"/>
                <w:sz w:val="20"/>
                <w:szCs w:val="20"/>
                <w:u w:val="none"/>
                <w:lang w:val="en-US" w:eastAsia="zh-CN" w:bidi="ar"/>
              </w:rPr>
              <w:t>万元</w:t>
            </w:r>
          </w:p>
        </w:tc>
        <w:tc>
          <w:tcPr>
            <w:tcW w:w="10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103.828189</w:t>
            </w:r>
            <w:r>
              <w:rPr>
                <w:rFonts w:hint="eastAsia" w:ascii="宋体" w:hAnsi="宋体" w:eastAsia="宋体" w:cs="宋体"/>
                <w:i w:val="0"/>
                <w:iCs w:val="0"/>
                <w:color w:val="000000"/>
                <w:kern w:val="0"/>
                <w:sz w:val="20"/>
                <w:szCs w:val="20"/>
                <w:u w:val="none"/>
                <w:lang w:val="en-US" w:eastAsia="zh-CN" w:bidi="ar"/>
              </w:rPr>
              <w:t>万元</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037"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5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03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158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7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0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037"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515" w:type="dxa"/>
            <w:vMerge w:val="restart"/>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37"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158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受益人群总数</w:t>
            </w:r>
          </w:p>
        </w:tc>
        <w:tc>
          <w:tcPr>
            <w:tcW w:w="7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≥45000</w:t>
            </w:r>
            <w:r>
              <w:rPr>
                <w:rFonts w:hint="eastAsia" w:ascii="宋体" w:hAnsi="宋体" w:eastAsia="宋体" w:cs="宋体"/>
                <w:i w:val="0"/>
                <w:iCs w:val="0"/>
                <w:color w:val="000000"/>
                <w:kern w:val="0"/>
                <w:sz w:val="20"/>
                <w:szCs w:val="20"/>
                <w:u w:val="none"/>
                <w:lang w:val="en-US" w:eastAsia="zh-CN" w:bidi="ar"/>
              </w:rPr>
              <w:t>人</w:t>
            </w:r>
          </w:p>
        </w:tc>
        <w:tc>
          <w:tcPr>
            <w:tcW w:w="10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45000</w:t>
            </w:r>
            <w:r>
              <w:rPr>
                <w:rFonts w:hint="eastAsia" w:ascii="宋体" w:hAnsi="宋体" w:eastAsia="宋体" w:cs="宋体"/>
                <w:i w:val="0"/>
                <w:iCs w:val="0"/>
                <w:color w:val="000000"/>
                <w:kern w:val="0"/>
                <w:sz w:val="20"/>
                <w:szCs w:val="20"/>
                <w:u w:val="none"/>
                <w:lang w:val="en-US" w:eastAsia="zh-CN" w:bidi="ar"/>
              </w:rPr>
              <w:t>人</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037"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515"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37"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158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持续发挥作用年限</w:t>
            </w:r>
          </w:p>
        </w:tc>
        <w:tc>
          <w:tcPr>
            <w:tcW w:w="7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≥5</w:t>
            </w:r>
            <w:r>
              <w:rPr>
                <w:rFonts w:hint="eastAsia" w:ascii="宋体" w:hAnsi="宋体" w:eastAsia="宋体" w:cs="宋体"/>
                <w:i w:val="0"/>
                <w:iCs w:val="0"/>
                <w:color w:val="000000"/>
                <w:kern w:val="0"/>
                <w:sz w:val="20"/>
                <w:szCs w:val="20"/>
                <w:u w:val="none"/>
                <w:lang w:val="en-US" w:eastAsia="zh-CN" w:bidi="ar"/>
              </w:rPr>
              <w:t>年</w:t>
            </w:r>
          </w:p>
        </w:tc>
        <w:tc>
          <w:tcPr>
            <w:tcW w:w="10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5年</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037"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5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037"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158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调查中，满意和较满意人数的比例</w:t>
            </w:r>
          </w:p>
        </w:tc>
        <w:tc>
          <w:tcPr>
            <w:tcW w:w="7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103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037"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884"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136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r>
    </w:tbl>
    <w:p>
      <w:pPr>
        <w:widowControl/>
        <w:spacing w:before="0" w:beforeLines="0" w:beforeAutospacing="0" w:after="0" w:afterLines="0" w:afterAutospacing="0" w:line="360" w:lineRule="auto"/>
        <w:ind w:firstLine="640" w:firstLineChars="200"/>
        <w:jc w:val="left"/>
        <w:rPr>
          <w:rFonts w:hint="eastAsia" w:ascii="仿宋_GB2312" w:hAnsi="仿宋_GB2312" w:eastAsia="仿宋_GB2312" w:cs="仿宋_GB2312"/>
          <w:sz w:val="32"/>
          <w:szCs w:val="32"/>
          <w:lang w:val="en-US" w:eastAsia="zh-CN"/>
        </w:rPr>
      </w:pPr>
    </w:p>
    <w:p>
      <w:pPr>
        <w:widowControl/>
        <w:spacing w:before="0" w:beforeLines="0" w:beforeAutospacing="0" w:after="0" w:afterLines="0" w:afterAutospacing="0" w:line="360" w:lineRule="auto"/>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（7）文化站免费开放绩效自评表</w:t>
      </w:r>
    </w:p>
    <w:tbl>
      <w:tblPr>
        <w:tblStyle w:val="13"/>
        <w:tblW w:w="9288" w:type="dxa"/>
        <w:jc w:val="center"/>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268"/>
        <w:gridCol w:w="3019"/>
        <w:gridCol w:w="442"/>
        <w:gridCol w:w="682"/>
        <w:gridCol w:w="639"/>
        <w:gridCol w:w="881"/>
        <w:gridCol w:w="741"/>
        <w:gridCol w:w="161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0" w:hRule="atLeast"/>
          <w:jc w:val="center"/>
        </w:trPr>
        <w:tc>
          <w:tcPr>
            <w:tcW w:w="9288" w:type="dxa"/>
            <w:gridSpan w:val="8"/>
            <w:tcBorders>
              <w:top w:val="nil"/>
              <w:left w:val="nil"/>
              <w:bottom w:val="nil"/>
              <w:right w:val="nil"/>
            </w:tcBorders>
            <w:shd w:val="clear" w:color="auto" w:fill="auto"/>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9288" w:type="dxa"/>
            <w:gridSpan w:val="8"/>
            <w:tcBorders>
              <w:top w:val="nil"/>
              <w:left w:val="nil"/>
              <w:bottom w:val="nil"/>
              <w:right w:val="nil"/>
            </w:tcBorders>
            <w:shd w:val="clear" w:color="auto" w:fill="auto"/>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268" w:type="dxa"/>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填报部门：</w:t>
            </w:r>
          </w:p>
        </w:tc>
        <w:tc>
          <w:tcPr>
            <w:tcW w:w="3019" w:type="dxa"/>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石家庄市鹿泉区大河镇人民政府</w:t>
            </w:r>
          </w:p>
        </w:tc>
        <w:tc>
          <w:tcPr>
            <w:tcW w:w="442"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82"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39"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81"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41"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616" w:type="dxa"/>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金额部门：万元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268"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30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112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文化站免费开放</w:t>
            </w:r>
          </w:p>
        </w:tc>
        <w:tc>
          <w:tcPr>
            <w:tcW w:w="6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实施(主管）部门</w:t>
            </w:r>
          </w:p>
        </w:tc>
        <w:tc>
          <w:tcPr>
            <w:tcW w:w="323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石家庄市鹿泉区大河镇人民政府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26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346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132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162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2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0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44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6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61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2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0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44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6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6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2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0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44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Calibri" w:hAnsi="Calibri" w:eastAsia="宋体" w:cs="Calibri"/>
                <w:i w:val="0"/>
                <w:iCs w:val="0"/>
                <w:color w:val="000000"/>
                <w:sz w:val="20"/>
                <w:szCs w:val="20"/>
                <w:u w:val="none"/>
              </w:rPr>
            </w:pPr>
          </w:p>
        </w:tc>
        <w:tc>
          <w:tcPr>
            <w:tcW w:w="68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6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16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26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414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226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2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143"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用于文化站购置图书、杂志，开展群众文化活动等，满足群众日益增长的精神文化需要      </w:t>
            </w:r>
          </w:p>
        </w:tc>
        <w:tc>
          <w:tcPr>
            <w:tcW w:w="2261"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预期目标全部完成     </w:t>
            </w:r>
          </w:p>
        </w:tc>
        <w:tc>
          <w:tcPr>
            <w:tcW w:w="161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2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143"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26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6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2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143"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26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6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268"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30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44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132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268"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019"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442"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132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开展群众文化活动次数</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≧2次</w:t>
            </w:r>
          </w:p>
        </w:tc>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2次</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268"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019"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4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132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群众文化活动参与率</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r>
              <w:rPr>
                <w:rFonts w:hint="default" w:ascii="Calibri" w:hAnsi="Calibri" w:eastAsia="宋体" w:cs="Calibri"/>
                <w:i w:val="0"/>
                <w:iCs w:val="0"/>
                <w:color w:val="000000"/>
                <w:kern w:val="0"/>
                <w:sz w:val="20"/>
                <w:szCs w:val="20"/>
                <w:u w:val="none"/>
                <w:lang w:val="en-US" w:eastAsia="zh-CN" w:bidi="ar"/>
              </w:rPr>
              <w:t>90%</w:t>
            </w:r>
          </w:p>
        </w:tc>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268"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019"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4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132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文化活动按期完成率</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r>
              <w:rPr>
                <w:rFonts w:hint="default" w:ascii="Calibri" w:hAnsi="Calibri" w:eastAsia="宋体" w:cs="Calibri"/>
                <w:i w:val="0"/>
                <w:iCs w:val="0"/>
                <w:color w:val="000000"/>
                <w:kern w:val="0"/>
                <w:sz w:val="20"/>
                <w:szCs w:val="20"/>
                <w:u w:val="none"/>
                <w:lang w:val="en-US" w:eastAsia="zh-CN" w:bidi="ar"/>
              </w:rPr>
              <w:t>95%</w:t>
            </w:r>
          </w:p>
        </w:tc>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268"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019"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4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132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购置图书、杂志成本</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1万元</w:t>
            </w:r>
          </w:p>
        </w:tc>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万元</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268"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019"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4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32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开展群众文化活动成本</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0.5</w:t>
            </w:r>
            <w:r>
              <w:rPr>
                <w:rFonts w:hint="eastAsia" w:ascii="宋体" w:hAnsi="宋体" w:eastAsia="宋体" w:cs="宋体"/>
                <w:i w:val="0"/>
                <w:iCs w:val="0"/>
                <w:color w:val="000000"/>
                <w:kern w:val="0"/>
                <w:sz w:val="20"/>
                <w:szCs w:val="20"/>
                <w:u w:val="none"/>
                <w:lang w:val="en-US" w:eastAsia="zh-CN" w:bidi="ar"/>
              </w:rPr>
              <w:t>万元</w:t>
            </w:r>
          </w:p>
        </w:tc>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0.5</w:t>
            </w:r>
            <w:r>
              <w:rPr>
                <w:rFonts w:hint="eastAsia" w:ascii="宋体" w:hAnsi="宋体" w:eastAsia="宋体" w:cs="宋体"/>
                <w:i w:val="0"/>
                <w:iCs w:val="0"/>
                <w:color w:val="000000"/>
                <w:kern w:val="0"/>
                <w:sz w:val="20"/>
                <w:szCs w:val="20"/>
                <w:u w:val="none"/>
                <w:lang w:val="en-US" w:eastAsia="zh-CN" w:bidi="ar"/>
              </w:rPr>
              <w:t>万元</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268"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0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44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132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268"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019" w:type="dxa"/>
            <w:vMerge w:val="restart"/>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42"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132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镇域内受益人数</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≥15000</w:t>
            </w:r>
            <w:r>
              <w:rPr>
                <w:rFonts w:hint="eastAsia" w:ascii="宋体" w:hAnsi="宋体" w:eastAsia="宋体" w:cs="宋体"/>
                <w:i w:val="0"/>
                <w:iCs w:val="0"/>
                <w:color w:val="000000"/>
                <w:kern w:val="0"/>
                <w:sz w:val="20"/>
                <w:szCs w:val="20"/>
                <w:u w:val="none"/>
                <w:lang w:val="en-US" w:eastAsia="zh-CN" w:bidi="ar"/>
              </w:rPr>
              <w:t>人</w:t>
            </w:r>
          </w:p>
        </w:tc>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15000</w:t>
            </w:r>
            <w:r>
              <w:rPr>
                <w:rFonts w:hint="eastAsia" w:ascii="宋体" w:hAnsi="宋体" w:eastAsia="宋体" w:cs="宋体"/>
                <w:i w:val="0"/>
                <w:iCs w:val="0"/>
                <w:color w:val="000000"/>
                <w:kern w:val="0"/>
                <w:sz w:val="20"/>
                <w:szCs w:val="20"/>
                <w:u w:val="none"/>
                <w:lang w:val="en-US" w:eastAsia="zh-CN" w:bidi="ar"/>
              </w:rPr>
              <w:t>人</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268"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019"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42"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132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持续发挥作用年限</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≥3</w:t>
            </w:r>
            <w:r>
              <w:rPr>
                <w:rFonts w:hint="eastAsia" w:ascii="宋体" w:hAnsi="宋体" w:eastAsia="宋体" w:cs="宋体"/>
                <w:i w:val="0"/>
                <w:iCs w:val="0"/>
                <w:color w:val="000000"/>
                <w:kern w:val="0"/>
                <w:sz w:val="20"/>
                <w:szCs w:val="20"/>
                <w:u w:val="none"/>
                <w:lang w:val="en-US" w:eastAsia="zh-CN" w:bidi="ar"/>
              </w:rPr>
              <w:t>年</w:t>
            </w:r>
          </w:p>
        </w:tc>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3年</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268"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0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442"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132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调查中，满意和较满意人数的比例</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268"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404"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16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268"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802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bl>
    <w:p>
      <w:pPr>
        <w:widowControl/>
        <w:spacing w:before="0" w:beforeLines="0" w:beforeAutospacing="0" w:after="0" w:afterLines="0" w:afterAutospacing="0" w:line="360" w:lineRule="auto"/>
        <w:ind w:firstLine="640" w:firstLineChars="200"/>
        <w:jc w:val="left"/>
        <w:rPr>
          <w:rFonts w:hint="eastAsia" w:ascii="仿宋_GB2312" w:hAnsi="仿宋_GB2312" w:eastAsia="仿宋_GB2312" w:cs="仿宋_GB2312"/>
          <w:sz w:val="32"/>
          <w:szCs w:val="32"/>
          <w:lang w:val="en-US" w:eastAsia="zh-CN"/>
        </w:rPr>
      </w:pPr>
    </w:p>
    <w:p>
      <w:pPr>
        <w:widowControl/>
        <w:spacing w:before="0" w:beforeLines="0" w:beforeAutospacing="0" w:after="0" w:afterLines="0" w:afterAutospacing="0" w:line="360" w:lineRule="auto"/>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（8）2024年区级退役公益岗位、派遣人员工资、社保绩效自评表</w:t>
      </w:r>
    </w:p>
    <w:tbl>
      <w:tblPr>
        <w:tblStyle w:val="13"/>
        <w:tblW w:w="9288" w:type="dxa"/>
        <w:jc w:val="center"/>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271"/>
        <w:gridCol w:w="3020"/>
        <w:gridCol w:w="639"/>
        <w:gridCol w:w="687"/>
        <w:gridCol w:w="641"/>
        <w:gridCol w:w="732"/>
        <w:gridCol w:w="678"/>
        <w:gridCol w:w="162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0" w:hRule="atLeast"/>
          <w:jc w:val="center"/>
        </w:trPr>
        <w:tc>
          <w:tcPr>
            <w:tcW w:w="9288" w:type="dxa"/>
            <w:gridSpan w:val="8"/>
            <w:tcBorders>
              <w:top w:val="nil"/>
              <w:left w:val="nil"/>
              <w:bottom w:val="nil"/>
              <w:right w:val="nil"/>
            </w:tcBorders>
            <w:shd w:val="clear" w:color="auto" w:fill="auto"/>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9288" w:type="dxa"/>
            <w:gridSpan w:val="8"/>
            <w:tcBorders>
              <w:top w:val="nil"/>
              <w:left w:val="nil"/>
              <w:bottom w:val="nil"/>
              <w:right w:val="nil"/>
            </w:tcBorders>
            <w:shd w:val="clear" w:color="auto" w:fill="auto"/>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271" w:type="dxa"/>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填报部门：</w:t>
            </w:r>
          </w:p>
        </w:tc>
        <w:tc>
          <w:tcPr>
            <w:tcW w:w="3020" w:type="dxa"/>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石家庄市鹿泉区大河镇人民政府</w:t>
            </w:r>
          </w:p>
        </w:tc>
        <w:tc>
          <w:tcPr>
            <w:tcW w:w="639"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87"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41"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32"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78"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620" w:type="dxa"/>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金额部门：万元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271"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30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13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2024年区级退役公益岗位、派遣人员工资、社保</w:t>
            </w:r>
          </w:p>
        </w:tc>
        <w:tc>
          <w:tcPr>
            <w:tcW w:w="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实施(主管）部门</w:t>
            </w:r>
          </w:p>
        </w:tc>
        <w:tc>
          <w:tcPr>
            <w:tcW w:w="303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石家庄市鹿泉区大河镇人民政府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2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36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132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14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2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0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6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66.2</w:t>
            </w:r>
          </w:p>
        </w:tc>
        <w:tc>
          <w:tcPr>
            <w:tcW w:w="6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66.2</w:t>
            </w:r>
          </w:p>
        </w:tc>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67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66.2</w:t>
            </w:r>
          </w:p>
        </w:tc>
        <w:tc>
          <w:tcPr>
            <w:tcW w:w="16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2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0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6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66.2</w:t>
            </w:r>
          </w:p>
        </w:tc>
        <w:tc>
          <w:tcPr>
            <w:tcW w:w="6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6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66.2</w:t>
            </w:r>
          </w:p>
        </w:tc>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67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66.2</w:t>
            </w:r>
          </w:p>
        </w:tc>
        <w:tc>
          <w:tcPr>
            <w:tcW w:w="16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2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0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6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Calibri" w:hAnsi="Calibri" w:eastAsia="宋体" w:cs="Calibri"/>
                <w:i w:val="0"/>
                <w:iCs w:val="0"/>
                <w:color w:val="000000"/>
                <w:sz w:val="20"/>
                <w:szCs w:val="20"/>
                <w:u w:val="none"/>
              </w:rPr>
            </w:pPr>
          </w:p>
        </w:tc>
        <w:tc>
          <w:tcPr>
            <w:tcW w:w="68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64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67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16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2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434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205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2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346"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退役人员13人，工资、社保67.1万元，取暖费2.2万元</w:t>
            </w:r>
          </w:p>
        </w:tc>
        <w:tc>
          <w:tcPr>
            <w:tcW w:w="2051"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预期目标全部完成  </w:t>
            </w:r>
          </w:p>
        </w:tc>
        <w:tc>
          <w:tcPr>
            <w:tcW w:w="16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2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34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05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6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2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34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05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6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271"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30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6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132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67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271"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020"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639"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132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补贴人员数量</w:t>
            </w:r>
          </w:p>
        </w:tc>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11人</w:t>
            </w:r>
          </w:p>
        </w:tc>
        <w:tc>
          <w:tcPr>
            <w:tcW w:w="67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11人</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271"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020"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132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资金发放到位率</w:t>
            </w:r>
          </w:p>
        </w:tc>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≥95%</w:t>
            </w:r>
          </w:p>
        </w:tc>
        <w:tc>
          <w:tcPr>
            <w:tcW w:w="67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271"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020"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132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资金发放及时率</w:t>
            </w:r>
          </w:p>
        </w:tc>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≥95%</w:t>
            </w:r>
          </w:p>
        </w:tc>
        <w:tc>
          <w:tcPr>
            <w:tcW w:w="67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271"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020"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3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132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需要资金成本</w:t>
            </w:r>
          </w:p>
        </w:tc>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69.3</w:t>
            </w:r>
            <w:r>
              <w:rPr>
                <w:rFonts w:hint="eastAsia" w:ascii="宋体" w:hAnsi="宋体" w:eastAsia="宋体" w:cs="宋体"/>
                <w:i w:val="0"/>
                <w:iCs w:val="0"/>
                <w:color w:val="000000"/>
                <w:kern w:val="0"/>
                <w:sz w:val="20"/>
                <w:szCs w:val="20"/>
                <w:u w:val="none"/>
                <w:lang w:val="en-US" w:eastAsia="zh-CN" w:bidi="ar"/>
              </w:rPr>
              <w:t>万元</w:t>
            </w:r>
          </w:p>
        </w:tc>
        <w:tc>
          <w:tcPr>
            <w:tcW w:w="67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66.2万元</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271"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0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639"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132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67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271"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020" w:type="dxa"/>
            <w:vMerge w:val="restart"/>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39"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132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托管安置人数</w:t>
            </w:r>
          </w:p>
        </w:tc>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11人</w:t>
            </w:r>
          </w:p>
        </w:tc>
        <w:tc>
          <w:tcPr>
            <w:tcW w:w="67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11人</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271"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020"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39"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132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降低信访率</w:t>
            </w:r>
          </w:p>
        </w:tc>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≥95%</w:t>
            </w:r>
          </w:p>
        </w:tc>
        <w:tc>
          <w:tcPr>
            <w:tcW w:w="67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271"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0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639"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132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调查中，满意和较满意人数的比例</w:t>
            </w:r>
          </w:p>
        </w:tc>
        <w:tc>
          <w:tcPr>
            <w:tcW w:w="73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67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271"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397"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271"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8017"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bl>
    <w:p>
      <w:pPr>
        <w:widowControl/>
        <w:spacing w:before="0" w:beforeLines="0" w:beforeAutospacing="0" w:after="0" w:afterLines="0" w:afterAutospacing="0" w:line="360" w:lineRule="auto"/>
        <w:ind w:firstLine="640" w:firstLineChars="200"/>
        <w:jc w:val="left"/>
        <w:rPr>
          <w:rFonts w:hint="eastAsia" w:ascii="仿宋_GB2312" w:hAnsi="仿宋_GB2312" w:eastAsia="仿宋_GB2312" w:cs="仿宋_GB2312"/>
          <w:sz w:val="32"/>
          <w:szCs w:val="32"/>
          <w:lang w:val="en-US" w:eastAsia="zh-CN"/>
        </w:rPr>
      </w:pPr>
    </w:p>
    <w:p>
      <w:pPr>
        <w:widowControl/>
        <w:spacing w:before="0" w:beforeLines="0" w:beforeAutospacing="0" w:after="0" w:afterLines="0" w:afterAutospacing="0" w:line="360" w:lineRule="auto"/>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（9）新庄头温室大棚项目绩效自评表</w:t>
      </w:r>
    </w:p>
    <w:tbl>
      <w:tblPr>
        <w:tblStyle w:val="13"/>
        <w:tblW w:w="9288" w:type="dxa"/>
        <w:jc w:val="center"/>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309"/>
        <w:gridCol w:w="3028"/>
        <w:gridCol w:w="463"/>
        <w:gridCol w:w="741"/>
        <w:gridCol w:w="658"/>
        <w:gridCol w:w="780"/>
        <w:gridCol w:w="689"/>
        <w:gridCol w:w="162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0" w:hRule="atLeast"/>
          <w:jc w:val="center"/>
        </w:trPr>
        <w:tc>
          <w:tcPr>
            <w:tcW w:w="9288" w:type="dxa"/>
            <w:gridSpan w:val="8"/>
            <w:tcBorders>
              <w:top w:val="nil"/>
              <w:left w:val="nil"/>
              <w:bottom w:val="nil"/>
              <w:right w:val="nil"/>
            </w:tcBorders>
            <w:shd w:val="clear" w:color="auto" w:fill="auto"/>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9288" w:type="dxa"/>
            <w:gridSpan w:val="8"/>
            <w:tcBorders>
              <w:top w:val="nil"/>
              <w:left w:val="nil"/>
              <w:bottom w:val="nil"/>
              <w:right w:val="nil"/>
            </w:tcBorders>
            <w:shd w:val="clear" w:color="auto" w:fill="auto"/>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309" w:type="dxa"/>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填报部门：</w:t>
            </w:r>
          </w:p>
        </w:tc>
        <w:tc>
          <w:tcPr>
            <w:tcW w:w="3028" w:type="dxa"/>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石家庄市鹿泉区大河镇人民政府</w:t>
            </w:r>
          </w:p>
        </w:tc>
        <w:tc>
          <w:tcPr>
            <w:tcW w:w="463"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41"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58"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80"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89"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620" w:type="dxa"/>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金额部门：万元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309"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30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120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新庄头温室大棚项目</w:t>
            </w:r>
          </w:p>
        </w:tc>
        <w:tc>
          <w:tcPr>
            <w:tcW w:w="6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实施(主管）部门</w:t>
            </w:r>
          </w:p>
        </w:tc>
        <w:tc>
          <w:tcPr>
            <w:tcW w:w="308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石家庄市鹿泉区大河镇人民政府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30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34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139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14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30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0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4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w:t>
            </w:r>
          </w:p>
        </w:tc>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6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6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w:t>
            </w:r>
          </w:p>
        </w:tc>
        <w:tc>
          <w:tcPr>
            <w:tcW w:w="16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30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0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4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w:t>
            </w:r>
          </w:p>
        </w:tc>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6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6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w:t>
            </w:r>
          </w:p>
        </w:tc>
        <w:tc>
          <w:tcPr>
            <w:tcW w:w="16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30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0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46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Calibri" w:hAnsi="Calibri" w:eastAsia="宋体" w:cs="Calibri"/>
                <w:i w:val="0"/>
                <w:iCs w:val="0"/>
                <w:color w:val="000000"/>
                <w:sz w:val="20"/>
                <w:szCs w:val="20"/>
                <w:u w:val="none"/>
              </w:rPr>
            </w:pPr>
          </w:p>
        </w:tc>
        <w:tc>
          <w:tcPr>
            <w:tcW w:w="7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65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68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16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30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42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212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30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232"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新庄头温室大棚工程完工后，不仅提升农村容貌，同时带动乡村经济发展</w:t>
            </w:r>
          </w:p>
        </w:tc>
        <w:tc>
          <w:tcPr>
            <w:tcW w:w="2127"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预期目标全部完成  </w:t>
            </w:r>
          </w:p>
        </w:tc>
        <w:tc>
          <w:tcPr>
            <w:tcW w:w="16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30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23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12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6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30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232"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12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6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309"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30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4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139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6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309"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028"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463"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139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温室大棚数量</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3座</w:t>
            </w:r>
          </w:p>
        </w:tc>
        <w:tc>
          <w:tcPr>
            <w:tcW w:w="6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3座</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309"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028"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63"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39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温室大棚面积</w:t>
            </w:r>
          </w:p>
        </w:tc>
        <w:tc>
          <w:tcPr>
            <w:tcW w:w="780"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≧3120平方米</w:t>
            </w:r>
          </w:p>
        </w:tc>
        <w:tc>
          <w:tcPr>
            <w:tcW w:w="689"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3120平方米</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Calibri" w:hAnsi="Calibri" w:eastAsia="宋体" w:cs="Calibri"/>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309"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028"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139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验收合格率</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≧95%</w:t>
            </w:r>
          </w:p>
        </w:tc>
        <w:tc>
          <w:tcPr>
            <w:tcW w:w="6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309"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028"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139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工程按时完工率</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≧95%</w:t>
            </w:r>
          </w:p>
        </w:tc>
        <w:tc>
          <w:tcPr>
            <w:tcW w:w="6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309"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028"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6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139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省级衔接资金</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≧50万元</w:t>
            </w:r>
          </w:p>
        </w:tc>
        <w:tc>
          <w:tcPr>
            <w:tcW w:w="6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50万元</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309"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0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46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139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6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309"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028" w:type="dxa"/>
            <w:vMerge w:val="restart"/>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63"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139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受益人口数</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≧2500人</w:t>
            </w:r>
          </w:p>
        </w:tc>
        <w:tc>
          <w:tcPr>
            <w:tcW w:w="6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2500人</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309"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028"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63"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139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持续受益年限</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≥20</w:t>
            </w:r>
            <w:r>
              <w:rPr>
                <w:rFonts w:hint="eastAsia" w:ascii="宋体" w:hAnsi="宋体" w:eastAsia="宋体" w:cs="宋体"/>
                <w:i w:val="0"/>
                <w:iCs w:val="0"/>
                <w:color w:val="000000"/>
                <w:kern w:val="0"/>
                <w:sz w:val="20"/>
                <w:szCs w:val="20"/>
                <w:u w:val="none"/>
                <w:lang w:val="en-US" w:eastAsia="zh-CN" w:bidi="ar"/>
              </w:rPr>
              <w:t>年</w:t>
            </w:r>
          </w:p>
        </w:tc>
        <w:tc>
          <w:tcPr>
            <w:tcW w:w="6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20年</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309"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02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463"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139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调查中，满意和较满意人数的比例</w:t>
            </w:r>
          </w:p>
        </w:tc>
        <w:tc>
          <w:tcPr>
            <w:tcW w:w="7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68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309"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35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309"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7979"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bl>
    <w:p>
      <w:pPr>
        <w:widowControl/>
        <w:spacing w:before="0" w:beforeLines="0" w:beforeAutospacing="0" w:after="0" w:afterLines="0" w:afterAutospacing="0" w:line="360" w:lineRule="auto"/>
        <w:ind w:firstLine="640" w:firstLineChars="200"/>
        <w:jc w:val="left"/>
        <w:rPr>
          <w:rFonts w:hint="eastAsia" w:ascii="仿宋_GB2312" w:hAnsi="仿宋_GB2312" w:eastAsia="仿宋_GB2312" w:cs="仿宋_GB2312"/>
          <w:sz w:val="32"/>
          <w:szCs w:val="32"/>
          <w:lang w:val="en-US" w:eastAsia="zh-CN"/>
        </w:rPr>
      </w:pPr>
    </w:p>
    <w:p>
      <w:pPr>
        <w:widowControl/>
        <w:spacing w:before="0" w:beforeLines="0" w:beforeAutospacing="0" w:after="0" w:afterLines="0" w:afterAutospacing="0" w:line="360" w:lineRule="auto"/>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（10）石财农【2023】86号2024年中央农村综合改革（大河镇项目）绩效自评表</w:t>
      </w:r>
    </w:p>
    <w:tbl>
      <w:tblPr>
        <w:tblStyle w:val="13"/>
        <w:tblW w:w="9288" w:type="dxa"/>
        <w:jc w:val="center"/>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120"/>
        <w:gridCol w:w="2748"/>
        <w:gridCol w:w="849"/>
        <w:gridCol w:w="578"/>
        <w:gridCol w:w="849"/>
        <w:gridCol w:w="812"/>
        <w:gridCol w:w="849"/>
        <w:gridCol w:w="148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0" w:hRule="atLeast"/>
          <w:jc w:val="center"/>
        </w:trPr>
        <w:tc>
          <w:tcPr>
            <w:tcW w:w="9288" w:type="dxa"/>
            <w:gridSpan w:val="8"/>
            <w:tcBorders>
              <w:top w:val="nil"/>
              <w:left w:val="nil"/>
              <w:bottom w:val="nil"/>
              <w:right w:val="nil"/>
            </w:tcBorders>
            <w:shd w:val="clear" w:color="auto" w:fill="auto"/>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9288" w:type="dxa"/>
            <w:gridSpan w:val="8"/>
            <w:tcBorders>
              <w:top w:val="nil"/>
              <w:left w:val="nil"/>
              <w:bottom w:val="nil"/>
              <w:right w:val="nil"/>
            </w:tcBorders>
            <w:shd w:val="clear" w:color="auto" w:fill="auto"/>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120" w:type="dxa"/>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填报部门：</w:t>
            </w:r>
          </w:p>
        </w:tc>
        <w:tc>
          <w:tcPr>
            <w:tcW w:w="2748" w:type="dxa"/>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石家庄市鹿泉区大河镇人民政府</w:t>
            </w:r>
          </w:p>
        </w:tc>
        <w:tc>
          <w:tcPr>
            <w:tcW w:w="849"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78"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49"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12"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49" w:type="dxa"/>
            <w:tcBorders>
              <w:top w:val="nil"/>
              <w:left w:val="nil"/>
              <w:bottom w:val="nil"/>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483" w:type="dxa"/>
            <w:tcBorders>
              <w:top w:val="nil"/>
              <w:left w:val="nil"/>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金额部门：万元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120"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27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142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石财农【2023】86号2024年中央农村综合改革（大河镇项目）</w:t>
            </w:r>
          </w:p>
        </w:tc>
        <w:tc>
          <w:tcPr>
            <w:tcW w:w="8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实施(主管）部门</w:t>
            </w:r>
          </w:p>
        </w:tc>
        <w:tc>
          <w:tcPr>
            <w:tcW w:w="314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石家庄市鹿泉区大河镇人民政府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1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359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142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166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14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1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7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8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82.7945</w:t>
            </w:r>
          </w:p>
        </w:tc>
        <w:tc>
          <w:tcPr>
            <w:tcW w:w="57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8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82.7945</w:t>
            </w:r>
          </w:p>
        </w:tc>
        <w:tc>
          <w:tcPr>
            <w:tcW w:w="8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8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82.7945</w:t>
            </w:r>
          </w:p>
        </w:tc>
        <w:tc>
          <w:tcPr>
            <w:tcW w:w="148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1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7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8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82.7945</w:t>
            </w:r>
          </w:p>
        </w:tc>
        <w:tc>
          <w:tcPr>
            <w:tcW w:w="57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8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82.7945</w:t>
            </w:r>
          </w:p>
        </w:tc>
        <w:tc>
          <w:tcPr>
            <w:tcW w:w="8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8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82.7945</w:t>
            </w:r>
          </w:p>
        </w:tc>
        <w:tc>
          <w:tcPr>
            <w:tcW w:w="148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1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7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84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Calibri" w:hAnsi="Calibri" w:eastAsia="宋体" w:cs="Calibri"/>
                <w:i w:val="0"/>
                <w:iCs w:val="0"/>
                <w:color w:val="000000"/>
                <w:sz w:val="20"/>
                <w:szCs w:val="20"/>
                <w:u w:val="none"/>
              </w:rPr>
            </w:pPr>
          </w:p>
        </w:tc>
        <w:tc>
          <w:tcPr>
            <w:tcW w:w="57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84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8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84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148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1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41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25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14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1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17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2024年我镇5个村开展农村综合改革项目，该项目进一步推进了各村美丽乡村建设，改善了村容村貌，极大地改善了农村基础设施和人居环境，提升村民幸福感。</w:t>
            </w:r>
          </w:p>
        </w:tc>
        <w:tc>
          <w:tcPr>
            <w:tcW w:w="251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预期目标全部完成 </w:t>
            </w:r>
          </w:p>
        </w:tc>
        <w:tc>
          <w:tcPr>
            <w:tcW w:w="148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1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17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51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48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1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17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51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48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120"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27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8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142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8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8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14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12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748"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849"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142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涉及村的数量</w:t>
            </w:r>
          </w:p>
        </w:tc>
        <w:tc>
          <w:tcPr>
            <w:tcW w:w="8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5个</w:t>
            </w:r>
          </w:p>
        </w:tc>
        <w:tc>
          <w:tcPr>
            <w:tcW w:w="8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5个</w:t>
            </w:r>
          </w:p>
        </w:tc>
        <w:tc>
          <w:tcPr>
            <w:tcW w:w="14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12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748"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49"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42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道路硬化面积</w:t>
            </w:r>
          </w:p>
        </w:tc>
        <w:tc>
          <w:tcPr>
            <w:tcW w:w="8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≥8143.5</w:t>
            </w:r>
            <w:r>
              <w:rPr>
                <w:rFonts w:hint="eastAsia" w:ascii="宋体" w:hAnsi="宋体" w:eastAsia="宋体" w:cs="宋体"/>
                <w:i w:val="0"/>
                <w:iCs w:val="0"/>
                <w:color w:val="000000"/>
                <w:kern w:val="0"/>
                <w:sz w:val="20"/>
                <w:szCs w:val="20"/>
                <w:u w:val="none"/>
                <w:lang w:val="en-US" w:eastAsia="zh-CN" w:bidi="ar"/>
              </w:rPr>
              <w:t>平方米</w:t>
            </w:r>
          </w:p>
        </w:tc>
        <w:tc>
          <w:tcPr>
            <w:tcW w:w="8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8143.5</w:t>
            </w:r>
            <w:r>
              <w:rPr>
                <w:rFonts w:hint="eastAsia" w:ascii="宋体" w:hAnsi="宋体" w:eastAsia="宋体" w:cs="宋体"/>
                <w:i w:val="0"/>
                <w:iCs w:val="0"/>
                <w:color w:val="000000"/>
                <w:kern w:val="0"/>
                <w:sz w:val="20"/>
                <w:szCs w:val="20"/>
                <w:u w:val="none"/>
                <w:lang w:val="en-US" w:eastAsia="zh-CN" w:bidi="ar"/>
              </w:rPr>
              <w:t>平方米</w:t>
            </w:r>
          </w:p>
        </w:tc>
        <w:tc>
          <w:tcPr>
            <w:tcW w:w="14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12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748"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49"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42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更换井盖数量</w:t>
            </w:r>
          </w:p>
        </w:tc>
        <w:tc>
          <w:tcPr>
            <w:tcW w:w="8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r>
              <w:rPr>
                <w:rFonts w:hint="default" w:ascii="Calibri" w:hAnsi="Calibri" w:eastAsia="宋体" w:cs="Calibri"/>
                <w:i w:val="0"/>
                <w:iCs w:val="0"/>
                <w:color w:val="000000"/>
                <w:kern w:val="0"/>
                <w:sz w:val="20"/>
                <w:szCs w:val="20"/>
                <w:u w:val="none"/>
                <w:lang w:val="en-US" w:eastAsia="zh-CN" w:bidi="ar"/>
              </w:rPr>
              <w:t>61</w:t>
            </w:r>
            <w:r>
              <w:rPr>
                <w:rFonts w:hint="eastAsia" w:ascii="宋体" w:hAnsi="宋体" w:eastAsia="宋体" w:cs="宋体"/>
                <w:i w:val="0"/>
                <w:iCs w:val="0"/>
                <w:color w:val="000000"/>
                <w:kern w:val="0"/>
                <w:sz w:val="20"/>
                <w:szCs w:val="20"/>
                <w:u w:val="none"/>
                <w:lang w:val="en-US" w:eastAsia="zh-CN" w:bidi="ar"/>
              </w:rPr>
              <w:t>盏</w:t>
            </w:r>
          </w:p>
        </w:tc>
        <w:tc>
          <w:tcPr>
            <w:tcW w:w="8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61</w:t>
            </w:r>
            <w:r>
              <w:rPr>
                <w:rFonts w:hint="eastAsia" w:ascii="宋体" w:hAnsi="宋体" w:eastAsia="宋体" w:cs="宋体"/>
                <w:i w:val="0"/>
                <w:iCs w:val="0"/>
                <w:color w:val="000000"/>
                <w:kern w:val="0"/>
                <w:sz w:val="20"/>
                <w:szCs w:val="20"/>
                <w:u w:val="none"/>
                <w:lang w:val="en-US" w:eastAsia="zh-CN" w:bidi="ar"/>
              </w:rPr>
              <w:t>盏</w:t>
            </w:r>
          </w:p>
        </w:tc>
        <w:tc>
          <w:tcPr>
            <w:tcW w:w="14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12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748"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49"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42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安装街道照明设施数量</w:t>
            </w:r>
          </w:p>
        </w:tc>
        <w:tc>
          <w:tcPr>
            <w:tcW w:w="8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≧143盏</w:t>
            </w:r>
          </w:p>
        </w:tc>
        <w:tc>
          <w:tcPr>
            <w:tcW w:w="8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143盏</w:t>
            </w:r>
          </w:p>
        </w:tc>
        <w:tc>
          <w:tcPr>
            <w:tcW w:w="14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12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748"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49"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42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安装供水井、排水井数量</w:t>
            </w:r>
          </w:p>
        </w:tc>
        <w:tc>
          <w:tcPr>
            <w:tcW w:w="8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≧55个</w:t>
            </w:r>
          </w:p>
        </w:tc>
        <w:tc>
          <w:tcPr>
            <w:tcW w:w="8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55个</w:t>
            </w:r>
          </w:p>
        </w:tc>
        <w:tc>
          <w:tcPr>
            <w:tcW w:w="14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12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748"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49"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42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铺设路牙石长度</w:t>
            </w:r>
          </w:p>
        </w:tc>
        <w:tc>
          <w:tcPr>
            <w:tcW w:w="8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≥129</w:t>
            </w:r>
            <w:r>
              <w:rPr>
                <w:rFonts w:hint="eastAsia" w:ascii="宋体" w:hAnsi="宋体" w:eastAsia="宋体" w:cs="宋体"/>
                <w:i w:val="0"/>
                <w:iCs w:val="0"/>
                <w:color w:val="000000"/>
                <w:kern w:val="0"/>
                <w:sz w:val="20"/>
                <w:szCs w:val="20"/>
                <w:u w:val="none"/>
                <w:lang w:val="en-US" w:eastAsia="zh-CN" w:bidi="ar"/>
              </w:rPr>
              <w:t>米</w:t>
            </w:r>
          </w:p>
        </w:tc>
        <w:tc>
          <w:tcPr>
            <w:tcW w:w="8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129</w:t>
            </w:r>
            <w:r>
              <w:rPr>
                <w:rFonts w:hint="eastAsia" w:ascii="宋体" w:hAnsi="宋体" w:eastAsia="宋体" w:cs="宋体"/>
                <w:i w:val="0"/>
                <w:iCs w:val="0"/>
                <w:color w:val="000000"/>
                <w:kern w:val="0"/>
                <w:sz w:val="20"/>
                <w:szCs w:val="20"/>
                <w:u w:val="none"/>
                <w:lang w:val="en-US" w:eastAsia="zh-CN" w:bidi="ar"/>
              </w:rPr>
              <w:t>米</w:t>
            </w:r>
          </w:p>
        </w:tc>
        <w:tc>
          <w:tcPr>
            <w:tcW w:w="14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12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748"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142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验收合格率</w:t>
            </w:r>
          </w:p>
        </w:tc>
        <w:tc>
          <w:tcPr>
            <w:tcW w:w="8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≧95%</w:t>
            </w:r>
          </w:p>
        </w:tc>
        <w:tc>
          <w:tcPr>
            <w:tcW w:w="8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14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12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748"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142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按时完工率</w:t>
            </w:r>
          </w:p>
        </w:tc>
        <w:tc>
          <w:tcPr>
            <w:tcW w:w="8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8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4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12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748"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142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项目所需成本</w:t>
            </w:r>
          </w:p>
        </w:tc>
        <w:tc>
          <w:tcPr>
            <w:tcW w:w="8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82.7945</w:t>
            </w:r>
          </w:p>
        </w:tc>
        <w:tc>
          <w:tcPr>
            <w:tcW w:w="8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82.7845</w:t>
            </w:r>
          </w:p>
        </w:tc>
        <w:tc>
          <w:tcPr>
            <w:tcW w:w="14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12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7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849"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142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8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8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4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12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748" w:type="dxa"/>
            <w:vMerge w:val="restart"/>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49"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142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受益人口数</w:t>
            </w:r>
          </w:p>
        </w:tc>
        <w:tc>
          <w:tcPr>
            <w:tcW w:w="8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≧12000人</w:t>
            </w:r>
          </w:p>
        </w:tc>
        <w:tc>
          <w:tcPr>
            <w:tcW w:w="8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12000人</w:t>
            </w:r>
          </w:p>
        </w:tc>
        <w:tc>
          <w:tcPr>
            <w:tcW w:w="14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12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748" w:type="dxa"/>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49"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142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持续受益年限</w:t>
            </w:r>
          </w:p>
        </w:tc>
        <w:tc>
          <w:tcPr>
            <w:tcW w:w="8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≧10年</w:t>
            </w:r>
          </w:p>
        </w:tc>
        <w:tc>
          <w:tcPr>
            <w:tcW w:w="8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r>
              <w:rPr>
                <w:rFonts w:hint="eastAsia" w:ascii="宋体" w:hAnsi="宋体" w:eastAsia="宋体" w:cs="宋体"/>
                <w:i w:val="0"/>
                <w:iCs w:val="0"/>
                <w:color w:val="000000"/>
                <w:kern w:val="0"/>
                <w:sz w:val="20"/>
                <w:szCs w:val="20"/>
                <w:u w:val="none"/>
                <w:lang w:val="en-US" w:eastAsia="zh-CN" w:bidi="ar"/>
              </w:rPr>
              <w:t>年</w:t>
            </w:r>
          </w:p>
        </w:tc>
        <w:tc>
          <w:tcPr>
            <w:tcW w:w="14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12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7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849"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142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调查中，满意和较满意人数的比例</w:t>
            </w:r>
          </w:p>
        </w:tc>
        <w:tc>
          <w:tcPr>
            <w:tcW w:w="8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r>
              <w:rPr>
                <w:rFonts w:hint="default" w:ascii="Calibri" w:hAnsi="Calibri" w:eastAsia="宋体" w:cs="Calibri"/>
                <w:i w:val="0"/>
                <w:iCs w:val="0"/>
                <w:color w:val="000000"/>
                <w:kern w:val="0"/>
                <w:sz w:val="20"/>
                <w:szCs w:val="20"/>
                <w:u w:val="none"/>
                <w:lang w:val="en-US" w:eastAsia="zh-CN" w:bidi="ar"/>
              </w:rPr>
              <w:t>95%</w:t>
            </w:r>
          </w:p>
        </w:tc>
        <w:tc>
          <w:tcPr>
            <w:tcW w:w="84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14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12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68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148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0" w:hRule="atLeast"/>
          <w:jc w:val="center"/>
        </w:trPr>
        <w:tc>
          <w:tcPr>
            <w:tcW w:w="1120"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8168"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bl>
    <w:p>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p>
    <w:p>
      <w:pPr>
        <w:widowControl/>
        <w:spacing w:before="0" w:beforeLines="0" w:beforeAutospacing="0" w:after="0" w:afterLines="0" w:afterAutospacing="0" w:line="360" w:lineRule="auto"/>
        <w:jc w:val="left"/>
        <w:rPr>
          <w:rFonts w:ascii="Times New Roman" w:eastAsia="仿宋_GB2312"/>
          <w:b w:val="0"/>
          <w:sz w:val="32"/>
          <w:szCs w:val="32"/>
        </w:rPr>
      </w:pP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w:t>
      </w:r>
      <w:r>
        <w:rPr>
          <w:rFonts w:hint="eastAsia" w:ascii="Times New Roman" w:eastAsia="仿宋_GB2312"/>
          <w:b/>
          <w:sz w:val="32"/>
          <w:szCs w:val="32"/>
          <w:lang w:eastAsia="zh-CN"/>
        </w:rPr>
        <w:t>部门</w:t>
      </w:r>
      <w:r>
        <w:rPr>
          <w:rFonts w:ascii="Times New Roman" w:eastAsia="仿宋_GB2312"/>
          <w:b/>
          <w:sz w:val="32"/>
          <w:szCs w:val="32"/>
        </w:rPr>
        <w:t>评价项目绩效评价结果（</w:t>
      </w:r>
      <w:r>
        <w:rPr>
          <w:rFonts w:hint="eastAsia" w:ascii="Times New Roman" w:eastAsia="仿宋_GB2312"/>
          <w:b/>
          <w:sz w:val="32"/>
          <w:szCs w:val="32"/>
          <w:lang w:val="en-US" w:eastAsia="zh-CN"/>
        </w:rPr>
        <w:t>无</w:t>
      </w:r>
      <w:r>
        <w:rPr>
          <w:rFonts w:ascii="Times New Roman" w:eastAsia="仿宋_GB2312"/>
          <w:b/>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p>
    <w:p>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w:t>
      </w:r>
      <w:r>
        <w:rPr>
          <w:rFonts w:hint="eastAsia" w:ascii="Times New Roman" w:eastAsia="仿宋_GB2312"/>
          <w:b w:val="0"/>
          <w:sz w:val="32"/>
          <w:szCs w:val="32"/>
          <w:lang w:eastAsia="zh-CN"/>
        </w:rPr>
        <w:t>部门</w:t>
      </w:r>
      <w:r>
        <w:rPr>
          <w:rFonts w:ascii="Times New Roman" w:eastAsia="仿宋_GB2312"/>
          <w:b w:val="0"/>
          <w:sz w:val="32"/>
          <w:szCs w:val="32"/>
        </w:rPr>
        <w:t>2024年度国有资本经营预算财政拨款支出决算表（公开08表）无相应收支，故空表列示。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由于决算公开表格中金额数值应当保留两位小数，公开数据为四舍五入计算结果，个别数据合计项与分项之和存在小数点后差额，特此说明。</w:t>
      </w:r>
    </w:p>
    <w:p>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   名词解释</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w:t>
      </w:r>
      <w:r>
        <w:rPr>
          <w:rFonts w:hint="eastAsia" w:ascii="Times New Roman" w:eastAsia="仿宋_GB2312"/>
          <w:b w:val="0"/>
          <w:sz w:val="32"/>
          <w:szCs w:val="32"/>
          <w:lang w:eastAsia="zh-CN"/>
        </w:rPr>
        <w:t>部门</w:t>
      </w:r>
      <w:r>
        <w:rPr>
          <w:rFonts w:ascii="Times New Roman" w:eastAsia="仿宋_GB2312"/>
          <w:b w:val="0"/>
          <w:sz w:val="32"/>
          <w:szCs w:val="32"/>
        </w:rPr>
        <w:t>从同级财政</w:t>
      </w:r>
      <w:r>
        <w:rPr>
          <w:rFonts w:hint="eastAsia" w:ascii="Times New Roman" w:eastAsia="仿宋_GB2312"/>
          <w:b w:val="0"/>
          <w:sz w:val="32"/>
          <w:szCs w:val="32"/>
          <w:lang w:eastAsia="zh-CN"/>
        </w:rPr>
        <w:t>部门</w:t>
      </w:r>
      <w:r>
        <w:rPr>
          <w:rFonts w:ascii="Times New Roman" w:eastAsia="仿宋_GB2312"/>
          <w:b w:val="0"/>
          <w:sz w:val="32"/>
          <w:szCs w:val="32"/>
        </w:rPr>
        <w:t>取得的财政预算资金。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w:t>
      </w:r>
      <w:r>
        <w:rPr>
          <w:rFonts w:hint="eastAsia" w:ascii="Times New Roman" w:eastAsia="仿宋_GB2312"/>
          <w:b w:val="0"/>
          <w:sz w:val="32"/>
          <w:szCs w:val="32"/>
          <w:lang w:eastAsia="zh-CN"/>
        </w:rPr>
        <w:t>部门</w:t>
      </w:r>
      <w:r>
        <w:rPr>
          <w:rFonts w:ascii="Times New Roman" w:eastAsia="仿宋_GB2312"/>
          <w:b w:val="0"/>
          <w:sz w:val="32"/>
          <w:szCs w:val="32"/>
        </w:rPr>
        <w:t>开展专业业务活动及辅助活动取得的收入。</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w:t>
      </w:r>
      <w:r>
        <w:rPr>
          <w:rFonts w:hint="eastAsia" w:ascii="Times New Roman" w:eastAsia="仿宋_GB2312"/>
          <w:b w:val="0"/>
          <w:sz w:val="32"/>
          <w:szCs w:val="32"/>
          <w:lang w:eastAsia="zh-CN"/>
        </w:rPr>
        <w:t>部门</w:t>
      </w:r>
      <w:r>
        <w:rPr>
          <w:rFonts w:ascii="Times New Roman" w:eastAsia="仿宋_GB2312"/>
          <w:b w:val="0"/>
          <w:sz w:val="32"/>
          <w:szCs w:val="32"/>
        </w:rPr>
        <w:t>在专业业务活动及其辅助活动之外开展非独立核算经营活动取得的收入。</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w:t>
      </w:r>
      <w:r>
        <w:rPr>
          <w:rFonts w:hint="eastAsia" w:ascii="Times New Roman" w:eastAsia="仿宋_GB2312"/>
          <w:b w:val="0"/>
          <w:sz w:val="32"/>
          <w:szCs w:val="32"/>
          <w:lang w:eastAsia="zh-CN"/>
        </w:rPr>
        <w:t>部门</w:t>
      </w:r>
      <w:r>
        <w:rPr>
          <w:rFonts w:ascii="Times New Roman" w:eastAsia="仿宋_GB2312"/>
          <w:b w:val="0"/>
          <w:sz w:val="32"/>
          <w:szCs w:val="32"/>
        </w:rPr>
        <w:t>取得的除上述收入以外的各项收入。主要是事业</w:t>
      </w:r>
      <w:r>
        <w:rPr>
          <w:rFonts w:hint="eastAsia" w:ascii="Times New Roman" w:eastAsia="仿宋_GB2312"/>
          <w:b w:val="0"/>
          <w:sz w:val="32"/>
          <w:szCs w:val="32"/>
          <w:lang w:eastAsia="zh-CN"/>
        </w:rPr>
        <w:t>部门</w:t>
      </w:r>
      <w:r>
        <w:rPr>
          <w:rFonts w:ascii="Times New Roman" w:eastAsia="仿宋_GB2312"/>
          <w:b w:val="0"/>
          <w:sz w:val="32"/>
          <w:szCs w:val="32"/>
        </w:rPr>
        <w:t>固定资产出租收入、存款利息收入等。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w:t>
      </w:r>
      <w:r>
        <w:rPr>
          <w:rFonts w:hint="eastAsia" w:ascii="Times New Roman" w:eastAsia="仿宋_GB2312"/>
          <w:b w:val="0"/>
          <w:sz w:val="32"/>
          <w:szCs w:val="32"/>
          <w:lang w:eastAsia="zh-CN"/>
        </w:rPr>
        <w:t>部门</w:t>
      </w:r>
      <w:r>
        <w:rPr>
          <w:rFonts w:ascii="Times New Roman" w:eastAsia="仿宋_GB2312"/>
          <w:b w:val="0"/>
          <w:sz w:val="32"/>
          <w:szCs w:val="32"/>
        </w:rPr>
        <w:t>按照预算管理要求使用非财政拨款结余弥补收支差额的金额，以及使用专用结余安排支出的金额。</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w:t>
      </w:r>
      <w:r>
        <w:rPr>
          <w:rFonts w:hint="eastAsia" w:ascii="Times New Roman" w:eastAsia="仿宋_GB2312"/>
          <w:b w:val="0"/>
          <w:sz w:val="32"/>
          <w:szCs w:val="32"/>
          <w:lang w:eastAsia="zh-CN"/>
        </w:rPr>
        <w:t>部门</w:t>
      </w:r>
      <w:r>
        <w:rPr>
          <w:rFonts w:ascii="Times New Roman" w:eastAsia="仿宋_GB2312"/>
          <w:b w:val="0"/>
          <w:sz w:val="32"/>
          <w:szCs w:val="32"/>
        </w:rPr>
        <w:t>以前年度尚未完成、结转到本年仍按原规定用途继续使用的资金，或项目已完成等产生的结余资金。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w:t>
      </w:r>
      <w:r>
        <w:rPr>
          <w:rFonts w:hint="eastAsia" w:ascii="Times New Roman" w:eastAsia="仿宋_GB2312"/>
          <w:b w:val="0"/>
          <w:sz w:val="32"/>
          <w:szCs w:val="32"/>
          <w:lang w:eastAsia="zh-CN"/>
        </w:rPr>
        <w:t>部门</w:t>
      </w:r>
      <w:r>
        <w:rPr>
          <w:rFonts w:ascii="Times New Roman" w:eastAsia="仿宋_GB2312"/>
          <w:b w:val="0"/>
          <w:sz w:val="32"/>
          <w:szCs w:val="32"/>
        </w:rPr>
        <w:t>按照会计制度规定缴纳的所得税、提取的专用结余以及转入非财政拨款结余的金额等。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w:t>
      </w:r>
      <w:r>
        <w:rPr>
          <w:rFonts w:hint="eastAsia" w:ascii="Times New Roman" w:eastAsia="仿宋_GB2312"/>
          <w:b w:val="0"/>
          <w:sz w:val="32"/>
          <w:szCs w:val="32"/>
          <w:lang w:eastAsia="zh-CN"/>
        </w:rPr>
        <w:t>部门</w:t>
      </w:r>
      <w:r>
        <w:rPr>
          <w:rFonts w:ascii="Times New Roman" w:eastAsia="仿宋_GB2312"/>
          <w:b w:val="0"/>
          <w:sz w:val="32"/>
          <w:szCs w:val="32"/>
        </w:rPr>
        <w:t>按有关规定结转到下年或以后年度继续使用的资金，或项目已完成等产生的结余资金。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 ：</w:t>
      </w:r>
      <w:r>
        <w:rPr>
          <w:rFonts w:ascii="Times New Roman" w:eastAsia="仿宋_GB2312"/>
          <w:b w:val="0"/>
          <w:sz w:val="32"/>
          <w:szCs w:val="32"/>
        </w:rPr>
        <w:t>指事业</w:t>
      </w:r>
      <w:r>
        <w:rPr>
          <w:rFonts w:hint="eastAsia" w:ascii="Times New Roman" w:eastAsia="仿宋_GB2312"/>
          <w:b w:val="0"/>
          <w:sz w:val="32"/>
          <w:szCs w:val="32"/>
          <w:lang w:eastAsia="zh-CN"/>
        </w:rPr>
        <w:t>部门</w:t>
      </w:r>
      <w:r>
        <w:rPr>
          <w:rFonts w:ascii="Times New Roman" w:eastAsia="仿宋_GB2312"/>
          <w:b w:val="0"/>
          <w:sz w:val="32"/>
          <w:szCs w:val="32"/>
        </w:rPr>
        <w:t>在专业业务活动及其辅助活动之外开展非独立核算经营活动发生的支出。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w:t>
      </w:r>
      <w:r>
        <w:rPr>
          <w:rFonts w:hint="eastAsia" w:ascii="Times New Roman" w:eastAsia="仿宋_GB2312"/>
          <w:b w:val="0"/>
          <w:sz w:val="32"/>
          <w:szCs w:val="32"/>
          <w:lang w:eastAsia="zh-CN"/>
        </w:rPr>
        <w:t>部门</w:t>
      </w:r>
      <w:r>
        <w:rPr>
          <w:rFonts w:ascii="Times New Roman" w:eastAsia="仿宋_GB2312"/>
          <w:b w:val="0"/>
          <w:sz w:val="32"/>
          <w:szCs w:val="32"/>
        </w:rPr>
        <w:t>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w:t>
      </w:r>
      <w:r>
        <w:rPr>
          <w:rFonts w:hint="eastAsia" w:ascii="Times New Roman" w:eastAsia="仿宋_GB2312"/>
          <w:b w:val="0"/>
          <w:sz w:val="32"/>
          <w:szCs w:val="32"/>
          <w:lang w:eastAsia="zh-CN"/>
        </w:rPr>
        <w:t>部门</w:t>
      </w:r>
      <w:r>
        <w:rPr>
          <w:rFonts w:ascii="Times New Roman" w:eastAsia="仿宋_GB2312"/>
          <w:b w:val="0"/>
          <w:sz w:val="32"/>
          <w:szCs w:val="32"/>
        </w:rPr>
        <w:t>集中安排的用于购置固定资产、战备性和应急性储备、土地和无形资产，以及购建基础设施、大型修缮和财政支持企业更新改造所发生的支出。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w:t>
      </w:r>
      <w:r>
        <w:rPr>
          <w:rFonts w:hint="eastAsia" w:ascii="Times New Roman" w:eastAsia="仿宋_GB2312"/>
          <w:b w:val="0"/>
          <w:sz w:val="32"/>
          <w:szCs w:val="32"/>
          <w:lang w:eastAsia="zh-CN"/>
        </w:rPr>
        <w:t>部门</w:t>
      </w:r>
      <w:r>
        <w:rPr>
          <w:rFonts w:ascii="Times New Roman" w:eastAsia="仿宋_GB2312"/>
          <w:b w:val="0"/>
          <w:sz w:val="32"/>
          <w:szCs w:val="32"/>
        </w:rPr>
        <w:t>用财政拨款安排的因公出国（境）费、公务用车购置及运行费和公务接待费。其中，因公出国（境）费反映</w:t>
      </w:r>
      <w:r>
        <w:rPr>
          <w:rFonts w:hint="eastAsia" w:ascii="Times New Roman" w:eastAsia="仿宋_GB2312"/>
          <w:b w:val="0"/>
          <w:sz w:val="32"/>
          <w:szCs w:val="32"/>
          <w:lang w:eastAsia="zh-CN"/>
        </w:rPr>
        <w:t>部门</w:t>
      </w:r>
      <w:r>
        <w:rPr>
          <w:rFonts w:ascii="Times New Roman" w:eastAsia="仿宋_GB2312"/>
          <w:b w:val="0"/>
          <w:sz w:val="32"/>
          <w:szCs w:val="32"/>
        </w:rPr>
        <w:t>公务出国（境）的国际旅费、国外城市间交通费、住宿费、伙食费、培训费、公杂费等支出；公务用车购置及运行费反映</w:t>
      </w:r>
      <w:r>
        <w:rPr>
          <w:rFonts w:hint="eastAsia" w:ascii="Times New Roman" w:eastAsia="仿宋_GB2312"/>
          <w:b w:val="0"/>
          <w:sz w:val="32"/>
          <w:szCs w:val="32"/>
          <w:lang w:eastAsia="zh-CN"/>
        </w:rPr>
        <w:t>部门</w:t>
      </w:r>
      <w:r>
        <w:rPr>
          <w:rFonts w:ascii="Times New Roman" w:eastAsia="仿宋_GB2312"/>
          <w:b w:val="0"/>
          <w:sz w:val="32"/>
          <w:szCs w:val="32"/>
        </w:rPr>
        <w:t>公务用车购置支出（含车辆购置税、牌照费）及按规定保留的公务用车燃料费、维修费、过桥过路费、保险费、安全奖励费用等支出；公务接待费反映</w:t>
      </w:r>
      <w:r>
        <w:rPr>
          <w:rFonts w:hint="eastAsia" w:ascii="Times New Roman" w:eastAsia="仿宋_GB2312"/>
          <w:b w:val="0"/>
          <w:sz w:val="32"/>
          <w:szCs w:val="32"/>
          <w:lang w:eastAsia="zh-CN"/>
        </w:rPr>
        <w:t>部门</w:t>
      </w:r>
      <w:r>
        <w:rPr>
          <w:rFonts w:ascii="Times New Roman" w:eastAsia="仿宋_GB2312"/>
          <w:b w:val="0"/>
          <w:sz w:val="32"/>
          <w:szCs w:val="32"/>
        </w:rPr>
        <w:t>按规定开支的各类公务接待（含外宾接待）支出。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w:t>
      </w:r>
      <w:r>
        <w:rPr>
          <w:rFonts w:hint="eastAsia" w:ascii="Times New Roman" w:eastAsia="仿宋_GB2312"/>
          <w:b w:val="0"/>
          <w:sz w:val="32"/>
          <w:szCs w:val="32"/>
          <w:lang w:eastAsia="zh-CN"/>
        </w:rPr>
        <w:t>部门</w:t>
      </w:r>
      <w:r>
        <w:rPr>
          <w:rFonts w:ascii="Times New Roman" w:eastAsia="仿宋_GB2312"/>
          <w:b w:val="0"/>
          <w:sz w:val="32"/>
          <w:szCs w:val="32"/>
        </w:rPr>
        <w:t>除公务用车运行维护费以外的其他交通费用。如公务交通补贴、租车费用、出租车费用，飞机、船舶等燃料费、维修费、保险费等。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w:t>
      </w:r>
      <w:r>
        <w:rPr>
          <w:rFonts w:hint="eastAsia" w:ascii="Times New Roman" w:eastAsia="仿宋_GB2312"/>
          <w:b w:val="0"/>
          <w:sz w:val="32"/>
          <w:szCs w:val="32"/>
          <w:lang w:eastAsia="zh-CN"/>
        </w:rPr>
        <w:t>部门</w:t>
      </w:r>
      <w:r>
        <w:rPr>
          <w:rFonts w:ascii="Times New Roman" w:eastAsia="仿宋_GB2312"/>
          <w:b w:val="0"/>
          <w:sz w:val="32"/>
          <w:szCs w:val="32"/>
        </w:rPr>
        <w:t>公务用车车辆购置支出（含车辆购置税、牌照费）。</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w:t>
      </w:r>
      <w:r>
        <w:rPr>
          <w:rFonts w:hint="eastAsia" w:ascii="Times New Roman" w:eastAsia="仿宋_GB2312"/>
          <w:b w:val="0"/>
          <w:sz w:val="32"/>
          <w:szCs w:val="32"/>
          <w:lang w:eastAsia="zh-CN"/>
        </w:rPr>
        <w:t>部门</w:t>
      </w:r>
      <w:r>
        <w:rPr>
          <w:rFonts w:ascii="Times New Roman" w:eastAsia="仿宋_GB2312"/>
          <w:b w:val="0"/>
          <w:sz w:val="32"/>
          <w:szCs w:val="32"/>
        </w:rPr>
        <w:t>除公务用车外的其他各类交通工具（如船舶、飞机等）购置支出（含车辆购置税、牌照费）。</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w:t>
      </w:r>
      <w:r>
        <w:rPr>
          <w:rFonts w:hint="eastAsia" w:ascii="Times New Roman" w:eastAsia="仿宋_GB2312"/>
          <w:b w:val="0"/>
          <w:sz w:val="32"/>
          <w:szCs w:val="32"/>
          <w:lang w:eastAsia="zh-CN"/>
        </w:rPr>
        <w:t>部门</w:t>
      </w:r>
      <w:r>
        <w:rPr>
          <w:rFonts w:ascii="Times New Roman" w:eastAsia="仿宋_GB2312"/>
          <w:b w:val="0"/>
          <w:sz w:val="32"/>
          <w:szCs w:val="32"/>
        </w:rPr>
        <w:t>（包括参照公务员法管理的事业</w:t>
      </w:r>
      <w:r>
        <w:rPr>
          <w:rFonts w:hint="eastAsia" w:ascii="Times New Roman" w:eastAsia="仿宋_GB2312"/>
          <w:b w:val="0"/>
          <w:sz w:val="32"/>
          <w:szCs w:val="32"/>
          <w:lang w:eastAsia="zh-CN"/>
        </w:rPr>
        <w:t>部门</w:t>
      </w:r>
      <w:r>
        <w:rPr>
          <w:rFonts w:ascii="Times New Roman" w:eastAsia="仿宋_GB2312"/>
          <w:b w:val="0"/>
          <w:sz w:val="32"/>
          <w:szCs w:val="32"/>
        </w:rPr>
        <w:t>）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1"/>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CF1C5F90-0A63-4E66-879B-FE50CE20139F}"/>
  </w:font>
  <w:font w:name="黑体">
    <w:panose1 w:val="02010609060101010101"/>
    <w:charset w:val="86"/>
    <w:family w:val="auto"/>
    <w:pitch w:val="default"/>
    <w:sig w:usb0="800002BF" w:usb1="38CF7CFA" w:usb2="00000016" w:usb3="00000000" w:csb0="00040001" w:csb1="00000000"/>
    <w:embedRegular r:id="rId2" w:fontKey="{1E9BAC7B-3B98-4524-9C27-A1ACF7D21B87}"/>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3" w:fontKey="{24227B90-72E6-4D56-980B-6DC104F43A96}"/>
  </w:font>
  <w:font w:name="仿宋">
    <w:panose1 w:val="02010609060101010101"/>
    <w:charset w:val="86"/>
    <w:family w:val="modern"/>
    <w:pitch w:val="default"/>
    <w:sig w:usb0="800002BF" w:usb1="38CF7CFA" w:usb2="00000016" w:usb3="00000000" w:csb0="00040001" w:csb1="00000000"/>
    <w:embedRegular r:id="rId4" w:fontKey="{B7854F48-CA7F-4636-878E-3D09511C018C}"/>
  </w:font>
  <w:font w:name="Calibri Light">
    <w:panose1 w:val="020F0302020204030204"/>
    <w:charset w:val="00"/>
    <w:family w:val="auto"/>
    <w:pitch w:val="default"/>
    <w:sig w:usb0="A00002EF" w:usb1="4000207B" w:usb2="00000000" w:usb3="00000000" w:csb0="2000019F" w:csb1="00000000"/>
  </w:font>
  <w:font w:name="华文中宋">
    <w:altName w:val="宋体"/>
    <w:panose1 w:val="02010600040101010101"/>
    <w:charset w:val="86"/>
    <w:family w:val="auto"/>
    <w:pitch w:val="default"/>
    <w:sig w:usb0="00000000" w:usb1="00000000" w:usb2="00000000" w:usb3="00000000" w:csb0="0004009F" w:csb1="DFD70000"/>
  </w:font>
  <w:font w:name="楷体_GB2312">
    <w:panose1 w:val="02010609030101010101"/>
    <w:charset w:val="86"/>
    <w:family w:val="auto"/>
    <w:pitch w:val="default"/>
    <w:sig w:usb0="00000000" w:usb1="00000000" w:usb2="00000000" w:usb3="00000000" w:csb0="00000000" w:csb1="00000000"/>
    <w:embedRegular r:id="rId5" w:fontKey="{ADAAC0B7-CA37-41AC-9DE0-D27213B5EA16}"/>
  </w:font>
  <w:font w:name="方正小标宋_GBK">
    <w:panose1 w:val="02000000000000000000"/>
    <w:charset w:val="86"/>
    <w:family w:val="script"/>
    <w:pitch w:val="default"/>
    <w:sig w:usb0="00000000" w:usb1="00000000" w:usb2="00000000" w:usb3="00000000" w:csb0="00000000" w:csb1="00000000"/>
    <w:embedRegular r:id="rId6" w:fontKey="{754CD0FC-8FC3-4BDB-8511-51D3C9B4CA92}"/>
  </w:font>
  <w:font w:name="仿宋_GB2312">
    <w:panose1 w:val="02010609030101010101"/>
    <w:charset w:val="86"/>
    <w:family w:val="modern"/>
    <w:pitch w:val="default"/>
    <w:sig w:usb0="00000000" w:usb1="00000000" w:usb2="00000000" w:usb3="00000000" w:csb0="00000000" w:csb1="00000000"/>
    <w:embedRegular r:id="rId7" w:fontKey="{2EA8CB52-3093-4132-B37F-A7FB57665C0D}"/>
  </w:font>
  <w:font w:name="ArialUnicodeMS">
    <w:altName w:val="Malgun Gothic"/>
    <w:panose1 w:val="00000000000000000000"/>
    <w:charset w:val="81"/>
    <w:family w:val="auto"/>
    <w:pitch w:val="default"/>
    <w:sig w:usb0="00000000" w:usb1="00000000" w:usb2="00000010" w:usb3="00000000" w:csb0="00080001" w:csb1="00000000"/>
    <w:embedRegular r:id="rId8" w:fontKey="{E4D66346-435F-4DD1-AA75-7B31B33EEA2C}"/>
  </w:font>
  <w:font w:name="方正仿宋_GB2312">
    <w:panose1 w:val="02000000000000000000"/>
    <w:charset w:val="86"/>
    <w:family w:val="auto"/>
    <w:pitch w:val="default"/>
    <w:sig w:usb0="00000000" w:usb1="00000000" w:usb2="00000000" w:usb3="00000000" w:csb0="00000000" w:csb1="00000000"/>
    <w:embedRegular r:id="rId9" w:fontKey="{F769E321-8E45-4EC0-A851-E1738622C008}"/>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jc w:val="center"/>
    </w:pPr>
  </w:p>
  <w:p>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center"/>
    </w:pPr>
    <w:r>
      <w:fldChar w:fldCharType="begin"/>
    </w:r>
    <w:r>
      <w:instrText xml:space="preserve">PAGE</w:instrText>
    </w:r>
    <w:r>
      <w:fldChar w:fldCharType="separate"/>
    </w:r>
    <w:r>
      <w:t>1</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center"/>
    </w:pPr>
    <w:r>
      <w:fldChar w:fldCharType="begin"/>
    </w:r>
    <w:r>
      <w:instrText xml:space="preserve">PAGE</w:instrText>
    </w:r>
    <w:r>
      <w:fldChar w:fldCharType="separate"/>
    </w:r>
    <w:r>
      <w:t>1</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center"/>
    </w:pPr>
    <w:r>
      <w:fldChar w:fldCharType="begin"/>
    </w:r>
    <w:r>
      <w:instrText xml:space="preserve">PAGE</w:instrText>
    </w:r>
    <w:r>
      <w:fldChar w:fldCharType="separate"/>
    </w:r>
    <w:r>
      <w:t>1</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3309D9"/>
    <w:multiLevelType w:val="singleLevel"/>
    <w:tmpl w:val="093309D9"/>
    <w:lvl w:ilvl="0" w:tentative="0">
      <w:start w:val="5"/>
      <w:numFmt w:val="decimal"/>
      <w:suff w:val="nothing"/>
      <w:lvlText w:val="%1、"/>
      <w:lvlJc w:val="left"/>
    </w:lvl>
  </w:abstractNum>
  <w:abstractNum w:abstractNumId="1">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5EC445F"/>
    <w:rsid w:val="061416A9"/>
    <w:rsid w:val="061D60A6"/>
    <w:rsid w:val="06236884"/>
    <w:rsid w:val="06B07006"/>
    <w:rsid w:val="06FC7C2A"/>
    <w:rsid w:val="07533AFE"/>
    <w:rsid w:val="07AC18F2"/>
    <w:rsid w:val="07B3657A"/>
    <w:rsid w:val="07C857D0"/>
    <w:rsid w:val="083F3A0A"/>
    <w:rsid w:val="08AB5AAF"/>
    <w:rsid w:val="09012C64"/>
    <w:rsid w:val="093B2E99"/>
    <w:rsid w:val="095D7943"/>
    <w:rsid w:val="09B33E42"/>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CD00D84"/>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7B64475"/>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E41E40"/>
    <w:rsid w:val="2BFA504B"/>
    <w:rsid w:val="2C681F1F"/>
    <w:rsid w:val="2C8608DC"/>
    <w:rsid w:val="2CA4764A"/>
    <w:rsid w:val="2CC42ECA"/>
    <w:rsid w:val="2CDA4349"/>
    <w:rsid w:val="2D1161A8"/>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716001"/>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BF221CD"/>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B00772"/>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0A0B8F"/>
    <w:rsid w:val="622D1522"/>
    <w:rsid w:val="622E0574"/>
    <w:rsid w:val="62683B6B"/>
    <w:rsid w:val="6275761C"/>
    <w:rsid w:val="62774225"/>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33D3D"/>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1">
    <w:name w:val="Default Paragraph Font"/>
    <w:semiHidden/>
    <w:unhideWhenUsed/>
    <w:qFormat/>
    <w:uiPriority w:val="1"/>
  </w:style>
  <w:style w:type="table" w:default="1" w:styleId="13">
    <w:name w:val="Normal Table"/>
    <w:semiHidden/>
    <w:unhideWhenUsed/>
    <w:qFormat/>
    <w:uiPriority w:val="99"/>
    <w:tblPr>
      <w:tblLayout w:type="fixed"/>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character" w:styleId="12">
    <w:name w:val="Strong"/>
    <w:basedOn w:val="11"/>
    <w:qFormat/>
    <w:uiPriority w:val="22"/>
    <w:rPr>
      <w:b/>
    </w:rPr>
  </w:style>
  <w:style w:type="table" w:styleId="14">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1"/>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1"/>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1"/>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1"/>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1"/>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1"/>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1"/>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1"/>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1"/>
    <w:link w:val="7"/>
    <w:semiHidden/>
    <w:qFormat/>
    <w:uiPriority w:val="99"/>
    <w:rPr>
      <w:rFonts w:asciiTheme="minorHAnsi" w:hAnsiTheme="minorHAnsi" w:eastAsiaTheme="minorEastAsia" w:cstheme="minorBidi"/>
      <w:sz w:val="18"/>
      <w:szCs w:val="18"/>
      <w:lang w:val="en-US" w:eastAsia="zh-CN" w:bidi="ar-SA"/>
    </w:rPr>
  </w:style>
  <w:style w:type="character" w:customStyle="1" w:styleId="25">
    <w:name w:val="font61"/>
    <w:basedOn w:val="11"/>
    <w:qFormat/>
    <w:uiPriority w:val="0"/>
    <w:rPr>
      <w:rFonts w:hint="eastAsia" w:ascii="宋体" w:hAnsi="宋体" w:eastAsia="宋体" w:cs="宋体"/>
      <w:color w:val="000000"/>
      <w:sz w:val="20"/>
      <w:szCs w:val="20"/>
      <w:u w:val="none"/>
    </w:rPr>
  </w:style>
  <w:style w:type="character" w:customStyle="1" w:styleId="26">
    <w:name w:val="font71"/>
    <w:basedOn w:val="11"/>
    <w:qFormat/>
    <w:uiPriority w:val="0"/>
    <w:rPr>
      <w:rFonts w:hint="default" w:ascii="Calibri" w:hAnsi="Calibri" w:cs="Calibri"/>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chart" Target="charts/chart6.xml"/><Relationship Id="rId17" Type="http://schemas.openxmlformats.org/officeDocument/2006/relationships/chart" Target="charts/chart5.xml"/><Relationship Id="rId16" Type="http://schemas.openxmlformats.org/officeDocument/2006/relationships/chart" Target="charts/chart4.xml"/><Relationship Id="rId15" Type="http://schemas.openxmlformats.org/officeDocument/2006/relationships/chart" Target="charts/chart3.xml"/><Relationship Id="rId14" Type="http://schemas.openxmlformats.org/officeDocument/2006/relationships/chart" Target="charts/chart2.xml"/><Relationship Id="rId13" Type="http://schemas.openxmlformats.org/officeDocument/2006/relationships/chart" Target="charts/chart1.xml"/><Relationship Id="rId12" Type="http://schemas.openxmlformats.org/officeDocument/2006/relationships/image" Target="media/image1.jpeg"/><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_rels/chart2.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3.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4.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5.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6.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4840.81</c:v>
                </c:pt>
                <c:pt idx="1">
                  <c:v>4742.39</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39155547.68</c:v>
                </c:pt>
                <c:pt idx="1">
                  <c:v>0</c:v>
                </c:pt>
                <c:pt idx="2">
                  <c:v>0</c:v>
                </c:pt>
                <c:pt idx="3">
                  <c:v>0</c:v>
                </c:pt>
                <c:pt idx="4">
                  <c:v>0</c:v>
                </c:pt>
                <c:pt idx="5">
                  <c:v>90000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14799777.47</c:v>
                </c:pt>
                <c:pt idx="1">
                  <c:v>24445770.21</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manualLayout>
          <c:layoutTarget val="inner"/>
          <c:xMode val="edge"/>
          <c:yMode val="edge"/>
          <c:x val="0.134621889345252"/>
          <c:y val="0.0886721850549949"/>
          <c:w val="0.838801642908915"/>
          <c:h val="0.667445288581472"/>
        </c:manualLayout>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4022.91</c:v>
                </c:pt>
                <c:pt idx="1">
                  <c:v>4022.91</c:v>
                </c:pt>
                <c:pt idx="2">
                  <c:v>4001.31</c:v>
                </c:pt>
                <c:pt idx="3">
                  <c:v>4001.31</c:v>
                </c:pt>
                <c:pt idx="4">
                  <c:v>21.6</c:v>
                </c:pt>
                <c:pt idx="5">
                  <c:v>21.6</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3915.55</c:v>
                </c:pt>
                <c:pt idx="1">
                  <c:v>3915.55</c:v>
                </c:pt>
                <c:pt idx="2">
                  <c:v>3457.55</c:v>
                </c:pt>
                <c:pt idx="3">
                  <c:v>3457.55</c:v>
                </c:pt>
                <c:pt idx="4">
                  <c:v>458.01</c:v>
                </c:pt>
                <c:pt idx="5">
                  <c:v>458.01</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4002.17</c:v>
                </c:pt>
                <c:pt idx="1">
                  <c:v>4002.17</c:v>
                </c:pt>
                <c:pt idx="2">
                  <c:v>3514.16</c:v>
                </c:pt>
                <c:pt idx="3">
                  <c:v>3514.16</c:v>
                </c:pt>
                <c:pt idx="4">
                  <c:v>488.01</c:v>
                </c:pt>
                <c:pt idx="5">
                  <c:v>488.01</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3915.55</c:v>
                </c:pt>
                <c:pt idx="1">
                  <c:v>3915.55</c:v>
                </c:pt>
                <c:pt idx="2">
                  <c:v>3457.55</c:v>
                </c:pt>
                <c:pt idx="3">
                  <c:v>3457.55</c:v>
                </c:pt>
                <c:pt idx="4">
                  <c:v>458.01</c:v>
                </c:pt>
                <c:pt idx="5">
                  <c:v>458.01</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1618.37</c:v>
                </c:pt>
                <c:pt idx="1">
                  <c:v>0</c:v>
                </c:pt>
                <c:pt idx="2">
                  <c:v>0</c:v>
                </c:pt>
                <c:pt idx="3">
                  <c:v>0</c:v>
                </c:pt>
                <c:pt idx="4">
                  <c:v>247.89</c:v>
                </c:pt>
                <c:pt idx="5">
                  <c:v>0</c:v>
                </c:pt>
                <c:pt idx="6">
                  <c:v>30.24</c:v>
                </c:pt>
                <c:pt idx="7">
                  <c:v>302.23</c:v>
                </c:pt>
                <c:pt idx="8">
                  <c:v>85.11</c:v>
                </c:pt>
                <c:pt idx="9">
                  <c:v>20</c:v>
                </c:pt>
                <c:pt idx="10">
                  <c:v>977.15</c:v>
                </c:pt>
                <c:pt idx="11">
                  <c:v>493.65</c:v>
                </c:pt>
                <c:pt idx="12">
                  <c:v>0</c:v>
                </c:pt>
                <c:pt idx="13">
                  <c:v>0</c:v>
                </c:pt>
                <c:pt idx="14">
                  <c:v>0</c:v>
                </c:pt>
                <c:pt idx="15">
                  <c:v>0</c:v>
                </c:pt>
                <c:pt idx="16">
                  <c:v>0</c:v>
                </c:pt>
                <c:pt idx="17">
                  <c:v>0</c:v>
                </c:pt>
                <c:pt idx="18">
                  <c:v>112.35</c:v>
                </c:pt>
                <c:pt idx="19">
                  <c:v>0</c:v>
                </c:pt>
                <c:pt idx="20">
                  <c:v>0</c:v>
                </c:pt>
                <c:pt idx="21">
                  <c:v>28.56</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egendEntry>
        <c:idx val="1"/>
        <c:delete val="1"/>
      </c:legendEntry>
      <c:legendEntry>
        <c:idx val="2"/>
        <c:delete val="1"/>
      </c:legendEntry>
      <c:legendEntry>
        <c:idx val="3"/>
        <c:delete val="1"/>
      </c:legendEntry>
      <c:legendEntry>
        <c:idx val="5"/>
        <c:delete val="1"/>
      </c:legendEntry>
      <c:legendEntry>
        <c:idx val="12"/>
        <c:delete val="1"/>
      </c:legendEntry>
      <c:legendEntry>
        <c:idx val="13"/>
        <c:delete val="1"/>
      </c:legendEntry>
      <c:legendEntry>
        <c:idx val="14"/>
        <c:delete val="1"/>
      </c:legendEntry>
      <c:legendEntry>
        <c:idx val="15"/>
        <c:delete val="1"/>
      </c:legendEntry>
      <c:legendEntry>
        <c:idx val="16"/>
        <c:delete val="1"/>
      </c:legendEntry>
      <c:legendEntry>
        <c:idx val="17"/>
        <c:delete val="1"/>
      </c:legendEntry>
      <c:legendEntry>
        <c:idx val="19"/>
        <c:delete val="1"/>
      </c:legendEntry>
      <c:legendEntry>
        <c:idx val="20"/>
        <c:delete val="1"/>
      </c:legendEntry>
      <c:legendEntry>
        <c:idx val="22"/>
        <c:delete val="1"/>
      </c:legendEntry>
      <c:legendEntry>
        <c:idx val="23"/>
        <c:delete val="1"/>
      </c:legendEntry>
      <c:legendEntry>
        <c:idx val="24"/>
        <c:delete val="1"/>
      </c:legendEntry>
      <c:legendEntry>
        <c:idx val="25"/>
        <c:delete val="1"/>
      </c:legendEntry>
      <c:layout>
        <c:manualLayout>
          <c:xMode val="edge"/>
          <c:yMode val="edge"/>
          <c:x val="0.729706296737835"/>
          <c:y val="0.138334041648959"/>
          <c:w val="0.246450634008887"/>
          <c:h val="0.768380790480238"/>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64</Pages>
  <Words>3196</Words>
  <Characters>4082</Characters>
  <Lines>86</Lines>
  <Paragraphs>24</Paragraphs>
  <TotalTime>3</TotalTime>
  <ScaleCrop>false</ScaleCrop>
  <LinksUpToDate>false</LinksUpToDate>
  <CharactersWithSpaces>4227</CharactersWithSpaces>
  <Application>WPS Office_10.8.2.7119_F1E327BC-269C-435d-A152-05C5408002CA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Administrator</cp:lastModifiedBy>
  <cp:lastPrinted>2023-08-04T01:00:00Z</cp:lastPrinted>
  <dcterms:modified xsi:type="dcterms:W3CDTF">2025-09-28T00:49:14Z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2052-10.8.2.7119</vt:lpwstr>
  </property>
  <property fmtid="{D5CDD505-2E9C-101B-9397-08002B2CF9AE}" pid="3" name="ICV">
    <vt:lpwstr>63BA2B50C4494AF89F9D040FE467F5D6_13</vt:lpwstr>
  </property>
  <property fmtid="{D5CDD505-2E9C-101B-9397-08002B2CF9AE}" pid="4" name="KSOTemplateUUID">
    <vt:lpwstr>v1.0_mb_S7ajbG3IpAnL1wSthNCxfw==</vt:lpwstr>
  </property>
  <property fmtid="{D5CDD505-2E9C-101B-9397-08002B2CF9AE}" pid="5" name="KSOTemplateDocerSaveRecord">
    <vt:lpwstr>eyJoZGlkIjoiNjYxNjA2YTVkODBmMTA4Y2Y2YjBiMjljNTM5NDRiYzQiLCJ1c2VySWQiOiIxNTYwNjc5OTA2In0=</vt:lpwstr>
  </property>
</Properties>
</file>