
<file path=[Content_Types].xml><?xml version="1.0" encoding="utf-8"?>
<Types xmlns="http://schemas.openxmlformats.org/package/2006/content-types">
  <Default ContentType="image/jpeg" Extension="jpeg"/>
  <Default ContentType="image/.jpg" Extension="jpg"/>
  <Default ContentType="application/vnd.openxmlformats-package.relationships+xml" Extension="rels"/>
  <Default ContentType="application/vnd.openxmlformats-officedocument.spreadsheetml.sheet" Extension="xlsx"/>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drawingml.chart+xml" PartName="/word/charts/chart1.xml"/>
  <Override ContentType="application/vnd.openxmlformats-officedocument.drawingml.chart+xml" PartName="/word/charts/chart2.xml"/>
  <Override ContentType="application/vnd.openxmlformats-officedocument.drawingml.chart+xml" PartName="/word/charts/chart3.xml"/>
  <Override ContentType="application/vnd.openxmlformats-officedocument.drawingml.chart+xml" PartName="/word/charts/chart4.xml"/>
  <Override ContentType="application/vnd.openxmlformats-officedocument.drawingml.chart+xml" PartName="/word/charts/chart5.xml"/>
  <Override ContentType="application/vnd.openxmlformats-officedocument.drawingml.chart+xml" PartName="/word/charts/chart6.xml"/>
  <Override ContentType="application/vnd.ms-office.chartcolorstyle+xml" PartName="/word/charts/colors1.xml"/>
  <Override ContentType="application/vnd.ms-office.chartcolorstyle+xml" PartName="/word/charts/colors2.xml"/>
  <Override ContentType="application/vnd.ms-office.chartcolorstyle+xml" PartName="/word/charts/colors3.xml"/>
  <Override ContentType="application/vnd.ms-office.chartcolorstyle+xml" PartName="/word/charts/colors4.xml"/>
  <Override ContentType="application/vnd.ms-office.chartcolorstyle+xml" PartName="/word/charts/colors5.xml"/>
  <Override ContentType="application/vnd.ms-office.chartcolorstyle+xml" PartName="/word/charts/colors6.xml"/>
  <Override ContentType="application/vnd.ms-office.chartstyle+xml" PartName="/word/charts/style1.xml"/>
  <Override ContentType="application/vnd.ms-office.chartstyle+xml" PartName="/word/charts/style2.xml"/>
  <Override ContentType="application/vnd.ms-office.chartstyle+xml" PartName="/word/charts/style3.xml"/>
  <Override ContentType="application/vnd.ms-office.chartstyle+xml" PartName="/word/charts/style4.xml"/>
  <Override ContentType="application/vnd.ms-office.chartstyle+xml" PartName="/word/charts/style5.xml"/>
  <Override ContentType="application/vnd.ms-office.chartstyle+xml" PartName="/word/charts/style6.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obfuscatedFont" PartName="/word/fonts/font4.odttf"/>
  <Override ContentType="application/vnd.openxmlformats-officedocument.obfuscatedFont" PartName="/word/fonts/font5.odttf"/>
  <Override ContentType="application/vnd.openxmlformats-officedocument.obfuscatedFont" PartName="/word/fonts/font6.odttf"/>
  <Override ContentType="application/vnd.openxmlformats-officedocument.obfuscatedFont" PartName="/word/fonts/font7.odttf"/>
  <Override ContentType="application/vnd.openxmlformats-officedocument.obfuscatedFont" PartName="/word/fonts/font8.odttf"/>
  <Override ContentType="application/vnd.openxmlformats-officedocument.obfuscatedFont" PartName="/word/fonts/font9.odttf"/>
  <Override ContentType="application/vnd.openxmlformats-officedocument.wordprocessingml.fontTable+xml" PartName="/word/fontTable.xml"/>
  <Override ContentType="application/vnd.openxmlformats-officedocument.wordprocessingml.footer+xml" PartName="/word/footer.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header+xml" PartName="/word/header.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http://schemas.openxmlformats.org/wordprocessingml/2006/main" xmlns:m="http://schemas.openxmlformats.org/officeDocument/2006/math" xmlns:w14="http://schemas.microsoft.com/office/word/2010/wordml" xmlns:r="http://schemas.openxmlformats.org/officeDocument/2006/relationships" xmlns:wp="http://schemas.openxmlformats.org/drawingml/2006/wordprocessingDrawing" xmlns:a="http://schemas.openxmlformats.org/drawingml/2006/main" xmlns:wp14="http://schemas.microsoft.com/office/word/2010/wordprocessingDrawing" xmlns:w15="http://schemas.microsoft.com/office/word/2012/wordml"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xvml="urn:schemas-microsoft-com:office:excel" xmlns:w10="urn:schemas-microsoft-com:office:word" xmlns:v="urn:schemas-microsoft-com:vml"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mc:Ignorable="w14 w15 wp14">
  <w:body>
    <!-- Created by docx4j 8.3.14 (Apache licensed) using REFERENCE JAXB in Oracle Java 1.8.0_211 on Linux -->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false" relativeHeight="251659264" behindDoc="true" locked="false" layoutInCell="true" allowOverlap="true">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noChangeAspect="true"/>
            </wp:cNvGraphicFramePr>
            <a:graphic>
              <a:graphicData uri="http://schemas.openxmlformats.org/drawingml/2006/picture">
                <pic:pic>
                  <pic:nvPicPr>
                    <pic:cNvPr id="15" name="图片 15" descr="7b0a202020202266696c746572223a202230220a7d0a"/>
                    <pic:cNvPicPr>
                      <a:picLocks noChangeAspect="true"/>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false" relativeHeight="251660288" behindDoc="false" locked="false" layoutInCell="true" allowOverlap="true">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a:ext uri="{7FBC4E63-A832-4D11-8238-D91031DB1400}">
                      <s:tag xmlns:s="http://www.wps.cn/officeDocument/2013/wpsCustomData" xmlns="http://www.wps.cn/officeDocument/2013/wpsCustomData" xmlns:wpi="http://schemas.microsoft.com/office/word/2010/wordprocessingInk" xmlns:wpsCustomData="http://www.wps.cn/officeDocument/2013/wpsCustomData">
                        <s:item wpsCustomData:name="KSO_DOCER_RESOURCE_TRACE_INFO" wpsCustomData:val="{&quot;id&quot;:&quot;&quot;,&quot;origin&quot;:0,&quot;type&quot;:&quot;wordart&quot;,&quot;user&quot;:&quot;292216292&quot;}"/>
                      </s:tag>
                    </a:ext>
                  </a:extLst>
                </wp:cNvGraphicFramePr>
                <a:graphic>
                  <a:graphicData uri="http://schemas.microsoft.com/office/word/2010/wordprocessingShape">
                    <wps:wsp>
                      <wps:cNvSpPr txBox="true"/>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true"/>
                    </wps:wsp>
                  </a:graphicData>
                </a:graphic>
              </wp:anchor>
            </w:drawing>
          </mc:Choice>
          <mc:Fallback>
            <w:pict>
              <v:shape o:gfxdata="UEsDBAoAAAAAAIdO4kAAAAAAAAAAAAAAAAAEAAAAZHJzL1BLAwQUAAAACACHTuJAXbLP3tgAAAAKAQAADwAAAGRycy9kb3ducmV2LnhtbE2Py07DMBBF90j8gzVI7Fo7paR1yKQLEFsQ5SGxc+NpEhGPo9htwt9jVrAc3aN7z5S72fXiTGPoPCNkSwWCuPa24wbh7fVxsQURomFres+E8E0BdtXlRWkK6yd+ofM+NiKVcCgMQhvjUEgZ6pacCUs/EKfs6EdnYjrHRtrRTKnc9XKlVC6d6TgttGag+5bqr/3JIbw/HT8/1uq5eXC3w+RnJdlpiXh9lak7EJHm+AfDr35Shyo5HfyJbRA9wmKbZwlFuNEaRAL0Kt+AOCCstdqArEr5/4XqB1BLAwQUAAAACACHTuJAo1r38fYBAADOAwAADgAAAGRycy9lMm9Eb2MueG1srVPNjpswEL5X6jtYvjeAIZCikJWqaHup2kq7fQBjTLCEf2Q7gbxA+wY99dJ7nyvP0THQ7Hb3soeVJeP5Zvx5vplhezPKHp24dUKrCierGCOumG6EOlT42/3tuw1GzlPV0F4rXuEzd/hm9/bNdjAlJ7rTfcMtAhLlysFUuPPelFHkWMcldSttuAJnq62kHkx7iBpLB2CXfUTiOI8GbRtjNePOAbqfnXhhtC8h1G0rGN9rdpRc+ZnV8p56kOQ6YRzeTdm2LWf+S9s67lFfYVDqpx0egXMd9mi3peXBUtMJtqRAX5LCE02SCgWPXqn21FN0tOIZlRTMaqdbv2JaRrOQqSKgIomf1Oauo4ZPWqDUzlyL7l6Pln0+fbVINDAJGCkqoeGXnz8uv/5cfn9HADXcMShXUceUxMsiRZG3BcmzPClIkRGSBh8p6jUjJH+fZ+Gb0pSk6zSGRdIkzdOcsIAX2UNEsCesISSmRRPT0I/BuBLSujOQmB8/6DHktuAOwFDmsbUyfKGACPzQzfO1m3z0iAGYZ2lCNuBi4CObnKzBAJ7o4bqxzn/kWqJwqLCFcZm6SE+fnJ9D/4WE15S+FX0POC179R8AnDPCp5lbbgclc8bh5Md6XGTUujmDuqOx4tDBw5O+KARBm6cMl5EMc/TYhvPj33D3F1BLAwQKAAAAAACHTuJAAAAAAAAAAAAAAAAABgAAAF9yZWxzL1BLAwQUAAAACACHTuJAihRmPNEAAACUAQAACwAAAF9yZWxzLy5yZWxzpZDBasMwDIbvg72D0X1xmsMYo04vo9Br6R7A2IpjGltGMtn69vMOg2X0tqN+oe8T//7wmRa1IkukbGDX9aAwO/IxBwPvl+PTCyipNnu7UEYDNxQ4jI8P+zMutrYjmWMR1ShZDMy1lletxc2YrHRUMLfNRJxsbSMHXay72oB66Ptnzb8ZMG6Y6uQN8MkPoC630sx/2Ck6JqGpdo6SpmmK7h5VB7Zlju7INuEbuUazHLAa8CwaB2pZ134EfV+/+6fe00c+47rVfoeM649Xb7ocvwBQSwMEFAAAAAgAh07iQH7m5SD3AAAA4QEAABMAAABbQ29udGVudF9UeXBlc10ueG1slZFBTsMwEEX3SNzB8hYlTrtACCXpgrRLQKgcYGRPEotkbHlMaG+Pk7YbRJFY2jP/vye73BzGQUwY2Dqq5CovpEDSzljqKvm+32UPUnAEMjA4wkoekeWmvr0p90ePLFKauJJ9jP5RKdY9jsC580hp0rowQkzH0CkP+gM6VOuiuFfaUUSKWZw7ZF022MLnEMX2kK5PJgEHluLptDizKgneD1ZDTKZqIvODkp0JeUouO9xbz3dJQ6pfCfPkOuCce0lPE6xB8QohPsOYNJQJrIz7ooBT/nfJbDly5trWasybwE2KveF0sbrWjmvXOP3f8u2SunSr5YPqb1BLAQIUABQAAAAIAIdO4kB+5uUg9wAAAOEBAAATAAAAAAAAAAEAIAAAAGcEAABbQ29udGVudF9UeXBlc10ueG1sUEsBAhQACgAAAAAAh07iQAAAAAAAAAAAAAAAAAYAAAAAAAAAAAAQAAAASQMAAF9yZWxzL1BLAQIUABQAAAAIAIdO4kCKFGY80QAAAJQBAAALAAAAAAAAAAEAIAAAAG0DAABfcmVscy8ucmVsc1BLAQIUAAoAAAAAAIdO4kAAAAAAAAAAAAAAAAAEAAAAAAAAAAAAEAAAAAAAAABkcnMvUEsBAhQAFAAAAAgAh07iQF2yz97YAAAACgEAAA8AAAAAAAAAAQAgAAAAIgAAAGRycy9kb3ducmV2LnhtbFBLAQIUABQAAAAIAIdO4kCjWvfx9gEAAM4DAAAOAAAAAAAAAAEAIAAAACcBAABkcnMvZTJvRG9jLnhtbFBLBQYAAAAABgAGAFkBAACPBQAAAAA=" type="#_x0000_t202" alt="7b0a2020202022776f7264617274223a20227b5c2269645c223a32353030323136362c5c227469645c223a5c225c227d220a7d0a" coordsize="21600,21600" style="position:absolute;left:0pt;margin-left:-43.05pt;margin-top:19.95pt;height:225.4pt;width:506.4pt;z-index:251660288;mso-width-relative:page;mso-height-relative:page;" id="_x0000_s1026" o:spid="_x0000_s1026" stroked="f" filled="f" o:spt="202.0">
                <v:fill on="f" focussize="0,0"/>
                <v:stroke on="f"/>
                <v:imagedata o:title=""/>
                <o:lock aspectratio="f" v:ext="edit"/>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
        <w:t>预算代码</w:t>
      </w:r>
      <w:r>
        <w:rPr>
          <w:rFonts w:hint="eastAsia" w:ascii="楷体_GB2312" w:hAnsi="楷体_GB2312" w:eastAsia="楷体_GB2312" w:cs="楷体_GB2312"/>
          <w:color w:val="000000"/>
          <w:sz w:val="40"/>
          <w:szCs w:val="40"/>
        </w:rPr>
        <w:t/>
        <w:t>：</w:t>
      </w:r>
      <w:r>
        <w:rPr>
          <w:rFonts w:hint="eastAsia" w:ascii="楷体_GB2312" w:hAnsi="楷体_GB2312" w:eastAsia="楷体_GB2312" w:cs="楷体_GB2312"/>
          <w:color w:val="000000"/>
          <w:sz w:val="40"/>
          <w:szCs w:val="40"/>
          <w:lang w:val="en-US" w:eastAsia="zh-CN"/>
        </w:rPr>
        <w:t/>
        <w:t>818001</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
        <w:t>单位名称</w:t>
      </w:r>
      <w:r>
        <w:rPr>
          <w:rFonts w:hint="eastAsia" w:ascii="楷体_GB2312" w:hAnsi="楷体_GB2312" w:eastAsia="楷体_GB2312" w:cs="楷体_GB2312"/>
          <w:color w:val="000000"/>
          <w:sz w:val="40"/>
          <w:szCs w:val="40"/>
        </w:rPr>
        <w:t/>
        <w:t>：石家庄市鹿泉区上寨乡人民政府(本级)</w:t>
      </w:r>
    </w:p>
    <w:p w14:paraId="2595C946">
      <w:pPr>
        <w:spacing w:line="600" w:lineRule="auto"/>
        <w:jc w:val="both"/>
        <w:rPr>
          <w:rFonts w:hint="eastAsia" w:ascii="楷体_GB2312" w:hAnsi="楷体_GB2312" w:eastAsia="楷体_GB2312" w:cs="楷体_GB2312"/>
          <w:color w:val="000000"/>
          <w:sz w:val="40"/>
          <w:szCs w:val="40"/>
        </w:rPr>
        <w:sectPr>
          <w:footerReference w:type="default" r:id="rId3"/>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pPr>
        <w:widowControl w:val="true"/>
        <w:spacing w:before="0" w:beforeLines="0" w:beforeAutospacing="false" w:after="0" w:afterLines="0" w:afterAutospacing="false" w:line="360" w:lineRule="auto"/>
        <w:ind/>
        <w:jc w:val="center"/>
        <w:rPr>
          <w:rFonts w:ascii="Times New Roman" w:eastAsia="方正小标宋_GBK"/>
          <w:sz w:val="72"/>
          <w:szCs w:val="72"/>
        </w:rPr>
      </w:pPr>
      <w:r>
        <w:rPr>
          <w:rFonts w:ascii="Times New Roman" w:eastAsia="方正小标宋_GBK"/>
          <w:b w:val="false"/>
          <w:sz w:val="72"/>
          <w:szCs w:val="72"/>
        </w:rPr>
        <w:t>石家庄市鹿泉区上寨乡人民政府(本级)</w:t>
      </w:r>
    </w:p>
    <w:p>
      <w:pPr>
        <w:widowControl w:val="true"/>
        <w:spacing w:before="0" w:beforeLines="0" w:beforeAutospacing="false" w:after="0" w:afterLines="0" w:afterAutospacing="false" w:line="360" w:lineRule="auto"/>
        <w:ind/>
        <w:jc w:val="center"/>
        <w:rPr>
          <w:rFonts w:ascii="Times New Roman" w:eastAsia="方正小标宋_GBK"/>
          <w:sz w:val="72"/>
          <w:szCs w:val="72"/>
        </w:rPr>
      </w:pPr>
      <w:r>
        <w:rPr>
          <w:rFonts w:ascii="Times New Roman" w:eastAsia="仿宋_GB2312"/>
          <w:b w:val="false"/>
          <w:sz w:val="72"/>
          <w:szCs w:val="72"/>
        </w:rPr>
        <w:t>2024</w:t>
      </w:r>
      <w:r>
        <w:rPr>
          <w:rFonts w:ascii="Times New Roman" w:eastAsia="方正小标宋_GBK"/>
          <w:b w:val="false"/>
          <w:sz w:val="72"/>
          <w:szCs w:val="72"/>
        </w:rPr>
        <w:t>年度部门决算公开文本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3956C54B">
      <w:pPr>
        <w:spacing w:line="480" w:lineRule="auto"/>
        <w:jc w:val="both"/>
        <w:rPr>
          <w:rFonts w:ascii="黑体" w:hAnsi="黑体" w:eastAsia="黑体" w:cs="黑体"/>
          <w:sz w:val="56"/>
          <w:szCs w:val="72"/>
        </w:rPr>
      </w:pPr>
    </w:p>
    <w:p>
      <w:pPr>
        <w:widowControl w:val="true"/>
        <w:spacing w:before="0" w:beforeLines="0" w:beforeAutospacing="false" w:after="0" w:afterLines="0" w:afterAutospacing="false" w:line="360" w:lineRule="auto"/>
        <w:ind/>
        <w:jc w:val="center"/>
        <w:rPr>
          <w:rFonts w:ascii="Times New Roman" w:eastAsia="楷体_GB2312"/>
          <w:sz w:val="44"/>
          <w:szCs w:val="44"/>
        </w:rPr>
      </w:pPr>
      <w:r>
        <w:rPr>
          <w:rFonts w:ascii="Times New Roman" w:eastAsia="楷体_GB2312"/>
          <w:b w:val="false"/>
          <w:sz w:val="44"/>
          <w:szCs w:val="44"/>
        </w:rPr>
        <w:t>石家庄市鹿泉区上寨乡人民政府(本级)</w:t>
      </w:r>
      <w:r>
        <w:rPr>
          <w:rFonts w:ascii="Times New Roman" w:eastAsia="楷体_GB2312"/>
          <w:b w:val="false"/>
          <w:sz w:val="44"/>
          <w:szCs w:val="44"/>
        </w:rPr>
        <w:t>(单位名称，加盖公章）</w:t>
      </w:r>
    </w:p>
    <w:p>
      <w:pPr>
        <w:widowControl w:val="true"/>
        <w:spacing w:before="0" w:beforeLines="0" w:beforeAutospacing="false" w:after="0" w:afterLines="0" w:afterAutospacing="false" w:line="360" w:lineRule="auto"/>
        <w:ind/>
        <w:jc w:val="center"/>
        <w:rPr>
          <w:rFonts w:ascii="Times New Roman" w:eastAsia="楷体_GB2312"/>
          <w:sz w:val="44"/>
          <w:szCs w:val="44"/>
        </w:rPr>
      </w:pPr>
      <w:r>
        <w:rPr>
          <w:rFonts w:ascii="Times New Roman" w:eastAsia="楷体_GB2312"/>
          <w:b w:val="false"/>
          <w:sz w:val="44"/>
          <w:szCs w:val="44"/>
        </w:rPr>
        <w:t>二〇二五年</w:t>
      </w:r>
      <w:r>
        <w:rPr>
          <w:rFonts w:ascii="Times New Roman" w:eastAsia="楷体_GB2312"/>
          <w:b w:val="false"/>
          <w:sz w:val="44"/>
          <w:szCs w:val="44"/>
        </w:rPr>
        <w:t>八</w:t>
      </w:r>
      <w:r>
        <w:rPr>
          <w:rFonts w:ascii="Times New Roman" w:eastAsia="楷体_GB2312"/>
          <w:b w:val="false"/>
          <w:sz w:val="44"/>
          <w:szCs w:val="44"/>
        </w:rPr>
        <w:t>月</w:t>
      </w:r>
    </w:p>
    <w:p w14:paraId="0350B668">
      <w:pPr>
        <w:snapToGrid w:val="false"/>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5065631">
      <w:pPr>
        <w:snapToGrid w:val="false"/>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w:type="default" r:id="rId21"/>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pPr>
        <w:widowControl w:val="true"/>
        <w:spacing w:before="0" w:beforeLines="0" w:beforeAutospacing="false" w:after="0" w:afterLines="0" w:afterAutospacing="false" w:line="360" w:lineRule="auto"/>
        <w:ind/>
        <w:jc w:val="center"/>
        <w:outlineLvl w:val="0"/>
        <w:rPr>
          <w:rFonts w:ascii="Times New Roman" w:eastAsia="黑体"/>
          <w:sz w:val="44"/>
          <w:szCs w:val="44"/>
        </w:rPr>
      </w:pPr>
      <w:r>
        <w:rPr>
          <w:rFonts w:ascii="Times New Roman" w:eastAsia="黑体"/>
          <w:b w:val="false"/>
          <w:sz w:val="44"/>
          <w:szCs w:val="44"/>
        </w:rPr>
        <w:t>目    录</w:t>
      </w:r>
    </w:p>
    <w:p w14:paraId="0463692A">
      <w:pPr>
        <w:widowControl/>
        <w:spacing w:after="160" w:line="580" w:lineRule="exact"/>
        <w:ind w:firstLine="640" w:firstLineChars="200"/>
        <w:rPr>
          <w:rFonts w:ascii="Times New Roman" w:hAnsi="Times New Roman" w:eastAsia="黑体" w:cs="Times New Roman"/>
          <w:sz w:val="32"/>
          <w:szCs w:val="32"/>
        </w:rPr>
      </w:pPr>
    </w:p>
    <w:p>
      <w:pPr>
        <w:widowControl w:val="true"/>
        <w:spacing w:before="0" w:beforeLines="0" w:beforeAutospacing="false" w:after="0" w:afterLines="0" w:afterAutospacing="false" w:line="360" w:lineRule="auto"/>
        <w:ind/>
        <w:jc w:val="left"/>
        <w:rPr>
          <w:rFonts w:ascii="Times New Roman" w:eastAsia="黑体"/>
          <w:sz w:val="32"/>
          <w:szCs w:val="32"/>
        </w:rPr>
      </w:pPr>
      <w:r>
        <w:rPr>
          <w:rFonts w:ascii="Times New Roman" w:eastAsia="黑体"/>
          <w:b w:val="false"/>
          <w:sz w:val="32"/>
          <w:szCs w:val="32"/>
        </w:rPr>
        <w:t>第一部分   </w:t>
      </w:r>
      <w:r>
        <w:rPr>
          <w:rFonts w:ascii="Times New Roman" w:eastAsia="黑体"/>
          <w:b w:val="false"/>
          <w:sz w:val="32"/>
          <w:szCs w:val="32"/>
        </w:rPr>
        <w:t>单位</w:t>
      </w:r>
      <w:r>
        <w:rPr>
          <w:rFonts w:ascii="Times New Roman" w:eastAsia="黑体"/>
          <w:b w:val="false"/>
          <w:sz w:val="32"/>
          <w:szCs w:val="32"/>
        </w:rPr>
        <w:t>概况</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一、</w:t>
      </w:r>
      <w:r>
        <w:rPr>
          <w:rFonts w:ascii="Times New Roman" w:eastAsia="仿宋_GB2312"/>
          <w:b w:val="false"/>
          <w:sz w:val="32"/>
          <w:szCs w:val="32"/>
        </w:rPr>
        <w:t>单位</w:t>
      </w:r>
      <w:r>
        <w:rPr>
          <w:rFonts w:ascii="Times New Roman" w:eastAsia="仿宋_GB2312"/>
          <w:b w:val="false"/>
          <w:sz w:val="32"/>
          <w:szCs w:val="32"/>
        </w:rPr>
        <w:t>职责</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二、机构设置</w:t>
      </w:r>
    </w:p>
    <w:p>
      <w:pPr>
        <w:widowControl w:val="true"/>
        <w:spacing w:before="0" w:beforeLines="0" w:beforeAutospacing="false" w:after="0" w:afterLines="0" w:afterAutospacing="false" w:line="360" w:lineRule="auto"/>
        <w:ind/>
        <w:jc w:val="left"/>
        <w:outlineLvl w:val="0"/>
        <w:rPr>
          <w:rFonts w:ascii="Times New Roman" w:eastAsia="黑体"/>
          <w:sz w:val="32"/>
          <w:szCs w:val="32"/>
        </w:rPr>
      </w:pPr>
      <w:r>
        <w:rPr>
          <w:rFonts w:ascii="Times New Roman" w:eastAsia="黑体"/>
          <w:b w:val="false"/>
          <w:sz w:val="32"/>
          <w:szCs w:val="32"/>
        </w:rPr>
        <w:t>第二部分   2024年度部门决算报表</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一、收入支出决算总表</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二、收入决算表</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三、支出决算表</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四、财政拨款收入支出决算总表</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五、一般公共预算财政拨款支出决算表</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六、一般公共预算财政拨款基本支出决算明细表</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七、政府性基金预算财政拨款收入支出决算表</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八、国有资本经营预算财政拨款支出决算表</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九、财政拨款“三公”经费支出决算表</w:t>
      </w:r>
    </w:p>
    <w:p>
      <w:pPr>
        <w:widowControl w:val="true"/>
        <w:spacing w:before="0" w:beforeLines="0" w:beforeAutospacing="false" w:after="0" w:afterLines="0" w:afterAutospacing="false" w:line="360" w:lineRule="auto"/>
        <w:ind/>
        <w:jc w:val="left"/>
        <w:rPr>
          <w:rFonts w:ascii="Times New Roman" w:eastAsia="黑体"/>
          <w:sz w:val="32"/>
          <w:szCs w:val="32"/>
        </w:rPr>
      </w:pPr>
      <w:r>
        <w:rPr>
          <w:rFonts w:ascii="Times New Roman" w:eastAsia="黑体"/>
          <w:b w:val="false"/>
          <w:sz w:val="32"/>
          <w:szCs w:val="32"/>
        </w:rPr>
        <w:t>第三部分   2024年度部门决算情况说明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一、收入支出决算总体情况说明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二、收入决算情况说明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三、支出决算情况说明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四、财政拨款收入支出决算总体情况说明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五、财政拨款“三公”经费支出决算情况说明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六、机关运行经费支出说明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七、政府采购支出说明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八、国有资产占用情况说明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九、关于</w:t>
      </w:r>
      <w:r>
        <w:rPr>
          <w:rFonts w:ascii="Times New Roman" w:eastAsia="仿宋_GB2312"/>
          <w:b w:val="false"/>
          <w:sz w:val="32"/>
          <w:szCs w:val="32"/>
        </w:rPr>
        <w:t>2024</w:t>
      </w:r>
      <w:r>
        <w:rPr>
          <w:rFonts w:ascii="Times New Roman" w:eastAsia="仿宋_GB2312"/>
          <w:b w:val="false"/>
          <w:sz w:val="32"/>
          <w:szCs w:val="32"/>
        </w:rPr>
        <w:t>年度绩效评价情况的说明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十、其他需要说明的情况</w:t>
      </w:r>
    </w:p>
    <w:p>
      <w:pPr>
        <w:widowControl w:val="true"/>
        <w:spacing w:before="0" w:beforeLines="0" w:beforeAutospacing="false" w:after="0" w:afterLines="0" w:afterAutospacing="false" w:line="360" w:lineRule="auto"/>
        <w:ind/>
        <w:jc w:val="left"/>
        <w:rPr>
          <w:rFonts w:ascii="Times New Roman" w:eastAsia="黑体"/>
          <w:sz w:val="32"/>
          <w:szCs w:val="32"/>
        </w:rPr>
      </w:pPr>
      <w:r>
        <w:rPr>
          <w:rFonts w:ascii="Times New Roman" w:eastAsia="黑体"/>
          <w:b w:val="false"/>
          <w:sz w:val="32"/>
          <w:szCs w:val="32"/>
        </w:rPr>
        <w:t>第四部分   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w:type="first" r:id="rId5"/>
          <w:footerReference w:type="first" r:id="rId7"/>
          <w:headerReference w:type="default" r:id="rId4"/>
          <w:footerReference w:type="default" r:id="rId6"/>
          <w:footerReference w:type="default" r:id="rId21"/>
          <w:pgSz w:w="11906" w:h="16838"/>
          <w:pgMar w:top="1474" w:right="1531" w:bottom="1474" w:left="1531" w:header="851" w:footer="992" w:gutter="0"/>
          <w:pgBorders>
            <w:top w:val="none" w:sz="0" w:space="0"/>
            <w:left w:val="none" w:sz="0" w:space="0"/>
            <w:bottom w:val="none" w:sz="0" w:space="0"/>
            <w:right w:val="none" w:sz="0" w:space="0"/>
          </w:pgBorders>
          <w:pgNumType/>
          <w:cols w:space="0" w:num="1"/>
          <w:titlePg/>
          <w:docGrid w:type="lines" w:linePitch="312" w:charSpace="0"/>
        </w:sectPr>
      </w:pPr>
    </w:p>
    <w:p>
      <w:pPr>
        <w:widowControl w:val="true"/>
        <w:spacing w:before="0" w:beforeLines="0" w:beforeAutospacing="false" w:after="0" w:afterLines="0" w:afterAutospacing="false" w:line="360" w:lineRule="auto"/>
        <w:ind/>
        <w:jc w:val="center"/>
        <w:outlineLvl w:val="0"/>
        <w:rPr>
          <w:rFonts w:ascii="Times New Roman" w:eastAsia="黑体"/>
          <w:sz w:val="44"/>
          <w:szCs w:val="44"/>
        </w:rPr>
      </w:pPr>
      <w:r>
        <w:rPr>
          <w:rFonts w:ascii="Times New Roman" w:eastAsia="黑体"/>
          <w:b w:val="false"/>
          <w:sz w:val="44"/>
          <w:szCs w:val="44"/>
        </w:rPr>
        <w:t>第一部分   </w:t>
      </w:r>
      <w:r>
        <w:rPr>
          <w:rFonts w:ascii="Times New Roman" w:eastAsia="黑体"/>
          <w:b w:val="false"/>
          <w:sz w:val="44"/>
          <w:szCs w:val="44"/>
        </w:rPr>
        <w:t>单位</w:t>
      </w:r>
      <w:r>
        <w:rPr>
          <w:rFonts w:ascii="Times New Roman" w:eastAsia="黑体"/>
          <w:b w:val="false"/>
          <w:sz w:val="44"/>
          <w:szCs w:val="44"/>
        </w:rPr>
        <w:t>概况</w:t>
      </w:r>
    </w:p>
    <w:p>
      <w:pPr>
        <w:widowControl w:val="true"/>
        <w:spacing w:before="0" w:beforeLines="0" w:beforeAutospacing="false" w:after="0" w:afterLines="0" w:afterAutospacing="false" w:line="360" w:lineRule="auto"/>
        <w:ind/>
        <w:jc w:val="left"/>
        <w:outlineLvl w:val="1"/>
        <w:rPr>
          <w:rFonts w:ascii="Times New Roman" w:eastAsia="黑体"/>
          <w:sz w:val="32"/>
          <w:szCs w:val="32"/>
        </w:rPr>
      </w:pPr>
      <w:r>
        <w:rPr>
          <w:rFonts w:ascii="Times New Roman" w:eastAsia="黑体"/>
          <w:b w:val="false"/>
          <w:sz w:val="32"/>
          <w:szCs w:val="32"/>
        </w:rPr>
        <w:t>一、</w:t>
      </w:r>
      <w:r>
        <w:rPr>
          <w:rFonts w:ascii="Times New Roman" w:eastAsia="黑体"/>
          <w:b w:val="false"/>
          <w:sz w:val="32"/>
          <w:szCs w:val="32"/>
        </w:rPr>
        <w:t>单位</w:t>
      </w:r>
      <w:r>
        <w:rPr>
          <w:rFonts w:ascii="Times New Roman" w:eastAsia="黑体"/>
          <w:b w:val="false"/>
          <w:sz w:val="32"/>
          <w:szCs w:val="32"/>
        </w:rPr>
        <w:t>职责</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1、宣传贯彻执行党的路线方针政策和党中央、上级党组织 及本乡党员代表大会（党员大会）的决议。贯彻执行法律、法规、规章和上级人民代表大会及其常务委员会决议及上级政府的决 定、命令，执行本级人民代表大会的决议。 2、讨论和决定本乡经济建设、政治建设、文化建设、社会 建设、生态文明建设和党的建设以及乡村振兴中的重大问题。 3、组织召开本级人民代表大会，充分行使重大事项决定权、 监督权和任免权，做好人大代表工作，联系选民、反映群众意见 和要求。 4、执行本行政区域内的经济和社会发展计划，预算，管理 本行政区域内的经济、教育、科学、文化、卫生健康、体育事业 和财政、统计、民政、司法行政等行政工作。落实本级行政区域内发展规划、专项规划、区域规划、国土空间规划。 5、乡党委领导乡政权机关、群团组织和其他各类组织，加 强指导和规范，支持和保证这些机关和组织依照国家法律法规以 及各自章程履行职责。坚持党管武装的根本原则和制度，协调各方力量，对乡人民武装工作实行统一领导。 6、加强乡党委自身建设和村党组织建设，以及其他隶属乡 党委的党组织建设，抓好发展党员工作，加强党员队伍建设。维 护和执行党的纪律，监督党员干部和其他任何工作人员严格遵守 国家法律法规。 7、按照干部管理权限，负责对干部的教育、培训、选拔、 考核和监督工作。协助管理上级有关部门驻乡单位的干部。做好人才服务工作。 8、领导本乡的基层治理，加强社会主义民主法治建设和精 神文明建设，加强社会治安综合治理，做好应急管理、生态环保、乡村振兴、民生保障、脱贫致富、民族宗教、防范邪教等工作。承担民兵预备役、征兵、退役军人服务、拥军优属等工作。 9、保护社会主义全民所有的财产和劳动群众集体所有的财产，保护公民私人所有的合法财产，维护社会秩序，保障公民的 人身权利、民主权利和其他权利。保护各种经济组织的合法权益。 保障各少数民族的合法权利和利益，尊重少数民族的风俗习惯。保障宪法和法律赋予妇女的男女平等、同工同酬和婚姻自由等各项权利。 10、承办上级党委、人大、政府交办的其他事项。</w:t>
      </w:r>
    </w:p>
    <w:p>
      <w:pPr>
        <w:widowControl w:val="true"/>
        <w:spacing w:before="0" w:beforeLines="0" w:beforeAutospacing="false" w:after="0" w:afterLines="0" w:afterAutospacing="false" w:line="360" w:lineRule="auto"/>
        <w:ind/>
        <w:jc w:val="left"/>
        <w:outlineLvl w:val="1"/>
        <w:rPr>
          <w:rFonts w:ascii="Times New Roman" w:eastAsia="黑体"/>
          <w:sz w:val="32"/>
          <w:szCs w:val="32"/>
        </w:rPr>
      </w:pPr>
      <w:r>
        <w:rPr>
          <w:rFonts w:ascii="Times New Roman" w:eastAsia="黑体"/>
          <w:b w:val="false"/>
          <w:sz w:val="32"/>
          <w:szCs w:val="32"/>
        </w:rPr>
        <w:t>二、机构设置</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从决算编报单位构成看，纳入</w:t>
      </w:r>
      <w:r>
        <w:rPr>
          <w:rFonts w:ascii="Times New Roman" w:eastAsia="仿宋_GB2312"/>
          <w:b w:val="false"/>
          <w:sz w:val="32"/>
          <w:szCs w:val="32"/>
        </w:rPr>
        <w:t>2024</w:t>
      </w:r>
      <w:r>
        <w:rPr>
          <w:rFonts w:ascii="Times New Roman" w:eastAsia="仿宋_GB2312"/>
          <w:b w:val="false"/>
          <w:sz w:val="32"/>
          <w:szCs w:val="32"/>
        </w:rPr>
        <w:t>年度本部门决算汇编范围的独立核算单位（以下简称“单位”）共 </w:t>
      </w:r>
      <w:r>
        <w:rPr>
          <w:rFonts w:ascii="Times New Roman" w:eastAsia="仿宋_GB2312"/>
          <w:b w:val="false"/>
          <w:sz w:val="32"/>
          <w:szCs w:val="32"/>
        </w:rPr>
        <w:t>1</w:t>
      </w:r>
      <w:r>
        <w:rPr>
          <w:rFonts w:ascii="Times New Roman" w:eastAsia="仿宋_GB2312"/>
          <w:b w:val="false"/>
          <w:sz w:val="32"/>
          <w:szCs w:val="32"/>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
              <w:t>1</w:t>
            </w:r>
          </w:p>
        </w:tc>
        <w:tc>
          <w:tcPr>
            <w:tcW w:w="348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
              <w:t>石家庄市鹿泉区上寨乡人民政府(本级)</w:t>
            </w:r>
          </w:p>
        </w:tc>
        <w:tc>
          <w:tcPr>
            <w:tcW w:w="2445" w:type="dxa"/>
          </w:tcPr>
          <w:p w14:paraId="2E443189">
            <w:pPr>
              <w:spacing w:line="560" w:lineRule="exact"/>
              <w:jc w:val="center"/>
              <w:rPr>
                <w:rFonts w:ascii="仿宋_GB2312" w:hAnsi="Calibri" w:eastAsia="仿宋_GB2312" w:cs="ArialUnicodeMS"/>
                <w:kern w:val="0"/>
                <w:sz w:val="28"/>
                <w:szCs w:val="28"/>
              </w:rPr>
            </w:pP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
              <w:t>全额</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val="true"/>
        <w:spacing w:before="0" w:beforeLines="0" w:beforeAutospacing="false" w:after="0" w:afterLines="0" w:afterAutospacing="false" w:line="360" w:lineRule="auto"/>
        <w:ind/>
        <w:jc w:val="center"/>
        <w:outlineLvl w:val="0"/>
        <w:rPr>
          <w:rFonts w:ascii="Times New Roman" w:eastAsia="黑体"/>
          <w:sz w:val="44"/>
          <w:szCs w:val="44"/>
        </w:rPr>
      </w:pPr>
      <w:r>
        <w:rPr>
          <w:rFonts w:ascii="Times New Roman" w:eastAsia="黑体"/>
          <w:b w:val="false"/>
          <w:sz w:val="44"/>
          <w:szCs w:val="44"/>
        </w:rPr>
        <w:t>第二部分   </w:t>
      </w:r>
      <w:r>
        <w:rPr>
          <w:rFonts w:ascii="Times New Roman" w:eastAsia="仿宋_GB2312"/>
          <w:b w:val="false"/>
          <w:sz w:val="44"/>
          <w:szCs w:val="44"/>
        </w:rPr>
        <w:t>2024</w:t>
      </w:r>
      <w:r>
        <w:rPr>
          <w:rFonts w:ascii="Times New Roman" w:eastAsia="黑体"/>
          <w:b w:val="false"/>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false"/>
              <w:keepLines w:val="false"/>
              <w:widowControl/>
              <w:suppressLineNumbers w:val="false"/>
              <w:jc w:val="center"/>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b w:val="false"/>
                <w:bCs/>
                <w:color w:val="auto"/>
                <w:kern w:val="0"/>
                <w:sz w:val="32"/>
                <w:szCs w:val="32"/>
                <w:highlight w:val="none"/>
                <w:lang w:val="en-US" w:eastAsia="zh-CN"/>
              </w:rPr>
              <w:t/>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false"/>
              <w:keepLines w:val="false"/>
              <w:widowControl/>
              <w:suppressLineNumbers w:val="false"/>
              <w:jc w:val="right"/>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xml:space="preserve"/>
              <w:t xml:space="preserve"> 公开</w:t>
            </w:r>
            <w:r>
              <w:rPr>
                <w:rFonts w:hint="eastAsia" w:ascii="Times New Roman" w:hAnsi="Times New Roman" w:eastAsia="宋体" w:cs="Times New Roman"/>
                <w:i w:val="false"/>
                <w:iCs w:val="false"/>
                <w:color w:val="000000"/>
                <w:sz w:val="20"/>
                <w:szCs w:val="20"/>
                <w:highlight w:val="none"/>
                <w:u w:val="none"/>
                <w:lang w:val="en-US" w:eastAsia="zh-CN"/>
              </w:rPr>
              <w:t/>
              <w:t>01</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部门（单位）：石家庄市鹿泉区上寨乡人民政府(本级)</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false"/>
                <w:iCs w:val="false"/>
                <w:color w:val="000000"/>
                <w:kern w:val="0"/>
                <w:sz w:val="20"/>
                <w:szCs w:val="20"/>
                <w:highlight w:val="none"/>
                <w:u w:val="none"/>
                <w:lang w:val="en-US" w:eastAsia="zh-CN" w:bidi="ar"/>
              </w:rPr>
            </w:pPr>
            <w:r>
              <w:rPr>
                <w:rFonts w:hint="eastAsia" w:ascii="Times New Roman" w:hAnsi="Times New Roman" w:eastAsia="宋体" w:cs="Times New Roman"/>
                <w:i w:val="false"/>
                <w:iCs w:val="false"/>
                <w:color w:val="000000"/>
                <w:sz w:val="20"/>
                <w:szCs w:val="20"/>
                <w:highlight w:val="none"/>
                <w:u w:val="none"/>
                <w:lang w:val="en-US" w:eastAsia="zh-CN"/>
              </w:rPr>
              <w:t/>
              <w:t>2024</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false"/>
                <w:iCs w:val="false"/>
                <w:color w:val="000000"/>
                <w:kern w:val="0"/>
                <w:sz w:val="20"/>
                <w:szCs w:val="20"/>
                <w:highlight w:val="none"/>
                <w:u w:val="none"/>
                <w:lang w:val="en-US" w:eastAsia="zh-CN" w:bidi="ar"/>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项目</w:t>
            </w:r>
          </w:p>
        </w:tc>
        <w:tc>
          <w:tcPr>
            <w:tcW w:w="267" w:type="pct"/>
            <w:tcBorders>
              <w:top w:val="nil"/>
              <w:left w:val="nil"/>
              <w:bottom w:val="single" w:color="000000" w:sz="4" w:space="0"/>
              <w:right w:val="single" w:color="000000" w:sz="4" w:space="0"/>
            </w:tcBorders>
            <w:noWrap/>
            <w:vAlign w:val="center"/>
          </w:tcPr>
          <w:p w14:paraId="739721C3">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行次</w:t>
            </w:r>
          </w:p>
        </w:tc>
        <w:tc>
          <w:tcPr>
            <w:tcW w:w="826" w:type="pct"/>
            <w:gridSpan w:val="2"/>
            <w:tcBorders>
              <w:top w:val="nil"/>
              <w:left w:val="nil"/>
              <w:bottom w:val="single" w:color="000000" w:sz="4" w:space="0"/>
              <w:right w:val="single" w:color="000000" w:sz="4" w:space="0"/>
            </w:tcBorders>
            <w:noWrap/>
            <w:vAlign w:val="center"/>
          </w:tcPr>
          <w:p w14:paraId="5A45BDE6">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项目</w:t>
            </w:r>
          </w:p>
        </w:tc>
        <w:tc>
          <w:tcPr>
            <w:tcW w:w="267" w:type="pct"/>
            <w:tcBorders>
              <w:top w:val="nil"/>
              <w:left w:val="nil"/>
              <w:bottom w:val="single" w:color="000000" w:sz="4" w:space="0"/>
              <w:right w:val="single" w:color="000000" w:sz="4" w:space="0"/>
            </w:tcBorders>
            <w:noWrap/>
            <w:vAlign w:val="center"/>
          </w:tcPr>
          <w:p w14:paraId="0AB02734">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行次</w:t>
            </w:r>
          </w:p>
        </w:tc>
        <w:tc>
          <w:tcPr>
            <w:tcW w:w="826" w:type="pct"/>
            <w:tcBorders>
              <w:top w:val="nil"/>
              <w:left w:val="nil"/>
              <w:bottom w:val="single" w:color="000000" w:sz="4" w:space="0"/>
              <w:right w:val="single" w:color="000000" w:sz="4" w:space="0"/>
            </w:tcBorders>
            <w:noWrap/>
            <w:vAlign w:val="center"/>
          </w:tcPr>
          <w:p w14:paraId="3D4173C6">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false"/>
                <w:iCs w:val="false"/>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Times New Roman" w:hAnsi="Times New Roman" w:eastAsia="宋体" w:cs="Times New Roman"/>
                <w:i w:val="false"/>
                <w:iCs w:val="false"/>
                <w:color w:val="000000"/>
                <w:sz w:val="20"/>
                <w:szCs w:val="20"/>
                <w:highlight w:val="none"/>
                <w:u w:val="none"/>
                <w:lang w:val="en-US" w:eastAsia="zh-CN"/>
              </w:rPr>
              <w:t/>
              <w:t>1</w:t>
            </w:r>
          </w:p>
        </w:tc>
        <w:tc>
          <w:tcPr>
            <w:tcW w:w="1361" w:type="pct"/>
            <w:gridSpan w:val="2"/>
            <w:tcBorders>
              <w:top w:val="nil"/>
              <w:left w:val="nil"/>
              <w:bottom w:val="single" w:color="000000" w:sz="4" w:space="0"/>
              <w:right w:val="single" w:color="000000" w:sz="4" w:space="0"/>
            </w:tcBorders>
            <w:noWrap/>
            <w:vAlign w:val="center"/>
          </w:tcPr>
          <w:p w14:paraId="4F12A300">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false"/>
                <w:iCs w:val="false"/>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Times New Roman" w:hAnsi="Times New Roman" w:eastAsia="宋体" w:cs="Times New Roman"/>
                <w:i w:val="false"/>
                <w:iCs w:val="false"/>
                <w:color w:val="000000"/>
                <w:sz w:val="20"/>
                <w:szCs w:val="20"/>
                <w:highlight w:val="none"/>
                <w:u w:val="none"/>
                <w:lang w:val="en-US" w:eastAsia="zh-CN"/>
              </w:rPr>
              <w:t/>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宋体" w:hAnsi="宋体" w:eastAsia="宋体" w:cs="宋体"/>
                <w:i w:val="false"/>
                <w:iCs w:val="false"/>
                <w:color w:val="000000"/>
                <w:sz w:val="20"/>
                <w:szCs w:val="20"/>
                <w:highlight w:val="none"/>
                <w:u w:val="none"/>
                <w:lang w:val="en-US" w:eastAsia="zh-CN"/>
              </w:rPr>
              <w:t/>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1,995.35</w:t>
            </w:r>
          </w:p>
        </w:tc>
        <w:tc>
          <w:tcPr>
            <w:tcW w:w="1361" w:type="pct"/>
            <w:gridSpan w:val="2"/>
            <w:tcBorders>
              <w:top w:val="nil"/>
              <w:left w:val="nil"/>
              <w:bottom w:val="single" w:color="000000" w:sz="4" w:space="0"/>
              <w:right w:val="single" w:color="000000" w:sz="4" w:space="0"/>
            </w:tcBorders>
            <w:noWrap/>
            <w:vAlign w:val="center"/>
          </w:tcPr>
          <w:p w14:paraId="6042D269">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880.73</w:t>
            </w: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1361" w:type="pct"/>
            <w:gridSpan w:val="2"/>
            <w:tcBorders>
              <w:top w:val="nil"/>
              <w:left w:val="nil"/>
              <w:bottom w:val="single" w:color="000000" w:sz="4" w:space="0"/>
              <w:right w:val="single" w:color="000000" w:sz="4" w:space="0"/>
            </w:tcBorders>
            <w:noWrap/>
            <w:vAlign w:val="center"/>
          </w:tcPr>
          <w:p w14:paraId="3A8769E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二、外交支出</w:t>
            </w:r>
          </w:p>
        </w:tc>
        <w:tc>
          <w:tcPr>
            <w:tcW w:w="267" w:type="pct"/>
            <w:tcBorders>
              <w:top w:val="nil"/>
              <w:left w:val="nil"/>
              <w:bottom w:val="single" w:color="000000" w:sz="4" w:space="0"/>
              <w:right w:val="single" w:color="000000" w:sz="4" w:space="0"/>
            </w:tcBorders>
            <w:noWrap/>
            <w:vAlign w:val="center"/>
          </w:tcPr>
          <w:p w14:paraId="3BFF2AEF">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1361" w:type="pct"/>
            <w:gridSpan w:val="2"/>
            <w:tcBorders>
              <w:top w:val="nil"/>
              <w:left w:val="nil"/>
              <w:bottom w:val="single" w:color="000000" w:sz="4" w:space="0"/>
              <w:right w:val="single" w:color="000000" w:sz="4" w:space="0"/>
            </w:tcBorders>
            <w:noWrap/>
            <w:vAlign w:val="center"/>
          </w:tcPr>
          <w:p w14:paraId="621BBD07">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三、国防支出</w:t>
            </w:r>
          </w:p>
        </w:tc>
        <w:tc>
          <w:tcPr>
            <w:tcW w:w="267" w:type="pct"/>
            <w:tcBorders>
              <w:top w:val="nil"/>
              <w:left w:val="nil"/>
              <w:bottom w:val="single" w:color="000000" w:sz="4" w:space="0"/>
              <w:right w:val="single" w:color="000000" w:sz="4" w:space="0"/>
            </w:tcBorders>
            <w:noWrap/>
            <w:vAlign w:val="center"/>
          </w:tcPr>
          <w:p w14:paraId="6EB67140">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四、上级补助收入</w:t>
            </w:r>
          </w:p>
        </w:tc>
        <w:tc>
          <w:tcPr>
            <w:tcW w:w="267" w:type="pct"/>
            <w:tcBorders>
              <w:top w:val="nil"/>
              <w:left w:val="nil"/>
              <w:bottom w:val="single" w:color="000000" w:sz="4" w:space="0"/>
              <w:right w:val="single" w:color="000000" w:sz="4" w:space="0"/>
            </w:tcBorders>
            <w:noWrap/>
            <w:vAlign w:val="center"/>
          </w:tcPr>
          <w:p w14:paraId="6EF84231">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1361" w:type="pct"/>
            <w:gridSpan w:val="2"/>
            <w:tcBorders>
              <w:top w:val="nil"/>
              <w:left w:val="nil"/>
              <w:bottom w:val="single" w:color="000000" w:sz="4" w:space="0"/>
              <w:right w:val="single" w:color="000000" w:sz="4" w:space="0"/>
            </w:tcBorders>
            <w:noWrap/>
            <w:vAlign w:val="center"/>
          </w:tcPr>
          <w:p w14:paraId="08B84FEB">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四、公共安全支出</w:t>
            </w:r>
          </w:p>
        </w:tc>
        <w:tc>
          <w:tcPr>
            <w:tcW w:w="267" w:type="pct"/>
            <w:tcBorders>
              <w:top w:val="nil"/>
              <w:left w:val="nil"/>
              <w:bottom w:val="single" w:color="000000" w:sz="4" w:space="0"/>
              <w:right w:val="single" w:color="000000" w:sz="4" w:space="0"/>
            </w:tcBorders>
            <w:noWrap/>
            <w:vAlign w:val="center"/>
          </w:tcPr>
          <w:p w14:paraId="26C2E342">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五、事业收入</w:t>
            </w:r>
          </w:p>
        </w:tc>
        <w:tc>
          <w:tcPr>
            <w:tcW w:w="267" w:type="pct"/>
            <w:tcBorders>
              <w:top w:val="nil"/>
              <w:left w:val="nil"/>
              <w:bottom w:val="single" w:color="000000" w:sz="4" w:space="0"/>
              <w:right w:val="single" w:color="000000" w:sz="4" w:space="0"/>
            </w:tcBorders>
            <w:noWrap/>
            <w:vAlign w:val="center"/>
          </w:tcPr>
          <w:p w14:paraId="47A2EFA1">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1361" w:type="pct"/>
            <w:gridSpan w:val="2"/>
            <w:tcBorders>
              <w:top w:val="nil"/>
              <w:left w:val="nil"/>
              <w:bottom w:val="single" w:color="000000" w:sz="4" w:space="0"/>
              <w:right w:val="single" w:color="000000" w:sz="4" w:space="0"/>
            </w:tcBorders>
            <w:noWrap/>
            <w:vAlign w:val="center"/>
          </w:tcPr>
          <w:p w14:paraId="25C3AE7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五、教育支出</w:t>
            </w:r>
          </w:p>
        </w:tc>
        <w:tc>
          <w:tcPr>
            <w:tcW w:w="267" w:type="pct"/>
            <w:tcBorders>
              <w:top w:val="nil"/>
              <w:left w:val="nil"/>
              <w:bottom w:val="single" w:color="000000" w:sz="4" w:space="0"/>
              <w:right w:val="single" w:color="000000" w:sz="4" w:space="0"/>
            </w:tcBorders>
            <w:noWrap/>
            <w:vAlign w:val="center"/>
          </w:tcPr>
          <w:p w14:paraId="07D1CB6A">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76.56</w:t>
            </w: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六、经营收入</w:t>
            </w:r>
          </w:p>
        </w:tc>
        <w:tc>
          <w:tcPr>
            <w:tcW w:w="267" w:type="pct"/>
            <w:tcBorders>
              <w:top w:val="nil"/>
              <w:left w:val="nil"/>
              <w:bottom w:val="single" w:color="000000" w:sz="4" w:space="0"/>
              <w:right w:val="single" w:color="000000" w:sz="4" w:space="0"/>
            </w:tcBorders>
            <w:noWrap/>
            <w:vAlign w:val="center"/>
          </w:tcPr>
          <w:p w14:paraId="4471FA2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1361" w:type="pct"/>
            <w:gridSpan w:val="2"/>
            <w:tcBorders>
              <w:top w:val="nil"/>
              <w:left w:val="nil"/>
              <w:bottom w:val="single" w:color="000000" w:sz="4" w:space="0"/>
              <w:right w:val="single" w:color="000000" w:sz="4" w:space="0"/>
            </w:tcBorders>
            <w:noWrap/>
            <w:vAlign w:val="center"/>
          </w:tcPr>
          <w:p w14:paraId="61FED7F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六、科学技术支出</w:t>
            </w:r>
          </w:p>
        </w:tc>
        <w:tc>
          <w:tcPr>
            <w:tcW w:w="267" w:type="pct"/>
            <w:tcBorders>
              <w:top w:val="nil"/>
              <w:left w:val="nil"/>
              <w:bottom w:val="single" w:color="000000" w:sz="4" w:space="0"/>
              <w:right w:val="single" w:color="000000" w:sz="4" w:space="0"/>
            </w:tcBorders>
            <w:noWrap/>
            <w:vAlign w:val="center"/>
          </w:tcPr>
          <w:p w14:paraId="2653EA1A">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1361" w:type="pct"/>
            <w:gridSpan w:val="2"/>
            <w:tcBorders>
              <w:top w:val="nil"/>
              <w:left w:val="nil"/>
              <w:bottom w:val="single" w:color="000000" w:sz="4" w:space="0"/>
              <w:right w:val="single" w:color="000000" w:sz="4" w:space="0"/>
            </w:tcBorders>
            <w:noWrap/>
            <w:vAlign w:val="center"/>
          </w:tcPr>
          <w:p w14:paraId="30295DA7">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1.00</w:t>
            </w: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八、其他收入</w:t>
            </w:r>
          </w:p>
        </w:tc>
        <w:tc>
          <w:tcPr>
            <w:tcW w:w="267" w:type="pct"/>
            <w:tcBorders>
              <w:top w:val="nil"/>
              <w:left w:val="nil"/>
              <w:bottom w:val="single" w:color="000000" w:sz="4" w:space="0"/>
              <w:right w:val="single" w:color="000000" w:sz="4" w:space="0"/>
            </w:tcBorders>
            <w:noWrap/>
            <w:vAlign w:val="center"/>
          </w:tcPr>
          <w:p w14:paraId="26262146">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1361" w:type="pct"/>
            <w:gridSpan w:val="2"/>
            <w:tcBorders>
              <w:top w:val="nil"/>
              <w:left w:val="nil"/>
              <w:bottom w:val="single" w:color="000000" w:sz="4" w:space="0"/>
              <w:right w:val="single" w:color="000000" w:sz="4" w:space="0"/>
            </w:tcBorders>
            <w:noWrap/>
            <w:vAlign w:val="center"/>
          </w:tcPr>
          <w:p w14:paraId="69522E0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75.37</w:t>
            </w: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false"/>
                <w:iCs w:val="false"/>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九、卫生健康支出</w:t>
            </w:r>
          </w:p>
        </w:tc>
        <w:tc>
          <w:tcPr>
            <w:tcW w:w="267" w:type="pct"/>
            <w:tcBorders>
              <w:top w:val="nil"/>
              <w:left w:val="nil"/>
              <w:bottom w:val="single" w:color="000000" w:sz="4" w:space="0"/>
              <w:right w:val="single" w:color="000000" w:sz="4" w:space="0"/>
            </w:tcBorders>
            <w:noWrap/>
            <w:vAlign w:val="center"/>
          </w:tcPr>
          <w:p w14:paraId="08C11D76">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eastAsia="zh-CN"/>
              </w:rPr>
            </w:pPr>
            <w:r>
              <w:rPr>
                <w:rFonts w:hint="default" w:ascii="Times New Roman" w:hAnsi="Times New Roman" w:eastAsia="宋体" w:cs="Times New Roman"/>
                <w:i w:val="false"/>
                <w:iCs w:val="false"/>
                <w:color w:val="000000"/>
                <w:sz w:val="20"/>
                <w:szCs w:val="20"/>
                <w:highlight w:val="none"/>
                <w:u w:val="none"/>
                <w:lang w:val="en-US" w:eastAsia="zh-CN"/>
              </w:rPr>
              <w:t/>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44.90</w:t>
            </w: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false"/>
                <w:iCs w:val="false"/>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十、节能环保支出</w:t>
            </w:r>
          </w:p>
        </w:tc>
        <w:tc>
          <w:tcPr>
            <w:tcW w:w="267" w:type="pct"/>
            <w:tcBorders>
              <w:top w:val="nil"/>
              <w:left w:val="nil"/>
              <w:bottom w:val="single" w:color="000000" w:sz="4" w:space="0"/>
              <w:right w:val="single" w:color="000000" w:sz="4" w:space="0"/>
            </w:tcBorders>
            <w:noWrap/>
            <w:vAlign w:val="center"/>
          </w:tcPr>
          <w:p w14:paraId="35C25BCB">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10.00</w:t>
            </w: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false"/>
                <w:iCs w:val="false"/>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779.95</w:t>
            </w: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false"/>
                <w:iCs w:val="false"/>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十二、农林水支出</w:t>
            </w:r>
          </w:p>
        </w:tc>
        <w:tc>
          <w:tcPr>
            <w:tcW w:w="267" w:type="pct"/>
            <w:tcBorders>
              <w:top w:val="nil"/>
              <w:left w:val="nil"/>
              <w:bottom w:val="single" w:color="000000" w:sz="4" w:space="0"/>
              <w:right w:val="single" w:color="000000" w:sz="4" w:space="0"/>
            </w:tcBorders>
            <w:noWrap/>
            <w:vAlign w:val="center"/>
          </w:tcPr>
          <w:p w14:paraId="4D18D834">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60.00</w:t>
            </w: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false"/>
                <w:iCs w:val="false"/>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false"/>
                <w:iCs w:val="false"/>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false"/>
                <w:iCs w:val="false"/>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false"/>
                <w:iCs w:val="false"/>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false"/>
                <w:iCs w:val="false"/>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false"/>
                <w:iCs w:val="false"/>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false"/>
                <w:iCs w:val="false"/>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eastAsia="zh-CN"/>
              </w:rPr>
            </w:pPr>
            <w:r>
              <w:rPr>
                <w:rFonts w:hint="default" w:ascii="Times New Roman" w:hAnsi="Times New Roman" w:eastAsia="宋体" w:cs="Times New Roman"/>
                <w:i w:val="false"/>
                <w:iCs w:val="false"/>
                <w:color w:val="000000"/>
                <w:sz w:val="20"/>
                <w:szCs w:val="20"/>
                <w:highlight w:val="none"/>
                <w:u w:val="none"/>
                <w:lang w:val="en-US" w:eastAsia="zh-CN"/>
              </w:rPr>
              <w:t/>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66.84</w:t>
            </w: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false"/>
                <w:iCs w:val="false"/>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false"/>
                <w:iCs w:val="false"/>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false"/>
                <w:iCs w:val="false"/>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false"/>
                <w:iCs w:val="false"/>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二十三、其他支出</w:t>
            </w:r>
          </w:p>
        </w:tc>
        <w:tc>
          <w:tcPr>
            <w:tcW w:w="267" w:type="pct"/>
            <w:tcBorders>
              <w:top w:val="nil"/>
              <w:left w:val="nil"/>
              <w:bottom w:val="single" w:color="000000" w:sz="4" w:space="0"/>
              <w:right w:val="single" w:color="000000" w:sz="4" w:space="0"/>
            </w:tcBorders>
            <w:noWrap/>
            <w:vAlign w:val="center"/>
          </w:tcPr>
          <w:p w14:paraId="21910897">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false"/>
                <w:iCs w:val="false"/>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false"/>
                <w:iCs w:val="false"/>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false"/>
                <w:iCs w:val="false"/>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false"/>
              <w:keepLines w:val="false"/>
              <w:widowControl/>
              <w:suppressLineNumbers w:val="false"/>
              <w:jc w:val="center"/>
              <w:textAlignment w:val="center"/>
              <w:rPr>
                <w:rFonts w:hint="eastAsia" w:ascii="方正仿宋_GB2312" w:hAnsi="方正仿宋_GB2312" w:eastAsia="方正仿宋_GB2312" w:cs="方正仿宋_GB2312"/>
                <w:b/>
                <w:bCs/>
                <w:i w:val="false"/>
                <w:iCs w:val="false"/>
                <w:color w:val="000000"/>
                <w:sz w:val="20"/>
                <w:szCs w:val="20"/>
                <w:highlight w:val="none"/>
                <w:u w:val="none"/>
              </w:rPr>
            </w:pPr>
            <w:r>
              <w:rPr>
                <w:rFonts w:hint="eastAsia" w:ascii="方正仿宋_GB2312" w:hAnsi="方正仿宋_GB2312" w:eastAsia="方正仿宋_GB2312" w:cs="方正仿宋_GB2312"/>
                <w:b/>
                <w:bCs/>
                <w:i w:val="false"/>
                <w:iCs w:val="false"/>
                <w:color w:val="000000"/>
                <w:kern w:val="0"/>
                <w:sz w:val="20"/>
                <w:szCs w:val="20"/>
                <w:highlight w:val="none"/>
                <w:u w:val="none"/>
                <w:lang w:val="en-US" w:eastAsia="zh-CN" w:bidi="ar"/>
              </w:rPr>
              <w:t/>
              <w:t>本年收入合计</w:t>
            </w:r>
          </w:p>
        </w:tc>
        <w:tc>
          <w:tcPr>
            <w:tcW w:w="267" w:type="pct"/>
            <w:tcBorders>
              <w:top w:val="nil"/>
              <w:left w:val="nil"/>
              <w:bottom w:val="single" w:color="000000" w:sz="4" w:space="0"/>
              <w:right w:val="single" w:color="000000" w:sz="4" w:space="0"/>
            </w:tcBorders>
            <w:noWrap/>
            <w:vAlign w:val="center"/>
          </w:tcPr>
          <w:p w14:paraId="5F7B49D7">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1,995.35</w:t>
            </w:r>
          </w:p>
        </w:tc>
        <w:tc>
          <w:tcPr>
            <w:tcW w:w="1361" w:type="pct"/>
            <w:gridSpan w:val="2"/>
            <w:tcBorders>
              <w:top w:val="nil"/>
              <w:left w:val="nil"/>
              <w:bottom w:val="single" w:color="000000" w:sz="4" w:space="0"/>
              <w:right w:val="single" w:color="000000" w:sz="4" w:space="0"/>
            </w:tcBorders>
            <w:noWrap/>
            <w:vAlign w:val="center"/>
          </w:tcPr>
          <w:p w14:paraId="2FBF6DDF">
            <w:pPr>
              <w:keepNext w:val="false"/>
              <w:keepLines w:val="false"/>
              <w:widowControl/>
              <w:suppressLineNumbers w:val="false"/>
              <w:jc w:val="center"/>
              <w:textAlignment w:val="center"/>
              <w:rPr>
                <w:rFonts w:hint="eastAsia" w:ascii="方正仿宋_GB2312" w:hAnsi="方正仿宋_GB2312" w:eastAsia="方正仿宋_GB2312" w:cs="方正仿宋_GB2312"/>
                <w:b/>
                <w:bCs/>
                <w:i w:val="false"/>
                <w:iCs w:val="false"/>
                <w:color w:val="000000"/>
                <w:sz w:val="20"/>
                <w:szCs w:val="20"/>
                <w:highlight w:val="none"/>
                <w:u w:val="none"/>
              </w:rPr>
            </w:pPr>
            <w:r>
              <w:rPr>
                <w:rFonts w:hint="eastAsia" w:ascii="方正仿宋_GB2312" w:hAnsi="方正仿宋_GB2312" w:eastAsia="方正仿宋_GB2312" w:cs="方正仿宋_GB2312"/>
                <w:b/>
                <w:bCs/>
                <w:i w:val="false"/>
                <w:iCs w:val="false"/>
                <w:color w:val="000000"/>
                <w:kern w:val="0"/>
                <w:sz w:val="20"/>
                <w:szCs w:val="20"/>
                <w:highlight w:val="none"/>
                <w:u w:val="none"/>
                <w:lang w:val="en-US" w:eastAsia="zh-CN" w:bidi="ar"/>
              </w:rPr>
              <w:t/>
              <w:t>本年支出合计</w:t>
            </w:r>
          </w:p>
        </w:tc>
        <w:tc>
          <w:tcPr>
            <w:tcW w:w="267" w:type="pct"/>
            <w:tcBorders>
              <w:top w:val="nil"/>
              <w:left w:val="nil"/>
              <w:bottom w:val="single" w:color="000000" w:sz="4" w:space="0"/>
              <w:right w:val="single" w:color="000000" w:sz="4" w:space="0"/>
            </w:tcBorders>
            <w:noWrap/>
            <w:vAlign w:val="center"/>
          </w:tcPr>
          <w:p w14:paraId="2AA10C2E">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1,995.35</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1361" w:type="pct"/>
            <w:gridSpan w:val="2"/>
            <w:tcBorders>
              <w:top w:val="nil"/>
              <w:left w:val="nil"/>
              <w:bottom w:val="single" w:color="000000" w:sz="4" w:space="0"/>
              <w:right w:val="single" w:color="000000" w:sz="4" w:space="0"/>
            </w:tcBorders>
            <w:noWrap/>
            <w:vAlign w:val="center"/>
          </w:tcPr>
          <w:p w14:paraId="65A3D6F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结余分配</w:t>
            </w:r>
          </w:p>
        </w:tc>
        <w:tc>
          <w:tcPr>
            <w:tcW w:w="267" w:type="pct"/>
            <w:tcBorders>
              <w:top w:val="nil"/>
              <w:left w:val="nil"/>
              <w:bottom w:val="single" w:color="000000" w:sz="4" w:space="0"/>
              <w:right w:val="single" w:color="000000" w:sz="4" w:space="0"/>
            </w:tcBorders>
            <w:noWrap/>
            <w:vAlign w:val="center"/>
          </w:tcPr>
          <w:p w14:paraId="3A5975DA">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年初结转和结余</w:t>
            </w:r>
          </w:p>
        </w:tc>
        <w:tc>
          <w:tcPr>
            <w:tcW w:w="267" w:type="pct"/>
            <w:tcBorders>
              <w:top w:val="nil"/>
              <w:left w:val="nil"/>
              <w:bottom w:val="single" w:color="000000" w:sz="4" w:space="0"/>
              <w:right w:val="single" w:color="000000" w:sz="4" w:space="0"/>
            </w:tcBorders>
            <w:noWrap/>
            <w:vAlign w:val="center"/>
          </w:tcPr>
          <w:p w14:paraId="3F69D3D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1361" w:type="pct"/>
            <w:gridSpan w:val="2"/>
            <w:tcBorders>
              <w:top w:val="nil"/>
              <w:left w:val="nil"/>
              <w:bottom w:val="single" w:color="000000" w:sz="4" w:space="0"/>
              <w:right w:val="single" w:color="000000" w:sz="4" w:space="0"/>
            </w:tcBorders>
            <w:noWrap/>
            <w:vAlign w:val="center"/>
          </w:tcPr>
          <w:p w14:paraId="70533FB1">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年末结转和结余</w:t>
            </w:r>
          </w:p>
        </w:tc>
        <w:tc>
          <w:tcPr>
            <w:tcW w:w="267" w:type="pct"/>
            <w:tcBorders>
              <w:top w:val="nil"/>
              <w:left w:val="nil"/>
              <w:bottom w:val="single" w:color="000000" w:sz="4" w:space="0"/>
              <w:right w:val="single" w:color="000000" w:sz="4" w:space="0"/>
            </w:tcBorders>
            <w:noWrap/>
            <w:vAlign w:val="center"/>
          </w:tcPr>
          <w:p w14:paraId="484AA5E2">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eastAsia="zh-CN"/>
              </w:rPr>
            </w:pPr>
            <w:r>
              <w:rPr>
                <w:rFonts w:hint="default" w:ascii="Times New Roman" w:hAnsi="Times New Roman" w:eastAsia="宋体" w:cs="Times New Roman"/>
                <w:i w:val="false"/>
                <w:iCs w:val="false"/>
                <w:color w:val="000000"/>
                <w:sz w:val="20"/>
                <w:szCs w:val="20"/>
                <w:highlight w:val="none"/>
                <w:u w:val="none"/>
                <w:lang w:val="en-US" w:eastAsia="zh-CN"/>
              </w:rPr>
              <w:t/>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false"/>
              <w:keepLines w:val="false"/>
              <w:widowControl/>
              <w:suppressLineNumbers w:val="false"/>
              <w:jc w:val="center"/>
              <w:textAlignment w:val="center"/>
              <w:rPr>
                <w:rFonts w:hint="eastAsia" w:ascii="方正仿宋_GB2312" w:hAnsi="方正仿宋_GB2312" w:eastAsia="方正仿宋_GB2312" w:cs="方正仿宋_GB2312"/>
                <w:b/>
                <w:bCs/>
                <w:i w:val="false"/>
                <w:iCs w:val="false"/>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kern w:val="0"/>
                <w:sz w:val="20"/>
                <w:szCs w:val="20"/>
                <w:highlight w:val="none"/>
                <w:u w:val="none"/>
                <w:lang w:val="en-US" w:eastAsia="zh-CN" w:bidi="ar"/>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false"/>
              <w:keepLines w:val="false"/>
              <w:widowControl/>
              <w:suppressLineNumbers w:val="false"/>
              <w:jc w:val="center"/>
              <w:textAlignment w:val="center"/>
              <w:rPr>
                <w:rFonts w:hint="eastAsia" w:ascii="方正仿宋_GB2312" w:hAnsi="方正仿宋_GB2312" w:eastAsia="方正仿宋_GB2312" w:cs="方正仿宋_GB2312"/>
                <w:b/>
                <w:bCs/>
                <w:i w:val="false"/>
                <w:iCs w:val="false"/>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kern w:val="0"/>
                <w:sz w:val="20"/>
                <w:szCs w:val="20"/>
                <w:highlight w:val="none"/>
                <w:u w:val="none"/>
                <w:lang w:val="en-US" w:eastAsia="zh-CN" w:bidi="ar"/>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false"/>
                <w:iCs w:val="false"/>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false"/>
              <w:keepLines w:val="false"/>
              <w:widowControl/>
              <w:suppressLineNumbers w:val="false"/>
              <w:jc w:val="center"/>
              <w:textAlignment w:val="center"/>
              <w:rPr>
                <w:rFonts w:hint="eastAsia" w:ascii="方正仿宋_GB2312" w:hAnsi="方正仿宋_GB2312" w:eastAsia="方正仿宋_GB2312" w:cs="方正仿宋_GB2312"/>
                <w:b/>
                <w:bCs/>
                <w:i w:val="false"/>
                <w:iCs w:val="false"/>
                <w:color w:val="000000"/>
                <w:sz w:val="20"/>
                <w:szCs w:val="20"/>
                <w:highlight w:val="none"/>
                <w:u w:val="none"/>
              </w:rPr>
            </w:pPr>
            <w:r>
              <w:rPr>
                <w:rFonts w:hint="eastAsia" w:ascii="方正仿宋_GB2312" w:hAnsi="方正仿宋_GB2312" w:eastAsia="方正仿宋_GB2312" w:cs="方正仿宋_GB2312"/>
                <w:b/>
                <w:bCs/>
                <w:i w:val="false"/>
                <w:iCs w:val="false"/>
                <w:color w:val="000000"/>
                <w:kern w:val="0"/>
                <w:sz w:val="20"/>
                <w:szCs w:val="20"/>
                <w:highlight w:val="none"/>
                <w:u w:val="none"/>
                <w:lang w:val="en-US" w:eastAsia="zh-CN" w:bidi="ar"/>
              </w:rPr>
              <w:t/>
              <w:t>总计</w:t>
            </w:r>
          </w:p>
        </w:tc>
        <w:tc>
          <w:tcPr>
            <w:tcW w:w="267" w:type="pct"/>
            <w:tcBorders>
              <w:top w:val="nil"/>
              <w:left w:val="nil"/>
              <w:bottom w:val="single" w:color="000000" w:sz="4" w:space="0"/>
              <w:right w:val="single" w:color="000000" w:sz="4" w:space="0"/>
            </w:tcBorders>
            <w:noWrap/>
            <w:vAlign w:val="center"/>
          </w:tcPr>
          <w:p w14:paraId="170E1E2E">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1,995.35</w:t>
            </w:r>
          </w:p>
        </w:tc>
        <w:tc>
          <w:tcPr>
            <w:tcW w:w="1361" w:type="pct"/>
            <w:gridSpan w:val="2"/>
            <w:tcBorders>
              <w:top w:val="nil"/>
              <w:left w:val="nil"/>
              <w:bottom w:val="single" w:color="000000" w:sz="4" w:space="0"/>
              <w:right w:val="single" w:color="000000" w:sz="4" w:space="0"/>
            </w:tcBorders>
            <w:noWrap/>
            <w:vAlign w:val="center"/>
          </w:tcPr>
          <w:p w14:paraId="2B01AA3D">
            <w:pPr>
              <w:keepNext w:val="false"/>
              <w:keepLines w:val="false"/>
              <w:widowControl/>
              <w:suppressLineNumbers w:val="false"/>
              <w:jc w:val="center"/>
              <w:textAlignment w:val="center"/>
              <w:rPr>
                <w:rFonts w:hint="eastAsia" w:ascii="方正仿宋_GB2312" w:hAnsi="方正仿宋_GB2312" w:eastAsia="方正仿宋_GB2312" w:cs="方正仿宋_GB2312"/>
                <w:b/>
                <w:bCs/>
                <w:i w:val="false"/>
                <w:iCs w:val="false"/>
                <w:color w:val="000000"/>
                <w:sz w:val="20"/>
                <w:szCs w:val="20"/>
                <w:highlight w:val="none"/>
                <w:u w:val="none"/>
              </w:rPr>
            </w:pPr>
            <w:r>
              <w:rPr>
                <w:rFonts w:hint="eastAsia" w:ascii="方正仿宋_GB2312" w:hAnsi="方正仿宋_GB2312" w:eastAsia="方正仿宋_GB2312" w:cs="方正仿宋_GB2312"/>
                <w:b/>
                <w:bCs/>
                <w:i w:val="false"/>
                <w:iCs w:val="false"/>
                <w:color w:val="000000"/>
                <w:kern w:val="0"/>
                <w:sz w:val="20"/>
                <w:szCs w:val="20"/>
                <w:highlight w:val="none"/>
                <w:u w:val="none"/>
                <w:lang w:val="en-US" w:eastAsia="zh-CN" w:bidi="ar"/>
              </w:rPr>
              <w:t/>
              <w:t>总计</w:t>
            </w:r>
          </w:p>
        </w:tc>
        <w:tc>
          <w:tcPr>
            <w:tcW w:w="267" w:type="pct"/>
            <w:tcBorders>
              <w:top w:val="nil"/>
              <w:left w:val="nil"/>
              <w:bottom w:val="single" w:color="000000" w:sz="4" w:space="0"/>
              <w:right w:val="single" w:color="000000" w:sz="4" w:space="0"/>
            </w:tcBorders>
            <w:noWrap/>
            <w:vAlign w:val="center"/>
          </w:tcPr>
          <w:p w14:paraId="19A5AF14">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1,995.35</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注：1.本表反映部门本年度的总收支和年末结转结余情况。</w:t>
            </w:r>
          </w:p>
          <w:p w14:paraId="50B55D94">
            <w:pPr>
              <w:keepNext w:val="false"/>
              <w:keepLines w:val="false"/>
              <w:widowControl/>
              <w:suppressLineNumbers w:val="false"/>
              <w:ind w:firstLine="400" w:firstLineChars="200"/>
              <w:jc w:val="left"/>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2.本套报表金额转换时可能存在尾数误差。</w:t>
            </w:r>
          </w:p>
        </w:tc>
      </w:tr>
    </w:tbl>
    <w:p w14:paraId="477D721E">
      <w:pPr>
        <w:keepNext w:val="false"/>
        <w:keepLines w:val="false"/>
        <w:pageBreakBefore w:val="false"/>
        <w:widowControl w:val="false"/>
        <w:kinsoku/>
        <w:wordWrap/>
        <w:overflowPunct/>
        <w:topLinePunct w:val="false"/>
        <w:autoSpaceDE/>
        <w:autoSpaceDN/>
        <w:bidi w:val="false"/>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false"/>
              <w:keepLines w:val="false"/>
              <w:widowControl/>
              <w:suppressLineNumbers w:val="false"/>
              <w:jc w:val="center"/>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b w:val="false"/>
                <w:bCs/>
                <w:color w:val="auto"/>
                <w:kern w:val="0"/>
                <w:sz w:val="32"/>
                <w:szCs w:val="32"/>
                <w:highlight w:val="none"/>
                <w:lang w:val="en-US" w:eastAsia="zh-CN"/>
              </w:rPr>
              <w:t/>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false"/>
              <w:keepLines w:val="false"/>
              <w:widowControl/>
              <w:suppressLineNumbers w:val="false"/>
              <w:jc w:val="right"/>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公开</w:t>
            </w:r>
            <w:r>
              <w:rPr>
                <w:rFonts w:hint="eastAsia" w:ascii="Times New Roman" w:hAnsi="Times New Roman" w:eastAsia="宋体" w:cs="Times New Roman"/>
                <w:i w:val="false"/>
                <w:iCs w:val="false"/>
                <w:color w:val="000000"/>
                <w:sz w:val="20"/>
                <w:szCs w:val="20"/>
                <w:highlight w:val="none"/>
                <w:u w:val="none"/>
                <w:lang w:val="en-US" w:eastAsia="zh-CN"/>
              </w:rPr>
              <w:t/>
              <w:t>02</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xml:space="preserve"/>
              <w:t xml:space="preserve">部门（单位）：石家庄市鹿泉区上寨乡人民政府(本级)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pPr>
            <w:r>
              <w:rPr>
                <w:rFonts w:hint="default" w:ascii="Times New Roman" w:hAnsi="Times New Roman" w:eastAsia="方正仿宋_GB2312" w:cs="Times New Roman"/>
                <w:i w:val="false"/>
                <w:iCs w:val="false"/>
                <w:color w:val="000000"/>
                <w:sz w:val="20"/>
                <w:szCs w:val="20"/>
                <w:highlight w:val="none"/>
                <w:u w:val="none"/>
                <w:lang w:val="en-US" w:eastAsia="zh-CN"/>
              </w:rPr>
              <w:t/>
              <w:t>202</w:t>
            </w:r>
            <w:r>
              <w:rPr>
                <w:rFonts w:hint="eastAsia" w:ascii="Times New Roman" w:hAnsi="Times New Roman" w:eastAsia="方正仿宋_GB2312" w:cs="Times New Roman"/>
                <w:i w:val="false"/>
                <w:iCs w:val="false"/>
                <w:color w:val="000000"/>
                <w:sz w:val="20"/>
                <w:szCs w:val="20"/>
                <w:highlight w:val="none"/>
                <w:u w:val="none"/>
                <w:lang w:val="en-US" w:eastAsia="zh-CN"/>
              </w:rPr>
              <w:t/>
              <w:t>4</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项目</w:t>
            </w:r>
          </w:p>
        </w:tc>
        <w:tc>
          <w:tcPr>
            <w:tcW w:w="1037" w:type="dxa"/>
            <w:vMerge w:val="restart"/>
            <w:tcBorders>
              <w:top w:val="single" w:color="auto" w:sz="4" w:space="0"/>
              <w:left w:val="nil"/>
              <w:bottom w:val="single" w:color="000000" w:sz="4" w:space="0"/>
              <w:right w:val="single" w:color="000000" w:sz="4" w:space="0"/>
            </w:tcBorders>
            <w:noWrap w:val="false"/>
            <w:vAlign w:val="center"/>
          </w:tcPr>
          <w:p w14:paraId="32435B0D">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本年收入合计</w:t>
            </w:r>
          </w:p>
        </w:tc>
        <w:tc>
          <w:tcPr>
            <w:tcW w:w="1037" w:type="dxa"/>
            <w:vMerge w:val="restart"/>
            <w:tcBorders>
              <w:top w:val="single" w:color="auto" w:sz="4" w:space="0"/>
              <w:left w:val="nil"/>
              <w:bottom w:val="single" w:color="000000" w:sz="4" w:space="0"/>
              <w:right w:val="single" w:color="000000" w:sz="4" w:space="0"/>
            </w:tcBorders>
            <w:noWrap w:val="false"/>
            <w:vAlign w:val="center"/>
          </w:tcPr>
          <w:p w14:paraId="28FE0E0E">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财政拨款收入</w:t>
            </w:r>
          </w:p>
        </w:tc>
        <w:tc>
          <w:tcPr>
            <w:tcW w:w="1037" w:type="dxa"/>
            <w:vMerge w:val="restart"/>
            <w:tcBorders>
              <w:top w:val="single" w:color="auto" w:sz="4" w:space="0"/>
              <w:left w:val="nil"/>
              <w:bottom w:val="single" w:color="000000" w:sz="4" w:space="0"/>
              <w:right w:val="single" w:color="000000" w:sz="4" w:space="0"/>
            </w:tcBorders>
            <w:noWrap w:val="false"/>
            <w:vAlign w:val="center"/>
          </w:tcPr>
          <w:p w14:paraId="519F8CE6">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上级补助收入</w:t>
            </w:r>
          </w:p>
        </w:tc>
        <w:tc>
          <w:tcPr>
            <w:tcW w:w="964" w:type="dxa"/>
            <w:vMerge w:val="restart"/>
            <w:tcBorders>
              <w:top w:val="single" w:color="auto" w:sz="4" w:space="0"/>
              <w:left w:val="nil"/>
              <w:right w:val="single" w:color="000000" w:sz="4" w:space="0"/>
            </w:tcBorders>
            <w:noWrap w:val="false"/>
            <w:vAlign w:val="center"/>
          </w:tcPr>
          <w:p w14:paraId="7CD2CD69">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事业收入</w:t>
            </w:r>
          </w:p>
        </w:tc>
        <w:tc>
          <w:tcPr>
            <w:tcW w:w="964" w:type="dxa"/>
            <w:gridSpan w:val="2"/>
            <w:vMerge w:val="restart"/>
            <w:tcBorders>
              <w:top w:val="single" w:color="auto" w:sz="4" w:space="0"/>
              <w:left w:val="nil"/>
              <w:bottom w:val="single" w:color="000000" w:sz="4" w:space="0"/>
              <w:right w:val="single" w:color="000000" w:sz="4" w:space="0"/>
            </w:tcBorders>
            <w:noWrap w:val="false"/>
            <w:vAlign w:val="center"/>
          </w:tcPr>
          <w:p w14:paraId="0CF83882">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经营收入</w:t>
            </w:r>
          </w:p>
        </w:tc>
        <w:tc>
          <w:tcPr>
            <w:tcW w:w="1027" w:type="dxa"/>
            <w:vMerge w:val="restart"/>
            <w:tcBorders>
              <w:top w:val="single" w:color="auto" w:sz="4" w:space="0"/>
              <w:left w:val="nil"/>
              <w:bottom w:val="single" w:color="000000" w:sz="4" w:space="0"/>
              <w:right w:val="single" w:color="000000" w:sz="4" w:space="0"/>
            </w:tcBorders>
            <w:noWrap w:val="false"/>
            <w:vAlign w:val="center"/>
          </w:tcPr>
          <w:p w14:paraId="2EC5CA7D">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附属单位上缴收入</w:t>
            </w:r>
          </w:p>
        </w:tc>
        <w:tc>
          <w:tcPr>
            <w:tcW w:w="964" w:type="dxa"/>
            <w:vMerge w:val="restart"/>
            <w:tcBorders>
              <w:top w:val="single" w:color="auto" w:sz="4" w:space="0"/>
              <w:left w:val="nil"/>
              <w:bottom w:val="single" w:color="000000" w:sz="4" w:space="0"/>
              <w:right w:val="single" w:color="000000" w:sz="4" w:space="0"/>
            </w:tcBorders>
            <w:noWrap w:val="false"/>
            <w:vAlign w:val="center"/>
          </w:tcPr>
          <w:p w14:paraId="468DD824">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false"/>
            <w:vAlign w:val="center"/>
          </w:tcPr>
          <w:p w14:paraId="311F5312">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科目名称</w:t>
            </w:r>
          </w:p>
        </w:tc>
        <w:tc>
          <w:tcPr>
            <w:tcW w:w="1037" w:type="dxa"/>
            <w:vMerge w:val="continue"/>
            <w:tcBorders>
              <w:top w:val="single" w:color="000000" w:sz="4" w:space="0"/>
              <w:left w:val="nil"/>
              <w:bottom w:val="single" w:color="000000" w:sz="4" w:space="0"/>
              <w:right w:val="single" w:color="000000" w:sz="4" w:space="0"/>
            </w:tcBorders>
            <w:noWrap w:val="false"/>
            <w:vAlign w:val="center"/>
          </w:tcPr>
          <w:p w14:paraId="4D40809E">
            <w:pPr>
              <w:jc w:val="center"/>
              <w:rPr>
                <w:rFonts w:hint="eastAsia" w:ascii="宋体" w:hAnsi="宋体" w:eastAsia="宋体" w:cs="宋体"/>
                <w:i w:val="false"/>
                <w:iCs w:val="false"/>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false"/>
            <w:vAlign w:val="center"/>
          </w:tcPr>
          <w:p w14:paraId="2F7A2E0A">
            <w:pPr>
              <w:jc w:val="center"/>
              <w:rPr>
                <w:rFonts w:hint="eastAsia" w:ascii="宋体" w:hAnsi="宋体" w:eastAsia="宋体" w:cs="宋体"/>
                <w:i w:val="false"/>
                <w:iCs w:val="false"/>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false"/>
            <w:vAlign w:val="center"/>
          </w:tcPr>
          <w:p w14:paraId="3800E84D">
            <w:pPr>
              <w:jc w:val="center"/>
              <w:rPr>
                <w:rFonts w:hint="eastAsia" w:ascii="宋体" w:hAnsi="宋体" w:eastAsia="宋体" w:cs="宋体"/>
                <w:i w:val="false"/>
                <w:iCs w:val="false"/>
                <w:color w:val="000000"/>
                <w:sz w:val="20"/>
                <w:szCs w:val="20"/>
                <w:highlight w:val="none"/>
                <w:u w:val="none"/>
              </w:rPr>
            </w:pPr>
          </w:p>
        </w:tc>
        <w:tc>
          <w:tcPr>
            <w:tcW w:w="964" w:type="dxa"/>
            <w:vMerge w:val="continue"/>
            <w:tcBorders>
              <w:left w:val="nil"/>
              <w:right w:val="single" w:color="000000" w:sz="4" w:space="0"/>
            </w:tcBorders>
            <w:noWrap w:val="false"/>
            <w:vAlign w:val="center"/>
          </w:tcPr>
          <w:p w14:paraId="22E02862">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false"/>
            <w:vAlign w:val="center"/>
          </w:tcPr>
          <w:p w14:paraId="72C1BCFA">
            <w:pPr>
              <w:jc w:val="center"/>
              <w:rPr>
                <w:rFonts w:hint="eastAsia" w:ascii="宋体" w:hAnsi="宋体" w:eastAsia="宋体" w:cs="宋体"/>
                <w:i w:val="false"/>
                <w:iCs w:val="false"/>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false"/>
            <w:vAlign w:val="center"/>
          </w:tcPr>
          <w:p w14:paraId="70EBDB18">
            <w:pPr>
              <w:jc w:val="center"/>
              <w:rPr>
                <w:rFonts w:hint="eastAsia" w:ascii="宋体" w:hAnsi="宋体" w:eastAsia="宋体" w:cs="宋体"/>
                <w:i w:val="false"/>
                <w:iCs w:val="false"/>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false"/>
            <w:vAlign w:val="center"/>
          </w:tcPr>
          <w:p w14:paraId="4D5BB202">
            <w:pPr>
              <w:jc w:val="center"/>
              <w:rPr>
                <w:rFonts w:hint="eastAsia" w:ascii="宋体" w:hAnsi="宋体" w:eastAsia="宋体" w:cs="宋体"/>
                <w:i w:val="false"/>
                <w:iCs w:val="false"/>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false"/>
            <w:vAlign w:val="center"/>
          </w:tcPr>
          <w:p w14:paraId="642E5E00">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false"/>
            <w:vAlign w:val="center"/>
          </w:tcPr>
          <w:p w14:paraId="0CB734D3">
            <w:pPr>
              <w:jc w:val="center"/>
              <w:rPr>
                <w:rFonts w:hint="eastAsia" w:ascii="宋体" w:hAnsi="宋体" w:eastAsia="宋体" w:cs="宋体"/>
                <w:i w:val="false"/>
                <w:iCs w:val="false"/>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false"/>
            <w:vAlign w:val="center"/>
          </w:tcPr>
          <w:p w14:paraId="4CEF5C4D">
            <w:pPr>
              <w:jc w:val="center"/>
              <w:rPr>
                <w:rFonts w:hint="eastAsia" w:ascii="宋体" w:hAnsi="宋体" w:eastAsia="宋体" w:cs="宋体"/>
                <w:i w:val="false"/>
                <w:iCs w:val="false"/>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false"/>
            <w:vAlign w:val="center"/>
          </w:tcPr>
          <w:p w14:paraId="70ECB154">
            <w:pPr>
              <w:jc w:val="center"/>
              <w:rPr>
                <w:rFonts w:hint="eastAsia" w:ascii="宋体" w:hAnsi="宋体" w:eastAsia="宋体" w:cs="宋体"/>
                <w:i w:val="false"/>
                <w:iCs w:val="false"/>
                <w:color w:val="000000"/>
                <w:sz w:val="20"/>
                <w:szCs w:val="20"/>
                <w:highlight w:val="none"/>
                <w:u w:val="none"/>
              </w:rPr>
            </w:pPr>
          </w:p>
        </w:tc>
        <w:tc>
          <w:tcPr>
            <w:tcW w:w="964" w:type="dxa"/>
            <w:vMerge w:val="continue"/>
            <w:tcBorders>
              <w:left w:val="nil"/>
              <w:right w:val="single" w:color="000000" w:sz="4" w:space="0"/>
            </w:tcBorders>
            <w:noWrap w:val="false"/>
            <w:vAlign w:val="center"/>
          </w:tcPr>
          <w:p w14:paraId="21589FB5">
            <w:pPr>
              <w:jc w:val="center"/>
              <w:rPr>
                <w:rFonts w:hint="eastAsia" w:ascii="宋体" w:hAnsi="宋体" w:eastAsia="宋体" w:cs="宋体"/>
                <w:i w:val="false"/>
                <w:iCs w:val="false"/>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false"/>
            <w:vAlign w:val="center"/>
          </w:tcPr>
          <w:p w14:paraId="41299A01">
            <w:pPr>
              <w:jc w:val="center"/>
              <w:rPr>
                <w:rFonts w:hint="eastAsia" w:ascii="宋体" w:hAnsi="宋体" w:eastAsia="宋体" w:cs="宋体"/>
                <w:i w:val="false"/>
                <w:iCs w:val="false"/>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false"/>
            <w:vAlign w:val="center"/>
          </w:tcPr>
          <w:p w14:paraId="5E91B644">
            <w:pPr>
              <w:jc w:val="center"/>
              <w:rPr>
                <w:rFonts w:hint="eastAsia" w:ascii="宋体" w:hAnsi="宋体" w:eastAsia="宋体" w:cs="宋体"/>
                <w:i w:val="false"/>
                <w:iCs w:val="false"/>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false"/>
            <w:vAlign w:val="center"/>
          </w:tcPr>
          <w:p w14:paraId="3393016C">
            <w:pPr>
              <w:jc w:val="center"/>
              <w:rPr>
                <w:rFonts w:hint="eastAsia" w:ascii="宋体" w:hAnsi="宋体" w:eastAsia="宋体" w:cs="宋体"/>
                <w:i w:val="false"/>
                <w:iCs w:val="false"/>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false"/>
            <w:vAlign w:val="center"/>
          </w:tcPr>
          <w:p w14:paraId="4B02CA71">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false"/>
            <w:vAlign w:val="center"/>
          </w:tcPr>
          <w:p w14:paraId="583D536F">
            <w:pPr>
              <w:jc w:val="center"/>
              <w:rPr>
                <w:rFonts w:hint="eastAsia" w:ascii="宋体" w:hAnsi="宋体" w:eastAsia="宋体" w:cs="宋体"/>
                <w:i w:val="false"/>
                <w:iCs w:val="false"/>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false"/>
            <w:vAlign w:val="center"/>
          </w:tcPr>
          <w:p w14:paraId="6ED49946">
            <w:pPr>
              <w:jc w:val="center"/>
              <w:rPr>
                <w:rFonts w:hint="eastAsia" w:ascii="宋体" w:hAnsi="宋体" w:eastAsia="宋体" w:cs="宋体"/>
                <w:i w:val="false"/>
                <w:iCs w:val="false"/>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false"/>
            <w:vAlign w:val="center"/>
          </w:tcPr>
          <w:p w14:paraId="31A316C2">
            <w:pPr>
              <w:jc w:val="center"/>
              <w:rPr>
                <w:rFonts w:hint="eastAsia" w:ascii="宋体" w:hAnsi="宋体" w:eastAsia="宋体" w:cs="宋体"/>
                <w:i w:val="false"/>
                <w:iCs w:val="false"/>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false"/>
            <w:vAlign w:val="center"/>
          </w:tcPr>
          <w:p w14:paraId="1CD27F39">
            <w:pPr>
              <w:jc w:val="center"/>
              <w:rPr>
                <w:rFonts w:hint="eastAsia" w:ascii="宋体" w:hAnsi="宋体" w:eastAsia="宋体" w:cs="宋体"/>
                <w:i w:val="false"/>
                <w:iCs w:val="false"/>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false"/>
            <w:vAlign w:val="center"/>
          </w:tcPr>
          <w:p w14:paraId="5F10B017">
            <w:pPr>
              <w:jc w:val="center"/>
              <w:rPr>
                <w:rFonts w:hint="eastAsia" w:ascii="宋体" w:hAnsi="宋体" w:eastAsia="宋体" w:cs="宋体"/>
                <w:i w:val="false"/>
                <w:iCs w:val="false"/>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false"/>
            <w:vAlign w:val="center"/>
          </w:tcPr>
          <w:p w14:paraId="0626CD8F">
            <w:pPr>
              <w:jc w:val="center"/>
              <w:rPr>
                <w:rFonts w:hint="eastAsia" w:ascii="宋体" w:hAnsi="宋体" w:eastAsia="宋体" w:cs="宋体"/>
                <w:i w:val="false"/>
                <w:iCs w:val="false"/>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false"/>
            <w:vAlign w:val="center"/>
          </w:tcPr>
          <w:p w14:paraId="18973235">
            <w:pPr>
              <w:jc w:val="center"/>
              <w:rPr>
                <w:rFonts w:hint="eastAsia" w:ascii="宋体" w:hAnsi="宋体" w:eastAsia="宋体" w:cs="宋体"/>
                <w:i w:val="false"/>
                <w:iCs w:val="false"/>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栏次</w:t>
            </w:r>
          </w:p>
        </w:tc>
        <w:tc>
          <w:tcPr>
            <w:tcW w:w="1037" w:type="dxa"/>
            <w:tcBorders>
              <w:top w:val="nil"/>
              <w:left w:val="nil"/>
              <w:bottom w:val="single" w:color="000000" w:sz="4" w:space="0"/>
              <w:right w:val="single" w:color="000000" w:sz="4" w:space="0"/>
            </w:tcBorders>
            <w:noWrap w:val="false"/>
            <w:vAlign w:val="center"/>
          </w:tcPr>
          <w:p w14:paraId="6419938B">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1</w:t>
            </w:r>
          </w:p>
        </w:tc>
        <w:tc>
          <w:tcPr>
            <w:tcW w:w="1037" w:type="dxa"/>
            <w:tcBorders>
              <w:top w:val="nil"/>
              <w:left w:val="nil"/>
              <w:bottom w:val="single" w:color="000000" w:sz="4" w:space="0"/>
              <w:right w:val="single" w:color="000000" w:sz="4" w:space="0"/>
            </w:tcBorders>
            <w:noWrap w:val="false"/>
            <w:vAlign w:val="center"/>
          </w:tcPr>
          <w:p w14:paraId="2E6504A8">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2</w:t>
            </w:r>
          </w:p>
        </w:tc>
        <w:tc>
          <w:tcPr>
            <w:tcW w:w="1037" w:type="dxa"/>
            <w:tcBorders>
              <w:top w:val="nil"/>
              <w:left w:val="nil"/>
              <w:bottom w:val="single" w:color="000000" w:sz="4" w:space="0"/>
              <w:right w:val="single" w:color="000000" w:sz="4" w:space="0"/>
            </w:tcBorders>
            <w:noWrap w:val="false"/>
            <w:vAlign w:val="center"/>
          </w:tcPr>
          <w:p w14:paraId="13B73DE2">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3</w:t>
            </w:r>
          </w:p>
        </w:tc>
        <w:tc>
          <w:tcPr>
            <w:tcW w:w="964" w:type="dxa"/>
            <w:tcBorders>
              <w:top w:val="nil"/>
              <w:left w:val="nil"/>
              <w:bottom w:val="single" w:color="000000" w:sz="4" w:space="0"/>
              <w:right w:val="single" w:color="000000" w:sz="4" w:space="0"/>
            </w:tcBorders>
            <w:noWrap w:val="false"/>
            <w:vAlign w:val="center"/>
          </w:tcPr>
          <w:p w14:paraId="1AC19557">
            <w:pPr>
              <w:keepNext w:val="false"/>
              <w:keepLines w:val="false"/>
              <w:widowControl/>
              <w:suppressLineNumbers w:val="false"/>
              <w:jc w:val="center"/>
              <w:textAlignment w:val="center"/>
              <w:rPr>
                <w:rFonts w:hint="default" w:ascii="宋体" w:hAnsi="宋体" w:eastAsia="宋体" w:cs="宋体"/>
                <w:i w:val="false"/>
                <w:iCs w:val="false"/>
                <w:color w:val="000000"/>
                <w:sz w:val="20"/>
                <w:szCs w:val="20"/>
                <w:highlight w:val="none"/>
                <w:u w:val="none"/>
                <w:lang w:val="en-US" w:eastAsia="zh-CN"/>
              </w:rPr>
            </w:pPr>
            <w:r>
              <w:rPr>
                <w:rFonts w:hint="eastAsia" w:ascii="宋体" w:hAnsi="宋体" w:eastAsia="宋体" w:cs="宋体"/>
                <w:i w:val="false"/>
                <w:iCs w:val="false"/>
                <w:color w:val="000000"/>
                <w:sz w:val="20"/>
                <w:szCs w:val="20"/>
                <w:highlight w:val="none"/>
                <w:u w:val="none"/>
                <w:lang w:val="en-US" w:eastAsia="zh-CN"/>
              </w:rPr>
              <w:t/>
              <w:t>4</w:t>
            </w:r>
          </w:p>
        </w:tc>
        <w:tc>
          <w:tcPr>
            <w:tcW w:w="964" w:type="dxa"/>
            <w:gridSpan w:val="2"/>
            <w:tcBorders>
              <w:top w:val="nil"/>
              <w:left w:val="nil"/>
              <w:bottom w:val="single" w:color="000000" w:sz="4" w:space="0"/>
              <w:right w:val="single" w:color="000000" w:sz="4" w:space="0"/>
            </w:tcBorders>
            <w:noWrap w:val="false"/>
            <w:vAlign w:val="center"/>
          </w:tcPr>
          <w:p w14:paraId="3ABCFDD5">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5</w:t>
            </w:r>
          </w:p>
        </w:tc>
        <w:tc>
          <w:tcPr>
            <w:tcW w:w="1027" w:type="dxa"/>
            <w:tcBorders>
              <w:top w:val="nil"/>
              <w:left w:val="nil"/>
              <w:bottom w:val="single" w:color="000000" w:sz="4" w:space="0"/>
              <w:right w:val="single" w:color="000000" w:sz="4" w:space="0"/>
            </w:tcBorders>
            <w:noWrap w:val="false"/>
            <w:vAlign w:val="center"/>
          </w:tcPr>
          <w:p w14:paraId="413571CC">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6</w:t>
            </w:r>
          </w:p>
        </w:tc>
        <w:tc>
          <w:tcPr>
            <w:tcW w:w="964" w:type="dxa"/>
            <w:tcBorders>
              <w:top w:val="nil"/>
              <w:left w:val="nil"/>
              <w:bottom w:val="single" w:color="000000" w:sz="4" w:space="0"/>
              <w:right w:val="single" w:color="000000" w:sz="4" w:space="0"/>
            </w:tcBorders>
            <w:noWrap w:val="false"/>
            <w:vAlign w:val="center"/>
          </w:tcPr>
          <w:p w14:paraId="0CA04C90">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1,995.35</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1,995.35</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
              <w:t>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
              <w:t>一般公共服务支出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t>880.73</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t>880.73</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880.73</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880.73</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740.73</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740.73</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2010302</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140.00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140.00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教育支出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76.56</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76.56</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20502</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普通教育</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76.56</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76.56</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2050202</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小学教育</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76.56</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76.56</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文化旅游体育与传媒支出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文化和旅游</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2070109</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群众文化</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75.37</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75.37</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63.33</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63.33</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1.59</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1.59</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61.74</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61.74</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20809</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退役安置</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12.04</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12.04</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2080901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退役士兵安置</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12.04</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12.04</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44.90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44.90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44.90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44.90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44.90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44.90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节能环保支出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21103</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污染防治</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2110301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大气</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779.95</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779.95</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21202</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城乡社区规划与管理</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333.95</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333.95</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城乡社区规划与管理</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333.95</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333.95</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城乡社区公共设施</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405.00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405.00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2120303</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小城镇基础设施建设</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405.00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405.00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21205</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城乡社区环境卫生</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41.00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41.00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2120501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城乡社区环境卫生</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41.00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41.00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60.00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60.00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21302</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林业和草原</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2130234</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林业草原防灾减灾</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21305</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巩固脱贫攻坚成果衔接乡村振兴</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2130599</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其他巩固脱贫攻坚成果衔接乡村振兴支出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50.00</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50.00</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66.84</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66.84</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66.84</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66.84</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66.84</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66.84</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false"/>
                <w:iCs w:val="false"/>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
            </w: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false"/>
              <w:keepLines w:val="false"/>
              <w:widowControl/>
              <w:suppressLineNumbers w:val="false"/>
              <w:jc w:val="left"/>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注：本表反映部门本年度取得的各项收入情况。</w:t>
            </w:r>
          </w:p>
        </w:tc>
      </w:tr>
    </w:tbl>
    <w:p w14:paraId="68CDE5D3">
      <w:pPr>
        <w:keepNext w:val="false"/>
        <w:keepLines w:val="false"/>
        <w:pageBreakBefore w:val="false"/>
        <w:widowControl w:val="false"/>
        <w:kinsoku/>
        <w:wordWrap/>
        <w:overflowPunct/>
        <w:topLinePunct w:val="false"/>
        <w:autoSpaceDE/>
        <w:autoSpaceDN/>
        <w:bidi w:val="false"/>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false"/>
              <w:keepLines w:val="false"/>
              <w:pageBreakBefore w:val="false"/>
              <w:widowControl w:val="false"/>
              <w:kinsoku/>
              <w:wordWrap/>
              <w:overflowPunct/>
              <w:topLinePunct w:val="false"/>
              <w:autoSpaceDE/>
              <w:autoSpaceDN/>
              <w:bidi w:val="false"/>
              <w:adjustRightInd/>
              <w:snapToGrid/>
              <w:spacing w:line="240" w:lineRule="auto"/>
              <w:jc w:val="center"/>
              <w:textAlignment w:val="auto"/>
              <w:outlineLvl w:val="1"/>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b w:val="false"/>
                <w:bCs/>
                <w:color w:val="auto"/>
                <w:kern w:val="0"/>
                <w:sz w:val="32"/>
                <w:szCs w:val="32"/>
                <w:highlight w:val="none"/>
                <w:lang w:val="en-US" w:eastAsia="zh-CN"/>
              </w:rPr>
              <w:br w:type="page"/>
            </w:r>
            <w:r>
              <w:rPr>
                <w:rFonts w:hint="eastAsia" w:ascii="方正仿宋_GB2312" w:hAnsi="方正仿宋_GB2312" w:eastAsia="方正仿宋_GB2312" w:cs="方正仿宋_GB2312"/>
                <w:b w:val="false"/>
                <w:bCs/>
                <w:color w:val="auto"/>
                <w:kern w:val="0"/>
                <w:sz w:val="32"/>
                <w:szCs w:val="32"/>
                <w:highlight w:val="none"/>
                <w:lang w:val="en-US" w:eastAsia="zh-CN"/>
              </w:rPr>
              <w:t/>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false"/>
              <w:keepLines w:val="false"/>
              <w:widowControl/>
              <w:suppressLineNumbers w:val="false"/>
              <w:jc w:val="right"/>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公开</w:t>
            </w:r>
            <w:r>
              <w:rPr>
                <w:rFonts w:hint="default" w:ascii="Times New Roman" w:hAnsi="Times New Roman" w:eastAsia="宋体" w:cs="Times New Roman"/>
                <w:i w:val="false"/>
                <w:iCs w:val="false"/>
                <w:color w:val="000000"/>
                <w:kern w:val="0"/>
                <w:sz w:val="20"/>
                <w:szCs w:val="20"/>
                <w:highlight w:val="none"/>
                <w:u w:val="none"/>
                <w:lang w:val="en-US" w:eastAsia="zh-CN" w:bidi="ar"/>
              </w:rPr>
              <w:t/>
              <w:t>03</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false"/>
              <w:keepLines w:val="false"/>
              <w:widowControl/>
              <w:suppressLineNumbers w:val="false"/>
              <w:jc w:val="left"/>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xml:space="preserve"/>
              <w:t xml:space="preserve">部门（单位）：石家庄市鹿泉区上寨乡人民政府(本级) </w:t>
            </w:r>
            <w:r>
              <w:rPr>
                <w:rFonts w:hint="eastAsia" w:asciiTheme="minorEastAsia" w:hAnsiTheme="minorEastAsia" w:eastAsiaTheme="minorEastAsia" w:cstheme="minorEastAsia"/>
                <w:i w:val="false"/>
                <w:iCs w:val="false"/>
                <w:color w:val="000000"/>
                <w:kern w:val="0"/>
                <w:sz w:val="20"/>
                <w:szCs w:val="20"/>
                <w:highlight w:val="none"/>
                <w:u w:val="none"/>
                <w:lang w:val="en-US" w:eastAsia="zh-CN" w:bidi="ar"/>
              </w:rPr>
              <w:t xml:space="preserve"/>
              <w:t xml:space="preserve">                                                                                                         </w:t>
            </w:r>
          </w:p>
        </w:tc>
        <w:tc>
          <w:tcPr>
            <w:tcW w:w="1403" w:type="pct"/>
            <w:gridSpan w:val="3"/>
            <w:tcBorders>
              <w:top w:val="nil"/>
              <w:left w:val="nil"/>
              <w:bottom w:val="single" w:color="auto" w:sz="4" w:space="0"/>
              <w:right w:val="nil"/>
            </w:tcBorders>
            <w:noWrap/>
            <w:vAlign w:val="bottom"/>
          </w:tcPr>
          <w:p w14:paraId="216B9A48">
            <w:pPr>
              <w:keepNext w:val="false"/>
              <w:keepLines w:val="false"/>
              <w:widowControl/>
              <w:suppressLineNumbers w:val="false"/>
              <w:jc w:val="center"/>
              <w:textAlignment w:val="bottom"/>
              <w:rPr>
                <w:rFonts w:hint="eastAsia" w:asciiTheme="minorEastAsia" w:hAnsiTheme="minorEastAsia" w:eastAsiaTheme="minorEastAsia" w:cstheme="minorEastAsia"/>
                <w:i w:val="false"/>
                <w:iCs w:val="false"/>
                <w:color w:val="000000"/>
                <w:kern w:val="0"/>
                <w:sz w:val="20"/>
                <w:szCs w:val="20"/>
                <w:highlight w:val="none"/>
                <w:u w:val="none"/>
                <w:lang w:val="en-US" w:eastAsia="zh-CN" w:bidi="ar"/>
              </w:rPr>
            </w:pPr>
            <w:r>
              <w:rPr>
                <w:rFonts w:hint="default" w:ascii="Times New Roman" w:hAnsi="Times New Roman" w:cs="Times New Roman" w:eastAsiaTheme="minorEastAsia"/>
                <w:i w:val="false"/>
                <w:iCs w:val="false"/>
                <w:color w:val="000000"/>
                <w:kern w:val="0"/>
                <w:sz w:val="20"/>
                <w:szCs w:val="20"/>
                <w:highlight w:val="none"/>
                <w:u w:val="none"/>
                <w:lang w:val="en-US" w:eastAsia="zh-CN" w:bidi="ar"/>
              </w:rPr>
              <w:t/>
              <w:t>202</w:t>
            </w:r>
            <w:r>
              <w:rPr>
                <w:rFonts w:hint="eastAsia" w:ascii="Times New Roman" w:hAnsi="Times New Roman" w:cs="Times New Roman"/>
                <w:i w:val="false"/>
                <w:iCs w:val="false"/>
                <w:color w:val="000000"/>
                <w:kern w:val="0"/>
                <w:sz w:val="20"/>
                <w:szCs w:val="20"/>
                <w:highlight w:val="none"/>
                <w:u w:val="none"/>
                <w:lang w:val="en-US" w:eastAsia="zh-CN" w:bidi="ar"/>
              </w:rPr>
              <w:t/>
              <w:t>4</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年度</w:t>
            </w:r>
          </w:p>
        </w:tc>
        <w:tc>
          <w:tcPr>
            <w:tcW w:w="1734" w:type="pct"/>
            <w:gridSpan w:val="3"/>
            <w:tcBorders>
              <w:top w:val="nil"/>
              <w:left w:val="nil"/>
              <w:bottom w:val="single" w:color="auto" w:sz="4" w:space="0"/>
              <w:right w:val="nil"/>
            </w:tcBorders>
            <w:noWrap/>
            <w:vAlign w:val="bottom"/>
          </w:tcPr>
          <w:p w14:paraId="272F664D">
            <w:pPr>
              <w:keepNext w:val="false"/>
              <w:keepLines w:val="false"/>
              <w:widowControl/>
              <w:suppressLineNumbers w:val="false"/>
              <w:jc w:val="right"/>
              <w:textAlignment w:val="bottom"/>
              <w:rPr>
                <w:rFonts w:hint="eastAsia" w:asciiTheme="minorEastAsia" w:hAnsiTheme="minorEastAsia" w:eastAsiaTheme="minorEastAsia" w:cstheme="minorEastAsia"/>
                <w:i w:val="false"/>
                <w:iCs w:val="false"/>
                <w:color w:val="000000"/>
                <w:kern w:val="0"/>
                <w:sz w:val="20"/>
                <w:szCs w:val="20"/>
                <w:highlight w:val="none"/>
                <w:u w:val="none"/>
                <w:lang w:val="en-US" w:eastAsia="zh-CN" w:bidi="ar"/>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xml:space="preserve"/>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项目</w:t>
            </w:r>
          </w:p>
        </w:tc>
        <w:tc>
          <w:tcPr>
            <w:tcW w:w="603" w:type="pct"/>
            <w:vMerge w:val="restart"/>
            <w:tcBorders>
              <w:top w:val="single" w:color="auto" w:sz="4" w:space="0"/>
              <w:left w:val="nil"/>
              <w:bottom w:val="single" w:color="000000" w:sz="4" w:space="0"/>
              <w:right w:val="single" w:color="000000" w:sz="4" w:space="0"/>
            </w:tcBorders>
            <w:noWrap w:val="false"/>
            <w:vAlign w:val="center"/>
          </w:tcPr>
          <w:p w14:paraId="217D4DD3">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本年支出合计</w:t>
            </w:r>
          </w:p>
        </w:tc>
        <w:tc>
          <w:tcPr>
            <w:tcW w:w="602" w:type="pct"/>
            <w:gridSpan w:val="2"/>
            <w:vMerge w:val="restart"/>
            <w:tcBorders>
              <w:top w:val="single" w:color="auto" w:sz="4" w:space="0"/>
              <w:left w:val="nil"/>
              <w:bottom w:val="single" w:color="000000" w:sz="4" w:space="0"/>
              <w:right w:val="single" w:color="000000" w:sz="4" w:space="0"/>
            </w:tcBorders>
            <w:noWrap w:val="false"/>
            <w:vAlign w:val="center"/>
          </w:tcPr>
          <w:p w14:paraId="28633EC8">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基本支出</w:t>
            </w:r>
          </w:p>
        </w:tc>
        <w:tc>
          <w:tcPr>
            <w:tcW w:w="602" w:type="pct"/>
            <w:vMerge w:val="restart"/>
            <w:tcBorders>
              <w:top w:val="single" w:color="auto" w:sz="4" w:space="0"/>
              <w:left w:val="nil"/>
              <w:bottom w:val="single" w:color="000000" w:sz="4" w:space="0"/>
              <w:right w:val="single" w:color="000000" w:sz="4" w:space="0"/>
            </w:tcBorders>
            <w:noWrap w:val="false"/>
            <w:vAlign w:val="center"/>
          </w:tcPr>
          <w:p w14:paraId="523FC8B8">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项目支出</w:t>
            </w:r>
          </w:p>
        </w:tc>
        <w:tc>
          <w:tcPr>
            <w:tcW w:w="602" w:type="pct"/>
            <w:gridSpan w:val="2"/>
            <w:vMerge w:val="restart"/>
            <w:tcBorders>
              <w:top w:val="single" w:color="auto" w:sz="4" w:space="0"/>
              <w:left w:val="nil"/>
              <w:bottom w:val="single" w:color="000000" w:sz="4" w:space="0"/>
              <w:right w:val="single" w:color="000000" w:sz="4" w:space="0"/>
            </w:tcBorders>
            <w:noWrap w:val="false"/>
            <w:vAlign w:val="center"/>
          </w:tcPr>
          <w:p w14:paraId="42DA50C2">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上缴上级支出</w:t>
            </w:r>
          </w:p>
        </w:tc>
        <w:tc>
          <w:tcPr>
            <w:tcW w:w="602" w:type="pct"/>
            <w:vMerge w:val="restart"/>
            <w:tcBorders>
              <w:top w:val="single" w:color="auto" w:sz="4" w:space="0"/>
              <w:left w:val="nil"/>
              <w:bottom w:val="single" w:color="000000" w:sz="4" w:space="0"/>
              <w:right w:val="single" w:color="000000" w:sz="4" w:space="0"/>
            </w:tcBorders>
            <w:noWrap w:val="false"/>
            <w:vAlign w:val="center"/>
          </w:tcPr>
          <w:p w14:paraId="1A8C99A7">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经营支出</w:t>
            </w:r>
          </w:p>
        </w:tc>
        <w:tc>
          <w:tcPr>
            <w:tcW w:w="795" w:type="pct"/>
            <w:vMerge w:val="restart"/>
            <w:tcBorders>
              <w:top w:val="single" w:color="auto" w:sz="4" w:space="0"/>
              <w:left w:val="nil"/>
              <w:bottom w:val="single" w:color="000000" w:sz="4" w:space="0"/>
              <w:right w:val="single" w:color="000000" w:sz="4" w:space="0"/>
            </w:tcBorders>
            <w:noWrap w:val="false"/>
            <w:vAlign w:val="center"/>
          </w:tcPr>
          <w:p w14:paraId="0E312A4B">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false"/>
            <w:vAlign w:val="center"/>
          </w:tcPr>
          <w:p w14:paraId="75D872E5">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科目名称</w:t>
            </w:r>
          </w:p>
        </w:tc>
        <w:tc>
          <w:tcPr>
            <w:tcW w:w="603" w:type="pct"/>
            <w:vMerge w:val="continue"/>
            <w:tcBorders>
              <w:top w:val="single" w:color="000000" w:sz="4" w:space="0"/>
              <w:left w:val="nil"/>
              <w:bottom w:val="single" w:color="000000" w:sz="4" w:space="0"/>
              <w:right w:val="single" w:color="000000" w:sz="4" w:space="0"/>
            </w:tcBorders>
            <w:noWrap w:val="false"/>
            <w:vAlign w:val="center"/>
          </w:tcPr>
          <w:p w14:paraId="7E377F0B">
            <w:pPr>
              <w:jc w:val="center"/>
              <w:rPr>
                <w:rFonts w:hint="eastAsia" w:ascii="宋体" w:hAnsi="宋体" w:eastAsia="宋体" w:cs="宋体"/>
                <w:i w:val="false"/>
                <w:iCs w:val="false"/>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false"/>
            <w:vAlign w:val="center"/>
          </w:tcPr>
          <w:p w14:paraId="4CF57704">
            <w:pPr>
              <w:jc w:val="center"/>
              <w:rPr>
                <w:rFonts w:hint="eastAsia" w:ascii="宋体" w:hAnsi="宋体" w:eastAsia="宋体" w:cs="宋体"/>
                <w:i w:val="false"/>
                <w:iCs w:val="false"/>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false"/>
            <w:vAlign w:val="center"/>
          </w:tcPr>
          <w:p w14:paraId="048D3FFE">
            <w:pPr>
              <w:jc w:val="center"/>
              <w:rPr>
                <w:rFonts w:hint="eastAsia" w:ascii="宋体" w:hAnsi="宋体" w:eastAsia="宋体" w:cs="宋体"/>
                <w:i w:val="false"/>
                <w:iCs w:val="false"/>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false"/>
            <w:vAlign w:val="center"/>
          </w:tcPr>
          <w:p w14:paraId="6A153672">
            <w:pPr>
              <w:jc w:val="center"/>
              <w:rPr>
                <w:rFonts w:hint="eastAsia" w:ascii="宋体" w:hAnsi="宋体" w:eastAsia="宋体" w:cs="宋体"/>
                <w:i w:val="false"/>
                <w:iCs w:val="false"/>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false"/>
            <w:vAlign w:val="center"/>
          </w:tcPr>
          <w:p w14:paraId="1A7CA1DC">
            <w:pPr>
              <w:jc w:val="center"/>
              <w:rPr>
                <w:rFonts w:hint="eastAsia" w:ascii="宋体" w:hAnsi="宋体" w:eastAsia="宋体" w:cs="宋体"/>
                <w:i w:val="false"/>
                <w:iCs w:val="false"/>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false"/>
            <w:vAlign w:val="center"/>
          </w:tcPr>
          <w:p w14:paraId="1E1B3486">
            <w:pPr>
              <w:jc w:val="center"/>
              <w:rPr>
                <w:rFonts w:hint="eastAsia" w:ascii="宋体" w:hAnsi="宋体" w:eastAsia="宋体" w:cs="宋体"/>
                <w:i w:val="false"/>
                <w:iCs w:val="false"/>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false"/>
            <w:vAlign w:val="center"/>
          </w:tcPr>
          <w:p w14:paraId="6C0E4539">
            <w:pPr>
              <w:jc w:val="center"/>
              <w:rPr>
                <w:rFonts w:hint="eastAsia" w:ascii="宋体" w:hAnsi="宋体" w:eastAsia="宋体" w:cs="宋体"/>
                <w:i w:val="false"/>
                <w:iCs w:val="false"/>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false"/>
                <w:iCs w:val="false"/>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false"/>
            <w:vAlign w:val="center"/>
          </w:tcPr>
          <w:p w14:paraId="3AD03000">
            <w:pPr>
              <w:jc w:val="center"/>
              <w:rPr>
                <w:rFonts w:hint="eastAsia" w:ascii="宋体" w:hAnsi="宋体" w:eastAsia="宋体" w:cs="宋体"/>
                <w:i w:val="false"/>
                <w:iCs w:val="false"/>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false"/>
            <w:vAlign w:val="center"/>
          </w:tcPr>
          <w:p w14:paraId="5B1E0842">
            <w:pPr>
              <w:jc w:val="center"/>
              <w:rPr>
                <w:rFonts w:hint="eastAsia" w:ascii="宋体" w:hAnsi="宋体" w:eastAsia="宋体" w:cs="宋体"/>
                <w:i w:val="false"/>
                <w:iCs w:val="false"/>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false"/>
            <w:vAlign w:val="center"/>
          </w:tcPr>
          <w:p w14:paraId="17865F90">
            <w:pPr>
              <w:jc w:val="center"/>
              <w:rPr>
                <w:rFonts w:hint="eastAsia" w:ascii="宋体" w:hAnsi="宋体" w:eastAsia="宋体" w:cs="宋体"/>
                <w:i w:val="false"/>
                <w:iCs w:val="false"/>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false"/>
            <w:vAlign w:val="center"/>
          </w:tcPr>
          <w:p w14:paraId="54493D37">
            <w:pPr>
              <w:jc w:val="center"/>
              <w:rPr>
                <w:rFonts w:hint="eastAsia" w:ascii="宋体" w:hAnsi="宋体" w:eastAsia="宋体" w:cs="宋体"/>
                <w:i w:val="false"/>
                <w:iCs w:val="false"/>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false"/>
            <w:vAlign w:val="center"/>
          </w:tcPr>
          <w:p w14:paraId="5DB3CC06">
            <w:pPr>
              <w:jc w:val="center"/>
              <w:rPr>
                <w:rFonts w:hint="eastAsia" w:ascii="宋体" w:hAnsi="宋体" w:eastAsia="宋体" w:cs="宋体"/>
                <w:i w:val="false"/>
                <w:iCs w:val="false"/>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false"/>
            <w:vAlign w:val="center"/>
          </w:tcPr>
          <w:p w14:paraId="28210C31">
            <w:pPr>
              <w:jc w:val="center"/>
              <w:rPr>
                <w:rFonts w:hint="eastAsia" w:ascii="宋体" w:hAnsi="宋体" w:eastAsia="宋体" w:cs="宋体"/>
                <w:i w:val="false"/>
                <w:iCs w:val="false"/>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false"/>
            <w:vAlign w:val="center"/>
          </w:tcPr>
          <w:p w14:paraId="00B67C9D">
            <w:pPr>
              <w:jc w:val="center"/>
              <w:rPr>
                <w:rFonts w:hint="eastAsia" w:ascii="宋体" w:hAnsi="宋体" w:eastAsia="宋体" w:cs="宋体"/>
                <w:i w:val="false"/>
                <w:iCs w:val="false"/>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false"/>
                <w:iCs w:val="false"/>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false"/>
            <w:vAlign w:val="center"/>
          </w:tcPr>
          <w:p w14:paraId="1CB0F352">
            <w:pPr>
              <w:jc w:val="center"/>
              <w:rPr>
                <w:rFonts w:hint="eastAsia" w:ascii="宋体" w:hAnsi="宋体" w:eastAsia="宋体" w:cs="宋体"/>
                <w:i w:val="false"/>
                <w:iCs w:val="false"/>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false"/>
            <w:vAlign w:val="center"/>
          </w:tcPr>
          <w:p w14:paraId="2C964F70">
            <w:pPr>
              <w:jc w:val="center"/>
              <w:rPr>
                <w:rFonts w:hint="eastAsia" w:ascii="宋体" w:hAnsi="宋体" w:eastAsia="宋体" w:cs="宋体"/>
                <w:i w:val="false"/>
                <w:iCs w:val="false"/>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false"/>
            <w:vAlign w:val="center"/>
          </w:tcPr>
          <w:p w14:paraId="6CD4E6CE">
            <w:pPr>
              <w:jc w:val="center"/>
              <w:rPr>
                <w:rFonts w:hint="eastAsia" w:ascii="宋体" w:hAnsi="宋体" w:eastAsia="宋体" w:cs="宋体"/>
                <w:i w:val="false"/>
                <w:iCs w:val="false"/>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false"/>
            <w:vAlign w:val="center"/>
          </w:tcPr>
          <w:p w14:paraId="190026C4">
            <w:pPr>
              <w:jc w:val="center"/>
              <w:rPr>
                <w:rFonts w:hint="eastAsia" w:ascii="宋体" w:hAnsi="宋体" w:eastAsia="宋体" w:cs="宋体"/>
                <w:i w:val="false"/>
                <w:iCs w:val="false"/>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false"/>
            <w:vAlign w:val="center"/>
          </w:tcPr>
          <w:p w14:paraId="2D591BDF">
            <w:pPr>
              <w:jc w:val="center"/>
              <w:rPr>
                <w:rFonts w:hint="eastAsia" w:ascii="宋体" w:hAnsi="宋体" w:eastAsia="宋体" w:cs="宋体"/>
                <w:i w:val="false"/>
                <w:iCs w:val="false"/>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false"/>
            <w:vAlign w:val="center"/>
          </w:tcPr>
          <w:p w14:paraId="2B174657">
            <w:pPr>
              <w:jc w:val="center"/>
              <w:rPr>
                <w:rFonts w:hint="eastAsia" w:ascii="宋体" w:hAnsi="宋体" w:eastAsia="宋体" w:cs="宋体"/>
                <w:i w:val="false"/>
                <w:iCs w:val="false"/>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栏次</w:t>
            </w:r>
          </w:p>
        </w:tc>
        <w:tc>
          <w:tcPr>
            <w:tcW w:w="603" w:type="pct"/>
            <w:tcBorders>
              <w:top w:val="nil"/>
              <w:left w:val="nil"/>
              <w:bottom w:val="single" w:color="000000" w:sz="4" w:space="0"/>
              <w:right w:val="single" w:color="000000" w:sz="4" w:space="0"/>
            </w:tcBorders>
            <w:noWrap w:val="false"/>
            <w:vAlign w:val="center"/>
          </w:tcPr>
          <w:p w14:paraId="35C3AC10">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w:t>
            </w:r>
          </w:p>
        </w:tc>
        <w:tc>
          <w:tcPr>
            <w:tcW w:w="602" w:type="pct"/>
            <w:gridSpan w:val="2"/>
            <w:tcBorders>
              <w:top w:val="nil"/>
              <w:left w:val="nil"/>
              <w:bottom w:val="single" w:color="000000" w:sz="4" w:space="0"/>
              <w:right w:val="single" w:color="000000" w:sz="4" w:space="0"/>
            </w:tcBorders>
            <w:noWrap w:val="false"/>
            <w:vAlign w:val="center"/>
          </w:tcPr>
          <w:p w14:paraId="211B6A1C">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w:t>
            </w:r>
          </w:p>
        </w:tc>
        <w:tc>
          <w:tcPr>
            <w:tcW w:w="602" w:type="pct"/>
            <w:tcBorders>
              <w:top w:val="nil"/>
              <w:left w:val="nil"/>
              <w:bottom w:val="single" w:color="000000" w:sz="4" w:space="0"/>
              <w:right w:val="single" w:color="000000" w:sz="4" w:space="0"/>
            </w:tcBorders>
            <w:noWrap w:val="false"/>
            <w:vAlign w:val="center"/>
          </w:tcPr>
          <w:p w14:paraId="4F698D0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w:t>
            </w:r>
          </w:p>
        </w:tc>
        <w:tc>
          <w:tcPr>
            <w:tcW w:w="602" w:type="pct"/>
            <w:gridSpan w:val="2"/>
            <w:tcBorders>
              <w:top w:val="nil"/>
              <w:left w:val="nil"/>
              <w:bottom w:val="single" w:color="000000" w:sz="4" w:space="0"/>
              <w:right w:val="single" w:color="000000" w:sz="4" w:space="0"/>
            </w:tcBorders>
            <w:noWrap w:val="false"/>
            <w:vAlign w:val="center"/>
          </w:tcPr>
          <w:p w14:paraId="7D8E7F97">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w:t>
            </w:r>
          </w:p>
        </w:tc>
        <w:tc>
          <w:tcPr>
            <w:tcW w:w="602" w:type="pct"/>
            <w:tcBorders>
              <w:top w:val="nil"/>
              <w:left w:val="nil"/>
              <w:bottom w:val="single" w:color="000000" w:sz="4" w:space="0"/>
              <w:right w:val="single" w:color="000000" w:sz="4" w:space="0"/>
            </w:tcBorders>
            <w:noWrap w:val="false"/>
            <w:vAlign w:val="center"/>
          </w:tcPr>
          <w:p w14:paraId="598353A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w:t>
            </w:r>
          </w:p>
        </w:tc>
        <w:tc>
          <w:tcPr>
            <w:tcW w:w="795" w:type="pct"/>
            <w:tcBorders>
              <w:top w:val="nil"/>
              <w:left w:val="nil"/>
              <w:bottom w:val="single" w:color="000000" w:sz="4" w:space="0"/>
              <w:right w:val="single" w:color="000000" w:sz="4" w:space="0"/>
            </w:tcBorders>
            <w:noWrap w:val="false"/>
            <w:vAlign w:val="center"/>
          </w:tcPr>
          <w:p w14:paraId="571ECD00">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1,995.35</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915.81</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1,079.55</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一般公共服务支出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t>880.73</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t>740.73</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t>140.00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880.73</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740.73</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140.00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2010301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740.73</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740.73</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2010302</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140.00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140.00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205</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教育支出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76.56</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76.56</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20502</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普通教育</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76.56</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76.56</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2050202</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小学教育</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76.56</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76.56</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207</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文化旅游体育与传媒支出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1.00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1.00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20701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文化和旅游</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1.00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1.00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2070109</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群众文化</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1.00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1.00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75.37</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63.33</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12.04</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63.33</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63.33</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2080501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行政单位离退休</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1.59</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1.59</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61.74</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61.74</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20809</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退役安置</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12.04</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12.04</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2080901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退役士兵安置</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12.04</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12.04</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44.90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44.90</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44.90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44.90</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44.90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44.90</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节能环保支出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10.00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10.00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21103</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污染防治</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10.00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10.00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2110301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大气</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10.00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10.00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212</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城乡社区支出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779.95</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779.95</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21202</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城乡社区规划与管理</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333.95</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333.95</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2120201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城乡社区规划与管理</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333.95</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333.95</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21203</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城乡社区公共设施</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405.00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405.00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2120303</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小城镇基础设施建设</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405.00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405.00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21205</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城乡社区环境卫生</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41.00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41.00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2120501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城乡社区环境卫生</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41.00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41.00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213</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农林水支出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60.00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60.00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21302</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林业和草原</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10.00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10.00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2130234</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林业草原防灾减灾</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10.00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10.00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21305</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巩固脱贫攻坚成果衔接乡村振兴</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50.00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50.00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2130599</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其他巩固脱贫攻坚成果衔接乡村振兴支出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50.00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50.00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66.84</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66.84</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66.84</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66.84</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66.84</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66.84</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false"/>
              <w:keepLines w:val="false"/>
              <w:widowControl/>
              <w:suppressLineNumbers w:val="false"/>
              <w:jc w:val="left"/>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注：本表反映部门本年度各项支出情况。</w:t>
            </w:r>
          </w:p>
        </w:tc>
      </w:tr>
    </w:tbl>
    <w:p w14:paraId="47632FCE">
      <w:pPr>
        <w:keepNext w:val="false"/>
        <w:keepLines w:val="false"/>
        <w:pageBreakBefore w:val="false"/>
        <w:widowControl w:val="false"/>
        <w:kinsoku/>
        <w:wordWrap/>
        <w:overflowPunct/>
        <w:topLinePunct w:val="false"/>
        <w:autoSpaceDE/>
        <w:autoSpaceDN/>
        <w:bidi w:val="false"/>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false"/>
              <w:keepLines w:val="false"/>
              <w:widowControl/>
              <w:suppressLineNumbers w:val="false"/>
              <w:jc w:val="center"/>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b w:val="false"/>
                <w:bCs/>
                <w:color w:val="auto"/>
                <w:kern w:val="0"/>
                <w:sz w:val="32"/>
                <w:szCs w:val="32"/>
                <w:highlight w:val="none"/>
                <w:lang w:val="en-US" w:eastAsia="zh-CN"/>
              </w:rPr>
              <w:t/>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false"/>
              <w:keepLines w:val="false"/>
              <w:widowControl/>
              <w:suppressLineNumbers w:val="false"/>
              <w:jc w:val="right"/>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xml:space="preserve"/>
              <w:t xml:space="preserve">部门（单位）：石家庄市鹿泉区上寨乡人民政府(本级) </w:t>
            </w:r>
            <w:r>
              <w:rPr>
                <w:rFonts w:hint="eastAsia" w:asciiTheme="minorEastAsia" w:hAnsiTheme="minorEastAsia" w:eastAsiaTheme="minorEastAsia" w:cstheme="minorEastAsia"/>
                <w:i w:val="false"/>
                <w:iCs w:val="false"/>
                <w:color w:val="000000"/>
                <w:kern w:val="0"/>
                <w:sz w:val="20"/>
                <w:szCs w:val="20"/>
                <w:highlight w:val="none"/>
                <w:u w:val="none"/>
                <w:lang w:val="en-US" w:eastAsia="zh-CN" w:bidi="ar"/>
              </w:rPr>
              <w:t xml:space="preserve"/>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false"/>
                <w:iCs w:val="false"/>
                <w:color w:val="000000"/>
                <w:kern w:val="0"/>
                <w:sz w:val="20"/>
                <w:szCs w:val="20"/>
                <w:highlight w:val="none"/>
                <w:u w:val="none"/>
                <w:lang w:val="en-US" w:eastAsia="zh-CN" w:bidi="ar"/>
              </w:rPr>
            </w:pPr>
            <w:r>
              <w:rPr>
                <w:rFonts w:hint="default" w:ascii="Times New Roman" w:hAnsi="Times New Roman" w:cs="Times New Roman"/>
                <w:i w:val="false"/>
                <w:iCs w:val="false"/>
                <w:color w:val="000000"/>
                <w:kern w:val="0"/>
                <w:sz w:val="20"/>
                <w:szCs w:val="20"/>
                <w:highlight w:val="none"/>
                <w:u w:val="none"/>
                <w:lang w:val="en-US" w:eastAsia="zh-CN" w:bidi="ar"/>
              </w:rPr>
              <w:t/>
              <w:t>202</w:t>
            </w:r>
            <w:r>
              <w:rPr>
                <w:rFonts w:hint="eastAsia" w:ascii="Times New Roman" w:hAnsi="Times New Roman" w:cs="Times New Roman"/>
                <w:i w:val="false"/>
                <w:iCs w:val="false"/>
                <w:color w:val="000000"/>
                <w:kern w:val="0"/>
                <w:sz w:val="20"/>
                <w:szCs w:val="20"/>
                <w:highlight w:val="none"/>
                <w:u w:val="none"/>
                <w:lang w:val="en-US" w:eastAsia="zh-CN" w:bidi="ar"/>
              </w:rPr>
              <w:t/>
              <w:t>4</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false"/>
                <w:iCs w:val="false"/>
                <w:color w:val="000000"/>
                <w:kern w:val="0"/>
                <w:sz w:val="20"/>
                <w:szCs w:val="20"/>
                <w:highlight w:val="none"/>
                <w:u w:val="none"/>
                <w:lang w:val="en-US" w:eastAsia="zh-CN" w:bidi="ar"/>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false"/>
              <w:keepLines w:val="false"/>
              <w:widowControl/>
              <w:suppressLineNumbers w:val="false"/>
              <w:jc w:val="center"/>
              <w:textAlignment w:val="center"/>
              <w:rPr>
                <w:rFonts w:hint="default"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false"/>
              <w:keepLines w:val="false"/>
              <w:widowControl/>
              <w:suppressLineNumbers w:val="false"/>
              <w:jc w:val="center"/>
              <w:textAlignment w:val="center"/>
              <w:rPr>
                <w:rFonts w:hint="default"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false"/>
            <w:vAlign w:val="center"/>
          </w:tcPr>
          <w:p w14:paraId="4EF49678">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项    目</w:t>
            </w:r>
          </w:p>
        </w:tc>
        <w:tc>
          <w:tcPr>
            <w:tcW w:w="266" w:type="pct"/>
            <w:vMerge w:val="restart"/>
            <w:tcBorders>
              <w:top w:val="nil"/>
              <w:left w:val="nil"/>
              <w:bottom w:val="single" w:color="000000" w:sz="4" w:space="0"/>
              <w:right w:val="single" w:color="000000" w:sz="4" w:space="0"/>
            </w:tcBorders>
            <w:noWrap w:val="false"/>
            <w:vAlign w:val="center"/>
          </w:tcPr>
          <w:p w14:paraId="15E334B1">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行次</w:t>
            </w:r>
          </w:p>
        </w:tc>
        <w:tc>
          <w:tcPr>
            <w:tcW w:w="609" w:type="pct"/>
            <w:vMerge w:val="restart"/>
            <w:tcBorders>
              <w:top w:val="nil"/>
              <w:left w:val="nil"/>
              <w:bottom w:val="single" w:color="000000" w:sz="4" w:space="0"/>
              <w:right w:val="single" w:color="000000" w:sz="4" w:space="0"/>
            </w:tcBorders>
            <w:noWrap w:val="false"/>
            <w:vAlign w:val="center"/>
          </w:tcPr>
          <w:p w14:paraId="673BC9FB">
            <w:pPr>
              <w:keepNext w:val="false"/>
              <w:keepLines w:val="false"/>
              <w:widowControl/>
              <w:suppressLineNumbers w:val="false"/>
              <w:jc w:val="center"/>
              <w:textAlignment w:val="center"/>
              <w:rPr>
                <w:rFonts w:hint="default"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金额</w:t>
            </w:r>
          </w:p>
        </w:tc>
        <w:tc>
          <w:tcPr>
            <w:tcW w:w="895" w:type="pct"/>
            <w:gridSpan w:val="2"/>
            <w:vMerge w:val="restart"/>
            <w:tcBorders>
              <w:top w:val="nil"/>
              <w:left w:val="nil"/>
              <w:bottom w:val="single" w:color="000000" w:sz="4" w:space="0"/>
              <w:right w:val="single" w:color="000000" w:sz="4" w:space="0"/>
            </w:tcBorders>
            <w:noWrap w:val="false"/>
            <w:vAlign w:val="center"/>
          </w:tcPr>
          <w:p w14:paraId="04810C8E">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项目</w:t>
            </w:r>
          </w:p>
        </w:tc>
        <w:tc>
          <w:tcPr>
            <w:tcW w:w="266" w:type="pct"/>
            <w:vMerge w:val="restart"/>
            <w:tcBorders>
              <w:top w:val="nil"/>
              <w:left w:val="nil"/>
              <w:bottom w:val="single" w:color="000000" w:sz="4" w:space="0"/>
              <w:right w:val="single" w:color="000000" w:sz="4" w:space="0"/>
            </w:tcBorders>
            <w:noWrap w:val="false"/>
            <w:vAlign w:val="center"/>
          </w:tcPr>
          <w:p w14:paraId="5D3FEA5E">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行次</w:t>
            </w:r>
          </w:p>
        </w:tc>
        <w:tc>
          <w:tcPr>
            <w:tcW w:w="552" w:type="pct"/>
            <w:gridSpan w:val="2"/>
            <w:vMerge w:val="restart"/>
            <w:tcBorders>
              <w:top w:val="nil"/>
              <w:left w:val="nil"/>
              <w:right w:val="single" w:color="000000" w:sz="4" w:space="0"/>
            </w:tcBorders>
            <w:noWrap/>
            <w:vAlign w:val="center"/>
          </w:tcPr>
          <w:p w14:paraId="1E95BBEE">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rPr>
              <w:t/>
              <w:t>合计</w:t>
            </w:r>
          </w:p>
        </w:tc>
        <w:tc>
          <w:tcPr>
            <w:tcW w:w="520" w:type="pct"/>
            <w:vMerge w:val="restart"/>
            <w:tcBorders>
              <w:top w:val="nil"/>
              <w:left w:val="nil"/>
              <w:right w:val="single" w:color="000000" w:sz="4" w:space="0"/>
            </w:tcBorders>
            <w:noWrap/>
            <w:vAlign w:val="center"/>
          </w:tcPr>
          <w:p w14:paraId="08FA1D06">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rPr>
              <w:t/>
              <w:t>一般公共预算财政拨款</w:t>
            </w:r>
          </w:p>
        </w:tc>
        <w:tc>
          <w:tcPr>
            <w:tcW w:w="520" w:type="pct"/>
            <w:vMerge w:val="restart"/>
            <w:tcBorders>
              <w:top w:val="nil"/>
              <w:left w:val="nil"/>
              <w:right w:val="single" w:color="000000" w:sz="4" w:space="0"/>
            </w:tcBorders>
            <w:noWrap/>
            <w:vAlign w:val="center"/>
          </w:tcPr>
          <w:p w14:paraId="0D084329">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rPr>
              <w:t/>
              <w:t>政府性基金预算财政拨款</w:t>
            </w:r>
          </w:p>
        </w:tc>
        <w:tc>
          <w:tcPr>
            <w:tcW w:w="520" w:type="pct"/>
            <w:vMerge w:val="restart"/>
            <w:tcBorders>
              <w:top w:val="nil"/>
              <w:left w:val="nil"/>
              <w:right w:val="single" w:color="000000" w:sz="4" w:space="0"/>
            </w:tcBorders>
            <w:noWrap/>
            <w:vAlign w:val="center"/>
          </w:tcPr>
          <w:p w14:paraId="59214C43">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rPr>
              <w:t/>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false"/>
            <w:vAlign w:val="center"/>
          </w:tcPr>
          <w:p w14:paraId="4FDFBC37">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false"/>
            <w:vAlign w:val="center"/>
          </w:tcPr>
          <w:p w14:paraId="76C00BDD">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false"/>
            <w:vAlign w:val="center"/>
          </w:tcPr>
          <w:p w14:paraId="15F79558">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false"/>
            <w:vAlign w:val="center"/>
          </w:tcPr>
          <w:p w14:paraId="37C6BAF2">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false"/>
            <w:vAlign w:val="center"/>
          </w:tcPr>
          <w:p w14:paraId="06CE8889">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false"/>
            <w:vAlign w:val="center"/>
          </w:tcPr>
          <w:p w14:paraId="188A8243">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false"/>
            <w:vAlign w:val="center"/>
          </w:tcPr>
          <w:p w14:paraId="76CCBE1C">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false"/>
            <w:vAlign w:val="center"/>
          </w:tcPr>
          <w:p w14:paraId="56B8F576">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false"/>
            <w:vAlign w:val="center"/>
          </w:tcPr>
          <w:p w14:paraId="32A6240A">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false"/>
                <w:iCs w:val="false"/>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1</w:t>
            </w:r>
          </w:p>
        </w:tc>
        <w:tc>
          <w:tcPr>
            <w:tcW w:w="895" w:type="pct"/>
            <w:gridSpan w:val="2"/>
            <w:tcBorders>
              <w:top w:val="nil"/>
              <w:left w:val="nil"/>
              <w:bottom w:val="single" w:color="000000" w:sz="4" w:space="0"/>
              <w:right w:val="single" w:color="000000" w:sz="4" w:space="0"/>
            </w:tcBorders>
            <w:noWrap/>
            <w:vAlign w:val="center"/>
          </w:tcPr>
          <w:p w14:paraId="35894990">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false"/>
                <w:iCs w:val="false"/>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2</w:t>
            </w:r>
          </w:p>
        </w:tc>
        <w:tc>
          <w:tcPr>
            <w:tcW w:w="520" w:type="pct"/>
            <w:tcBorders>
              <w:top w:val="nil"/>
              <w:left w:val="nil"/>
              <w:bottom w:val="single" w:color="000000" w:sz="4" w:space="0"/>
              <w:right w:val="single" w:color="000000" w:sz="4" w:space="0"/>
            </w:tcBorders>
            <w:noWrap/>
            <w:vAlign w:val="center"/>
          </w:tcPr>
          <w:p w14:paraId="310FC797">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3</w:t>
            </w:r>
          </w:p>
        </w:tc>
        <w:tc>
          <w:tcPr>
            <w:tcW w:w="520" w:type="pct"/>
            <w:tcBorders>
              <w:top w:val="nil"/>
              <w:left w:val="nil"/>
              <w:bottom w:val="single" w:color="000000" w:sz="4" w:space="0"/>
              <w:right w:val="single" w:color="000000" w:sz="4" w:space="0"/>
            </w:tcBorders>
            <w:noWrap/>
            <w:vAlign w:val="center"/>
          </w:tcPr>
          <w:p w14:paraId="5B611E13">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4</w:t>
            </w:r>
          </w:p>
        </w:tc>
        <w:tc>
          <w:tcPr>
            <w:tcW w:w="520" w:type="pct"/>
            <w:tcBorders>
              <w:top w:val="nil"/>
              <w:left w:val="nil"/>
              <w:bottom w:val="single" w:color="000000" w:sz="4" w:space="0"/>
              <w:right w:val="single" w:color="000000" w:sz="8" w:space="0"/>
            </w:tcBorders>
            <w:noWrap/>
            <w:vAlign w:val="center"/>
          </w:tcPr>
          <w:p w14:paraId="180BD8AF">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1,995.35</w:t>
            </w:r>
          </w:p>
        </w:tc>
        <w:tc>
          <w:tcPr>
            <w:tcW w:w="895" w:type="pct"/>
            <w:gridSpan w:val="2"/>
            <w:tcBorders>
              <w:top w:val="nil"/>
              <w:left w:val="nil"/>
              <w:bottom w:val="single" w:color="000000" w:sz="4" w:space="0"/>
              <w:right w:val="single" w:color="000000" w:sz="4" w:space="0"/>
            </w:tcBorders>
            <w:noWrap/>
            <w:vAlign w:val="center"/>
          </w:tcPr>
          <w:p w14:paraId="488DC729">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880.73</w:t>
            </w: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880.73</w:t>
            </w: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895" w:type="pct"/>
            <w:gridSpan w:val="2"/>
            <w:tcBorders>
              <w:top w:val="nil"/>
              <w:left w:val="nil"/>
              <w:bottom w:val="single" w:color="000000" w:sz="4" w:space="0"/>
              <w:right w:val="single" w:color="000000" w:sz="4" w:space="0"/>
            </w:tcBorders>
            <w:noWrap/>
            <w:vAlign w:val="center"/>
          </w:tcPr>
          <w:p w14:paraId="1F5D0500">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二、外交支出</w:t>
            </w:r>
          </w:p>
        </w:tc>
        <w:tc>
          <w:tcPr>
            <w:tcW w:w="266" w:type="pct"/>
            <w:tcBorders>
              <w:top w:val="nil"/>
              <w:left w:val="nil"/>
              <w:bottom w:val="single" w:color="000000" w:sz="4" w:space="0"/>
              <w:right w:val="single" w:color="000000" w:sz="4" w:space="0"/>
            </w:tcBorders>
            <w:noWrap/>
            <w:vAlign w:val="center"/>
          </w:tcPr>
          <w:p w14:paraId="4189280E">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895" w:type="pct"/>
            <w:gridSpan w:val="2"/>
            <w:tcBorders>
              <w:top w:val="nil"/>
              <w:left w:val="nil"/>
              <w:bottom w:val="single" w:color="000000" w:sz="4" w:space="0"/>
              <w:right w:val="single" w:color="000000" w:sz="4" w:space="0"/>
            </w:tcBorders>
            <w:noWrap/>
            <w:vAlign w:val="center"/>
          </w:tcPr>
          <w:p w14:paraId="3BDBF9A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三、国防支出</w:t>
            </w:r>
          </w:p>
        </w:tc>
        <w:tc>
          <w:tcPr>
            <w:tcW w:w="266" w:type="pct"/>
            <w:tcBorders>
              <w:top w:val="nil"/>
              <w:left w:val="nil"/>
              <w:bottom w:val="single" w:color="000000" w:sz="4" w:space="0"/>
              <w:right w:val="single" w:color="000000" w:sz="4" w:space="0"/>
            </w:tcBorders>
            <w:noWrap/>
            <w:vAlign w:val="center"/>
          </w:tcPr>
          <w:p w14:paraId="35BEBB47">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四、公共安全支出</w:t>
            </w:r>
          </w:p>
        </w:tc>
        <w:tc>
          <w:tcPr>
            <w:tcW w:w="266" w:type="pct"/>
            <w:tcBorders>
              <w:top w:val="nil"/>
              <w:left w:val="nil"/>
              <w:bottom w:val="single" w:color="000000" w:sz="4" w:space="0"/>
              <w:right w:val="single" w:color="000000" w:sz="4" w:space="0"/>
            </w:tcBorders>
            <w:noWrap/>
            <w:vAlign w:val="center"/>
          </w:tcPr>
          <w:p w14:paraId="0C31DED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五、教育支出</w:t>
            </w:r>
          </w:p>
        </w:tc>
        <w:tc>
          <w:tcPr>
            <w:tcW w:w="266" w:type="pct"/>
            <w:tcBorders>
              <w:top w:val="nil"/>
              <w:left w:val="nil"/>
              <w:bottom w:val="single" w:color="000000" w:sz="4" w:space="0"/>
              <w:right w:val="single" w:color="000000" w:sz="4" w:space="0"/>
            </w:tcBorders>
            <w:noWrap/>
            <w:vAlign w:val="center"/>
          </w:tcPr>
          <w:p w14:paraId="5119B847">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76.56</w:t>
            </w: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76.56</w:t>
            </w: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六、科学技术支出</w:t>
            </w:r>
          </w:p>
        </w:tc>
        <w:tc>
          <w:tcPr>
            <w:tcW w:w="266" w:type="pct"/>
            <w:tcBorders>
              <w:top w:val="nil"/>
              <w:left w:val="nil"/>
              <w:bottom w:val="single" w:color="000000" w:sz="4" w:space="0"/>
              <w:right w:val="single" w:color="000000" w:sz="4" w:space="0"/>
            </w:tcBorders>
            <w:noWrap/>
            <w:vAlign w:val="center"/>
          </w:tcPr>
          <w:p w14:paraId="63EF4925">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1.00</w:t>
            </w: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1.00</w:t>
            </w: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75.37</w:t>
            </w: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75.37</w:t>
            </w: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九、卫生健康支出</w:t>
            </w:r>
          </w:p>
        </w:tc>
        <w:tc>
          <w:tcPr>
            <w:tcW w:w="266" w:type="pct"/>
            <w:tcBorders>
              <w:top w:val="nil"/>
              <w:left w:val="nil"/>
              <w:bottom w:val="single" w:color="000000" w:sz="4" w:space="0"/>
              <w:right w:val="single" w:color="000000" w:sz="4" w:space="0"/>
            </w:tcBorders>
            <w:noWrap/>
            <w:vAlign w:val="center"/>
          </w:tcPr>
          <w:p w14:paraId="78294FCC">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44.90</w:t>
            </w: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44.90</w:t>
            </w: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十、节能环保支出</w:t>
            </w:r>
          </w:p>
        </w:tc>
        <w:tc>
          <w:tcPr>
            <w:tcW w:w="266" w:type="pct"/>
            <w:tcBorders>
              <w:top w:val="nil"/>
              <w:left w:val="nil"/>
              <w:bottom w:val="single" w:color="000000" w:sz="4" w:space="0"/>
              <w:right w:val="single" w:color="000000" w:sz="4" w:space="0"/>
            </w:tcBorders>
            <w:noWrap/>
            <w:vAlign w:val="center"/>
          </w:tcPr>
          <w:p w14:paraId="25959662">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10.00</w:t>
            </w: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10.00</w:t>
            </w: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779.95</w:t>
            </w: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779.95</w:t>
            </w: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false"/>
                <w:iCs w:val="false"/>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十二、农林水支出</w:t>
            </w:r>
          </w:p>
        </w:tc>
        <w:tc>
          <w:tcPr>
            <w:tcW w:w="266" w:type="pct"/>
            <w:tcBorders>
              <w:top w:val="nil"/>
              <w:left w:val="nil"/>
              <w:bottom w:val="single" w:color="auto" w:sz="4" w:space="0"/>
              <w:right w:val="single" w:color="000000" w:sz="4" w:space="0"/>
            </w:tcBorders>
            <w:noWrap/>
            <w:vAlign w:val="center"/>
          </w:tcPr>
          <w:p w14:paraId="1AFE1CB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60.00</w:t>
            </w: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60.00</w:t>
            </w: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66.84</w:t>
            </w: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66.84</w:t>
            </w: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false"/>
              <w:keepLines w:val="false"/>
              <w:widowControl/>
              <w:suppressLineNumbers w:val="false"/>
              <w:jc w:val="center"/>
              <w:textAlignment w:val="center"/>
              <w:rPr>
                <w:rFonts w:hint="eastAsia" w:ascii="方正仿宋_GB2312" w:hAnsi="方正仿宋_GB2312" w:eastAsia="方正仿宋_GB2312" w:cs="方正仿宋_GB2312"/>
                <w:b/>
                <w:bCs/>
                <w:i w:val="false"/>
                <w:iCs w:val="false"/>
                <w:color w:val="000000"/>
                <w:sz w:val="20"/>
                <w:szCs w:val="20"/>
                <w:highlight w:val="none"/>
                <w:u w:val="none"/>
              </w:rPr>
            </w:pPr>
            <w:r>
              <w:rPr>
                <w:rFonts w:hint="eastAsia" w:ascii="方正仿宋_GB2312" w:hAnsi="方正仿宋_GB2312" w:eastAsia="方正仿宋_GB2312" w:cs="方正仿宋_GB2312"/>
                <w:b/>
                <w:bCs/>
                <w:i w:val="false"/>
                <w:iCs w:val="false"/>
                <w:color w:val="000000"/>
                <w:kern w:val="0"/>
                <w:sz w:val="20"/>
                <w:szCs w:val="20"/>
                <w:highlight w:val="none"/>
                <w:u w:val="none"/>
                <w:lang w:val="en-US" w:eastAsia="zh-CN" w:bidi="ar"/>
              </w:rPr>
              <w:t/>
              <w:t>本年收入合计</w:t>
            </w:r>
          </w:p>
        </w:tc>
        <w:tc>
          <w:tcPr>
            <w:tcW w:w="266" w:type="pct"/>
            <w:tcBorders>
              <w:top w:val="nil"/>
              <w:left w:val="nil"/>
              <w:bottom w:val="single" w:color="000000" w:sz="4" w:space="0"/>
              <w:right w:val="single" w:color="000000" w:sz="4" w:space="0"/>
            </w:tcBorders>
            <w:noWrap/>
            <w:vAlign w:val="center"/>
          </w:tcPr>
          <w:p w14:paraId="02A8AD71">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1,995.35</w:t>
            </w:r>
          </w:p>
        </w:tc>
        <w:tc>
          <w:tcPr>
            <w:tcW w:w="895" w:type="pct"/>
            <w:gridSpan w:val="2"/>
            <w:tcBorders>
              <w:top w:val="nil"/>
              <w:left w:val="nil"/>
              <w:bottom w:val="single" w:color="000000" w:sz="4" w:space="0"/>
              <w:right w:val="single" w:color="000000" w:sz="4" w:space="0"/>
            </w:tcBorders>
            <w:noWrap/>
            <w:vAlign w:val="center"/>
          </w:tcPr>
          <w:p w14:paraId="2F9B6400">
            <w:pPr>
              <w:keepNext w:val="false"/>
              <w:keepLines w:val="false"/>
              <w:widowControl/>
              <w:suppressLineNumbers w:val="false"/>
              <w:jc w:val="center"/>
              <w:textAlignment w:val="center"/>
              <w:rPr>
                <w:rFonts w:hint="eastAsia" w:ascii="方正仿宋_GB2312" w:hAnsi="方正仿宋_GB2312" w:eastAsia="方正仿宋_GB2312" w:cs="方正仿宋_GB2312"/>
                <w:b/>
                <w:bCs/>
                <w:i w:val="false"/>
                <w:iCs w:val="false"/>
                <w:color w:val="000000"/>
                <w:sz w:val="20"/>
                <w:szCs w:val="20"/>
                <w:highlight w:val="none"/>
                <w:u w:val="none"/>
              </w:rPr>
            </w:pPr>
            <w:r>
              <w:rPr>
                <w:rFonts w:hint="eastAsia" w:ascii="方正仿宋_GB2312" w:hAnsi="方正仿宋_GB2312" w:eastAsia="方正仿宋_GB2312" w:cs="方正仿宋_GB2312"/>
                <w:b/>
                <w:bCs/>
                <w:i w:val="false"/>
                <w:iCs w:val="false"/>
                <w:color w:val="000000"/>
                <w:kern w:val="0"/>
                <w:sz w:val="20"/>
                <w:szCs w:val="20"/>
                <w:highlight w:val="none"/>
                <w:u w:val="none"/>
                <w:lang w:val="en-US" w:eastAsia="zh-CN" w:bidi="ar"/>
              </w:rPr>
              <w:t/>
              <w:t>本年支出合计</w:t>
            </w:r>
          </w:p>
        </w:tc>
        <w:tc>
          <w:tcPr>
            <w:tcW w:w="266" w:type="pct"/>
            <w:tcBorders>
              <w:top w:val="nil"/>
              <w:left w:val="nil"/>
              <w:bottom w:val="single" w:color="000000" w:sz="4" w:space="0"/>
              <w:right w:val="single" w:color="000000" w:sz="4" w:space="0"/>
            </w:tcBorders>
            <w:noWrap/>
            <w:vAlign w:val="center"/>
          </w:tcPr>
          <w:p w14:paraId="405805BE">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1,995.35</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1,995.35</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895" w:type="pct"/>
            <w:gridSpan w:val="2"/>
            <w:tcBorders>
              <w:top w:val="nil"/>
              <w:left w:val="nil"/>
              <w:bottom w:val="single" w:color="000000" w:sz="4" w:space="0"/>
              <w:right w:val="single" w:color="000000" w:sz="4" w:space="0"/>
            </w:tcBorders>
            <w:noWrap/>
            <w:vAlign w:val="center"/>
          </w:tcPr>
          <w:p w14:paraId="438A4DE7">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false"/>
                <w:iCs w:val="false"/>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false"/>
                <w:iCs w:val="false"/>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false"/>
                <w:iCs w:val="false"/>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false"/>
                <w:iCs w:val="false"/>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false"/>
                <w:iCs w:val="false"/>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false"/>
                <w:iCs w:val="false"/>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false"/>
                <w:iCs w:val="false"/>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false"/>
                <w:iCs w:val="false"/>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false"/>
                <w:iCs w:val="false"/>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false"/>
                <w:iCs w:val="false"/>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false"/>
                <w:iCs w:val="false"/>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false"/>
                <w:iCs w:val="false"/>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false"/>
              <w:keepLines w:val="false"/>
              <w:widowControl/>
              <w:suppressLineNumbers w:val="false"/>
              <w:jc w:val="center"/>
              <w:textAlignment w:val="center"/>
              <w:rPr>
                <w:rFonts w:hint="eastAsia" w:ascii="方正仿宋_GB2312" w:hAnsi="方正仿宋_GB2312" w:eastAsia="方正仿宋_GB2312" w:cs="方正仿宋_GB2312"/>
                <w:b/>
                <w:bCs/>
                <w:i w:val="false"/>
                <w:iCs w:val="false"/>
                <w:color w:val="000000"/>
                <w:sz w:val="20"/>
                <w:szCs w:val="20"/>
                <w:highlight w:val="none"/>
                <w:u w:val="none"/>
              </w:rPr>
            </w:pPr>
            <w:r>
              <w:rPr>
                <w:rFonts w:hint="eastAsia" w:ascii="方正仿宋_GB2312" w:hAnsi="方正仿宋_GB2312" w:eastAsia="方正仿宋_GB2312" w:cs="方正仿宋_GB2312"/>
                <w:b/>
                <w:bCs/>
                <w:i w:val="false"/>
                <w:iCs w:val="false"/>
                <w:color w:val="000000"/>
                <w:kern w:val="0"/>
                <w:sz w:val="20"/>
                <w:szCs w:val="20"/>
                <w:highlight w:val="none"/>
                <w:u w:val="none"/>
                <w:lang w:val="en-US" w:eastAsia="zh-CN" w:bidi="ar"/>
              </w:rPr>
              <w:t/>
              <w:t>总计</w:t>
            </w:r>
          </w:p>
        </w:tc>
        <w:tc>
          <w:tcPr>
            <w:tcW w:w="266" w:type="pct"/>
            <w:tcBorders>
              <w:top w:val="nil"/>
              <w:left w:val="nil"/>
              <w:bottom w:val="single" w:color="000000" w:sz="8" w:space="0"/>
              <w:right w:val="single" w:color="000000" w:sz="4" w:space="0"/>
            </w:tcBorders>
            <w:noWrap/>
            <w:vAlign w:val="center"/>
          </w:tcPr>
          <w:p w14:paraId="796E2179">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1,995.35</w:t>
            </w:r>
          </w:p>
        </w:tc>
        <w:tc>
          <w:tcPr>
            <w:tcW w:w="895" w:type="pct"/>
            <w:gridSpan w:val="2"/>
            <w:tcBorders>
              <w:top w:val="nil"/>
              <w:left w:val="nil"/>
              <w:bottom w:val="single" w:color="000000" w:sz="8" w:space="0"/>
              <w:right w:val="single" w:color="000000" w:sz="4" w:space="0"/>
            </w:tcBorders>
            <w:noWrap/>
            <w:vAlign w:val="center"/>
          </w:tcPr>
          <w:p w14:paraId="0E12E033">
            <w:pPr>
              <w:keepNext w:val="false"/>
              <w:keepLines w:val="false"/>
              <w:widowControl/>
              <w:suppressLineNumbers w:val="false"/>
              <w:jc w:val="center"/>
              <w:textAlignment w:val="center"/>
              <w:rPr>
                <w:rFonts w:hint="eastAsia" w:ascii="方正仿宋_GB2312" w:hAnsi="方正仿宋_GB2312" w:eastAsia="方正仿宋_GB2312" w:cs="方正仿宋_GB2312"/>
                <w:b/>
                <w:bCs/>
                <w:i w:val="false"/>
                <w:iCs w:val="false"/>
                <w:color w:val="000000"/>
                <w:sz w:val="20"/>
                <w:szCs w:val="20"/>
                <w:highlight w:val="none"/>
                <w:u w:val="none"/>
              </w:rPr>
            </w:pPr>
            <w:r>
              <w:rPr>
                <w:rFonts w:hint="eastAsia" w:ascii="方正仿宋_GB2312" w:hAnsi="方正仿宋_GB2312" w:eastAsia="方正仿宋_GB2312" w:cs="方正仿宋_GB2312"/>
                <w:b/>
                <w:bCs/>
                <w:i w:val="false"/>
                <w:iCs w:val="false"/>
                <w:color w:val="000000"/>
                <w:kern w:val="0"/>
                <w:sz w:val="20"/>
                <w:szCs w:val="20"/>
                <w:highlight w:val="none"/>
                <w:u w:val="none"/>
                <w:lang w:val="en-US" w:eastAsia="zh-CN" w:bidi="ar"/>
              </w:rPr>
              <w:t/>
              <w:t>总计</w:t>
            </w:r>
          </w:p>
        </w:tc>
        <w:tc>
          <w:tcPr>
            <w:tcW w:w="266" w:type="pct"/>
            <w:tcBorders>
              <w:top w:val="nil"/>
              <w:left w:val="nil"/>
              <w:bottom w:val="single" w:color="000000" w:sz="8" w:space="0"/>
              <w:right w:val="single" w:color="000000" w:sz="4" w:space="0"/>
            </w:tcBorders>
            <w:noWrap/>
            <w:vAlign w:val="center"/>
          </w:tcPr>
          <w:p w14:paraId="606B87B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1,995.35</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
              <w:t>1,995.35</w:t>
            </w:r>
          </w:p>
          <w:p w14:paraId="46956FDA">
            <w:pPr>
              <w:jc w:val="right"/>
              <w:rPr>
                <w:rFonts w:hint="default" w:ascii="Times New Roman" w:hAnsi="Times New Roman" w:eastAsia="宋体" w:cs="Times New Roman"/>
                <w:i w:val="false"/>
                <w:iCs w:val="false"/>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false"/>
              <w:keepLines w:val="false"/>
              <w:widowControl/>
              <w:suppressLineNumbers w:val="false"/>
              <w:jc w:val="left"/>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注：本表反映部门本年度一般公共预算财政拨款、政府性基金预算财政拨款和国有资本经营预算财政拨款的总收支和年末结转结余情况。</w:t>
            </w:r>
          </w:p>
        </w:tc>
      </w:tr>
    </w:tbl>
    <w:p w14:paraId="25F95412">
      <w:pPr>
        <w:keepNext w:val="false"/>
        <w:keepLines w:val="false"/>
        <w:pageBreakBefore w:val="false"/>
        <w:widowControl w:val="false"/>
        <w:kinsoku/>
        <w:wordWrap/>
        <w:overflowPunct/>
        <w:topLinePunct w:val="false"/>
        <w:autoSpaceDE/>
        <w:autoSpaceDN/>
        <w:bidi w:val="false"/>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239"/>
        <w:gridCol w:w="1329"/>
        <w:gridCol w:w="705"/>
        <w:gridCol w:w="1305"/>
        <w:gridCol w:w="1366"/>
        <w:gridCol w:w="645"/>
        <w:gridCol w:w="2108"/>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false"/>
              <w:keepLines w:val="false"/>
              <w:widowControl/>
              <w:suppressLineNumbers w:val="false"/>
              <w:jc w:val="center"/>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b w:val="false"/>
                <w:bCs/>
                <w:color w:val="auto"/>
                <w:kern w:val="0"/>
                <w:sz w:val="32"/>
                <w:szCs w:val="32"/>
                <w:highlight w:val="none"/>
                <w:lang w:val="en-US" w:eastAsia="zh-CN"/>
              </w:rPr>
              <w:t/>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false"/>
              <w:keepLines w:val="false"/>
              <w:widowControl/>
              <w:suppressLineNumbers w:val="false"/>
              <w:jc w:val="right"/>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公开</w:t>
            </w:r>
            <w:r>
              <w:rPr>
                <w:rFonts w:hint="default" w:ascii="Times New Roman" w:hAnsi="Times New Roman" w:eastAsia="方正仿宋_GB2312" w:cs="Times New Roman"/>
                <w:i w:val="false"/>
                <w:iCs w:val="false"/>
                <w:color w:val="000000"/>
                <w:kern w:val="0"/>
                <w:sz w:val="20"/>
                <w:szCs w:val="20"/>
                <w:highlight w:val="none"/>
                <w:u w:val="none"/>
                <w:lang w:val="en-US" w:eastAsia="zh-CN" w:bidi="ar"/>
              </w:rPr>
              <w:t/>
              <w:t>05</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false"/>
              <w:keepLines w:val="false"/>
              <w:widowControl/>
              <w:suppressLineNumbers w:val="false"/>
              <w:jc w:val="left"/>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编制部门（单位）：石家庄市鹿泉区上寨乡人民政府(本级)</w:t>
            </w:r>
          </w:p>
        </w:tc>
        <w:tc>
          <w:tcPr>
            <w:tcW w:w="1541" w:type="pct"/>
            <w:gridSpan w:val="2"/>
            <w:tcBorders>
              <w:top w:val="nil"/>
              <w:left w:val="nil"/>
              <w:bottom w:val="single" w:color="auto" w:sz="4" w:space="0"/>
              <w:right w:val="nil"/>
            </w:tcBorders>
            <w:noWrap/>
            <w:vAlign w:val="bottom"/>
          </w:tcPr>
          <w:p w14:paraId="6F8D6BB1">
            <w:pPr>
              <w:keepNext w:val="false"/>
              <w:keepLines w:val="false"/>
              <w:widowControl/>
              <w:suppressLineNumbers w:val="false"/>
              <w:jc w:val="center"/>
              <w:textAlignment w:val="bottom"/>
              <w:rPr>
                <w:rFonts w:hint="default" w:asciiTheme="minorEastAsia" w:hAnsiTheme="minorEastAsia" w:eastAsiaTheme="minorEastAsia" w:cstheme="minorEastAsia"/>
                <w:i w:val="false"/>
                <w:iCs w:val="false"/>
                <w:color w:val="000000"/>
                <w:kern w:val="0"/>
                <w:sz w:val="20"/>
                <w:szCs w:val="20"/>
                <w:highlight w:val="none"/>
                <w:u w:val="none"/>
                <w:lang w:val="en-US" w:eastAsia="zh-CN" w:bidi="ar"/>
              </w:rPr>
            </w:pPr>
            <w:r>
              <w:rPr>
                <w:rFonts w:hint="default" w:ascii="Times New Roman" w:hAnsi="Times New Roman" w:cs="Times New Roman"/>
                <w:i w:val="false"/>
                <w:iCs w:val="false"/>
                <w:color w:val="000000"/>
                <w:kern w:val="0"/>
                <w:sz w:val="20"/>
                <w:szCs w:val="20"/>
                <w:highlight w:val="none"/>
                <w:u w:val="none"/>
                <w:lang w:val="en-US" w:eastAsia="zh-CN" w:bidi="ar"/>
              </w:rPr>
              <w:t/>
              <w:t>202</w:t>
            </w:r>
            <w:r>
              <w:rPr>
                <w:rFonts w:hint="eastAsia" w:ascii="Times New Roman" w:hAnsi="Times New Roman" w:cs="Times New Roman"/>
                <w:i w:val="false"/>
                <w:iCs w:val="false"/>
                <w:color w:val="000000"/>
                <w:kern w:val="0"/>
                <w:sz w:val="20"/>
                <w:szCs w:val="20"/>
                <w:highlight w:val="none"/>
                <w:u w:val="none"/>
                <w:lang w:val="en-US" w:eastAsia="zh-CN" w:bidi="ar"/>
              </w:rPr>
              <w:t/>
              <w:t>4</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年度</w:t>
            </w:r>
          </w:p>
        </w:tc>
        <w:tc>
          <w:tcPr>
            <w:tcW w:w="1590" w:type="pct"/>
            <w:gridSpan w:val="2"/>
            <w:tcBorders>
              <w:top w:val="nil"/>
              <w:left w:val="nil"/>
              <w:bottom w:val="single" w:color="auto" w:sz="4" w:space="0"/>
              <w:right w:val="nil"/>
            </w:tcBorders>
            <w:noWrap/>
            <w:vAlign w:val="bottom"/>
          </w:tcPr>
          <w:p w14:paraId="63AE8029">
            <w:pPr>
              <w:keepNext w:val="false"/>
              <w:keepLines w:val="false"/>
              <w:widowControl/>
              <w:suppressLineNumbers w:val="false"/>
              <w:jc w:val="right"/>
              <w:textAlignment w:val="bottom"/>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false"/>
            <w:vAlign w:val="center"/>
          </w:tcPr>
          <w:p w14:paraId="767FD3FD">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项目</w:t>
            </w:r>
          </w:p>
        </w:tc>
        <w:tc>
          <w:tcPr>
            <w:tcW w:w="3538" w:type="pct"/>
            <w:gridSpan w:val="5"/>
            <w:tcBorders>
              <w:top w:val="single" w:color="auto" w:sz="4" w:space="0"/>
              <w:left w:val="single" w:color="auto" w:sz="4" w:space="0"/>
              <w:bottom w:val="single" w:color="auto" w:sz="4" w:space="0"/>
              <w:right w:val="single" w:color="auto" w:sz="4" w:space="0"/>
            </w:tcBorders>
            <w:noWrap w:val="false"/>
            <w:vAlign w:val="center"/>
          </w:tcPr>
          <w:p w14:paraId="1E354823">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false"/>
            <w:vAlign w:val="center"/>
          </w:tcPr>
          <w:p w14:paraId="303F019C">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科目代码</w:t>
            </w:r>
          </w:p>
        </w:tc>
        <w:tc>
          <w:tcPr>
            <w:tcW w:w="756" w:type="pct"/>
            <w:vMerge w:val="restart"/>
            <w:tcBorders>
              <w:top w:val="single" w:color="auto" w:sz="4" w:space="0"/>
              <w:left w:val="single" w:color="auto" w:sz="4" w:space="0"/>
              <w:bottom w:val="single" w:color="auto" w:sz="4" w:space="0"/>
              <w:right w:val="single" w:color="auto" w:sz="4" w:space="0"/>
            </w:tcBorders>
            <w:noWrap w:val="false"/>
            <w:vAlign w:val="center"/>
          </w:tcPr>
          <w:p w14:paraId="743EB060">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false"/>
            <w:vAlign w:val="center"/>
          </w:tcPr>
          <w:p w14:paraId="6B17A41F">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false"/>
            <w:vAlign w:val="center"/>
          </w:tcPr>
          <w:p w14:paraId="4755C0C7">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基本支出</w:t>
            </w:r>
          </w:p>
        </w:tc>
        <w:tc>
          <w:tcPr>
            <w:tcW w:w="1218" w:type="pct"/>
            <w:vMerge w:val="restart"/>
            <w:tcBorders>
              <w:top w:val="single" w:color="auto" w:sz="4" w:space="0"/>
              <w:left w:val="single" w:color="auto" w:sz="4" w:space="0"/>
              <w:bottom w:val="single" w:color="auto" w:sz="4" w:space="0"/>
              <w:right w:val="single" w:color="auto" w:sz="4" w:space="0"/>
            </w:tcBorders>
            <w:noWrap w:val="false"/>
            <w:vAlign w:val="center"/>
          </w:tcPr>
          <w:p w14:paraId="35175C3F">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false"/>
            <w:vAlign w:val="center"/>
          </w:tcPr>
          <w:p w14:paraId="07BBA312">
            <w:pPr>
              <w:jc w:val="center"/>
              <w:rPr>
                <w:rFonts w:hint="eastAsia" w:ascii="宋体" w:hAnsi="宋体" w:eastAsia="宋体" w:cs="宋体"/>
                <w:i w:val="false"/>
                <w:iCs w:val="false"/>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false"/>
            <w:vAlign w:val="center"/>
          </w:tcPr>
          <w:p w14:paraId="24227AC3">
            <w:pPr>
              <w:jc w:val="center"/>
              <w:rPr>
                <w:rFonts w:hint="eastAsia" w:ascii="宋体" w:hAnsi="宋体" w:eastAsia="宋体" w:cs="宋体"/>
                <w:i w:val="false"/>
                <w:iCs w:val="false"/>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false"/>
            <w:vAlign w:val="center"/>
          </w:tcPr>
          <w:p w14:paraId="19084284">
            <w:pPr>
              <w:jc w:val="center"/>
              <w:rPr>
                <w:rFonts w:hint="eastAsia" w:ascii="宋体" w:hAnsi="宋体" w:eastAsia="宋体" w:cs="宋体"/>
                <w:i w:val="false"/>
                <w:iCs w:val="false"/>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false"/>
            <w:vAlign w:val="center"/>
          </w:tcPr>
          <w:p w14:paraId="39BF0FED">
            <w:pPr>
              <w:jc w:val="center"/>
              <w:rPr>
                <w:rFonts w:hint="eastAsia" w:ascii="宋体" w:hAnsi="宋体" w:eastAsia="宋体" w:cs="宋体"/>
                <w:i w:val="false"/>
                <w:iCs w:val="false"/>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false"/>
            <w:vAlign w:val="center"/>
          </w:tcPr>
          <w:p w14:paraId="517381C9">
            <w:pPr>
              <w:jc w:val="center"/>
              <w:rPr>
                <w:rFonts w:hint="eastAsia" w:ascii="宋体" w:hAnsi="宋体" w:eastAsia="宋体" w:cs="宋体"/>
                <w:i w:val="false"/>
                <w:iCs w:val="false"/>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false"/>
            <w:vAlign w:val="center"/>
          </w:tcPr>
          <w:p w14:paraId="2E32E979">
            <w:pPr>
              <w:jc w:val="center"/>
              <w:rPr>
                <w:rFonts w:hint="eastAsia" w:ascii="宋体" w:hAnsi="宋体" w:eastAsia="宋体" w:cs="宋体"/>
                <w:i w:val="false"/>
                <w:iCs w:val="false"/>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false"/>
            <w:vAlign w:val="center"/>
          </w:tcPr>
          <w:p w14:paraId="1337A1D9">
            <w:pPr>
              <w:jc w:val="center"/>
              <w:rPr>
                <w:rFonts w:hint="eastAsia" w:ascii="宋体" w:hAnsi="宋体" w:eastAsia="宋体" w:cs="宋体"/>
                <w:i w:val="false"/>
                <w:iCs w:val="false"/>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false"/>
            <w:vAlign w:val="center"/>
          </w:tcPr>
          <w:p w14:paraId="13715D87">
            <w:pPr>
              <w:jc w:val="center"/>
              <w:rPr>
                <w:rFonts w:hint="eastAsia" w:ascii="宋体" w:hAnsi="宋体" w:eastAsia="宋体" w:cs="宋体"/>
                <w:i w:val="false"/>
                <w:iCs w:val="false"/>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false"/>
            <w:vAlign w:val="center"/>
          </w:tcPr>
          <w:p w14:paraId="11512C71">
            <w:pPr>
              <w:jc w:val="center"/>
              <w:rPr>
                <w:rFonts w:hint="eastAsia" w:ascii="宋体" w:hAnsi="宋体" w:eastAsia="宋体" w:cs="宋体"/>
                <w:i w:val="false"/>
                <w:iCs w:val="false"/>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false"/>
            <w:vAlign w:val="center"/>
          </w:tcPr>
          <w:p w14:paraId="0C43699C">
            <w:pPr>
              <w:jc w:val="center"/>
              <w:rPr>
                <w:rFonts w:hint="eastAsia" w:ascii="宋体" w:hAnsi="宋体" w:eastAsia="宋体" w:cs="宋体"/>
                <w:i w:val="false"/>
                <w:iCs w:val="false"/>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false"/>
            <w:vAlign w:val="center"/>
          </w:tcPr>
          <w:p w14:paraId="3682F967">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lang w:val="en-US" w:eastAsia="zh-CN"/>
              </w:rPr>
            </w:pPr>
            <w:r>
              <w:rPr>
                <w:rFonts w:hint="eastAsia" w:ascii="宋体" w:hAnsi="宋体" w:eastAsia="宋体" w:cs="宋体"/>
                <w:i w:val="false"/>
                <w:iCs w:val="false"/>
                <w:color w:val="000000"/>
                <w:sz w:val="20"/>
                <w:szCs w:val="20"/>
                <w:highlight w:val="none"/>
                <w:u w:val="none"/>
                <w:lang w:val="en-US" w:eastAsia="zh-CN"/>
              </w:rPr>
              <w:t/>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lang w:val="en-US" w:eastAsia="zh-CN"/>
              </w:rPr>
            </w:pPr>
            <w:r>
              <w:rPr>
                <w:rFonts w:hint="eastAsia" w:ascii="宋体" w:hAnsi="宋体" w:eastAsia="宋体" w:cs="宋体"/>
                <w:i w:val="false"/>
                <w:iCs w:val="false"/>
                <w:color w:val="000000"/>
                <w:sz w:val="20"/>
                <w:szCs w:val="20"/>
                <w:highlight w:val="none"/>
                <w:u w:val="none"/>
                <w:lang w:val="en-US" w:eastAsia="zh-CN"/>
              </w:rPr>
              <w:t/>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lang w:val="en-US" w:eastAsia="zh-CN"/>
              </w:rPr>
            </w:pPr>
            <w:r>
              <w:rPr>
                <w:rFonts w:hint="eastAsia" w:ascii="宋体" w:hAnsi="宋体" w:eastAsia="宋体" w:cs="宋体"/>
                <w:i w:val="false"/>
                <w:iCs w:val="false"/>
                <w:color w:val="000000"/>
                <w:sz w:val="20"/>
                <w:szCs w:val="20"/>
                <w:highlight w:val="none"/>
                <w:u w:val="none"/>
                <w:lang w:val="en-US" w:eastAsia="zh-CN"/>
              </w:rPr>
              <w:t/>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false"/>
            <w:vAlign w:val="center"/>
          </w:tcPr>
          <w:p w14:paraId="22A50BE2">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1,995.35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915.81</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1,079.55</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t>880.73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t>740.73</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t>140.00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880.73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740.73</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140.00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2010301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740.73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740.73</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2010302</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140.00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140.00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205</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教育支出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76.56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76.56</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20502</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普通教育</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76.56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76.56</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2050202</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小学教育</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76.56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76.56</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207</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文化旅游体育与传媒支出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1.00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20701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文化和旅游</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1.00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2070109</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群众文化</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1.00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75.37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63.33</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12.04</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63.33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63.33</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行政单位离退休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1.59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1.59</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61.74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61.74</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20809</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退役安置</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12.04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12.04</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2080901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退役士兵安置</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12.04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12.04</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44.90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44.90</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44.90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44.90</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44.90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44.90</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节能环保支出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10.00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21103</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污染防治</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10.00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2110301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大气</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10.00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212</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城乡社区支出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779.95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779.95</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21202</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城乡社区规划与管理</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333.95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333.95</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2120201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城乡社区规划与管理</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333.95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333.95</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21203</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城乡社区公共设施</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405.00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405.00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2120303</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小城镇基础设施建设</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405.00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405.00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21205</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城乡社区环境卫生</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41.00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41.00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2120501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城乡社区环境卫生</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41.00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41.00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213</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农林水支出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60.00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60.00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21302</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林业和草原</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10.00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2130234</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林业草原防灾减灾</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10.00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21305</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巩固脱贫攻坚成果衔接乡村振兴</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50.00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50.00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2130599</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其他巩固脱贫攻坚成果衔接乡村振兴支出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50.00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50.00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66.84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66.84</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66.84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66.84</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66.84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66.84</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lang w:val="en-US" w:eastAsia="zh-CN"/>
              </w:rPr>
              <w:t/>
            </w: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注：本表反映部门本年度一般公共预算财政拨款支出情况。</w:t>
            </w:r>
          </w:p>
        </w:tc>
      </w:tr>
    </w:tbl>
    <w:p w14:paraId="7E3D2886">
      <w:pPr>
        <w:keepNext w:val="false"/>
        <w:keepLines w:val="false"/>
        <w:pageBreakBefore w:val="false"/>
        <w:widowControl w:val="false"/>
        <w:kinsoku/>
        <w:wordWrap/>
        <w:overflowPunct/>
        <w:topLinePunct w:val="false"/>
        <w:autoSpaceDE/>
        <w:autoSpaceDN/>
        <w:bidi w:val="false"/>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624" w:hRule="atLeast"/>
        </w:trPr>
        <w:tc>
          <w:tcPr>
            <w:tcW w:w="5000" w:type="pct"/>
            <w:gridSpan w:val="11"/>
            <w:tcBorders>
              <w:top w:val="nil"/>
              <w:left w:val="nil"/>
              <w:bottom w:val="nil"/>
              <w:right w:val="nil"/>
            </w:tcBorders>
            <w:noWrap/>
            <w:vAlign w:val="bottom"/>
          </w:tcPr>
          <w:p w14:paraId="0E0604A3">
            <w:pPr>
              <w:keepNext w:val="false"/>
              <w:keepLines w:val="false"/>
              <w:widowControl/>
              <w:suppressLineNumbers w:val="false"/>
              <w:jc w:val="center"/>
              <w:textAlignment w:val="bottom"/>
              <w:rPr>
                <w:rFonts w:hint="eastAsia" w:asciiTheme="minorEastAsia" w:hAnsiTheme="minorEastAsia" w:eastAsiaTheme="minorEastAsia" w:cstheme="minorEastAsia"/>
                <w:i w:val="false"/>
                <w:iCs w:val="false"/>
                <w:color w:val="000000"/>
                <w:sz w:val="18"/>
                <w:szCs w:val="18"/>
                <w:highlight w:val="none"/>
                <w:u w:val="none"/>
              </w:rPr>
            </w:pPr>
            <w:r>
              <w:rPr>
                <w:rFonts w:hint="eastAsia" w:ascii="方正仿宋_GB2312" w:hAnsi="方正仿宋_GB2312" w:eastAsia="方正仿宋_GB2312" w:cs="方正仿宋_GB2312"/>
                <w:b w:val="false"/>
                <w:bCs/>
                <w:color w:val="auto"/>
                <w:kern w:val="0"/>
                <w:sz w:val="32"/>
                <w:szCs w:val="32"/>
                <w:highlight w:val="none"/>
                <w:lang w:val="en-US" w:eastAsia="zh-CN"/>
              </w:rPr>
              <w:t/>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false"/>
              <w:keepLines w:val="false"/>
              <w:widowControl/>
              <w:suppressLineNumbers w:val="false"/>
              <w:jc w:val="right"/>
              <w:textAlignment w:val="bottom"/>
              <w:rPr>
                <w:rFonts w:hint="eastAsia" w:asciiTheme="minorEastAsia" w:hAnsiTheme="minorEastAsia" w:eastAsiaTheme="minorEastAsia" w:cstheme="minorEastAsia"/>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公开</w:t>
            </w: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06</w:t>
            </w: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xml:space="preserve"/>
              <w:t xml:space="preserve">部门（单位）：石家庄市鹿泉区上寨乡人民政府(本级) </w:t>
            </w:r>
            <w:r>
              <w:rPr>
                <w:rFonts w:hint="eastAsia" w:asciiTheme="minorEastAsia" w:hAnsiTheme="minorEastAsia" w:cstheme="minorEastAsia"/>
                <w:i w:val="false"/>
                <w:iCs w:val="false"/>
                <w:color w:val="000000"/>
                <w:kern w:val="0"/>
                <w:sz w:val="18"/>
                <w:szCs w:val="18"/>
                <w:highlight w:val="none"/>
                <w:u w:val="none"/>
                <w:lang w:val="en-US" w:eastAsia="zh-CN" w:bidi="ar"/>
              </w:rPr>
              <w:t xml:space="preserve"/>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false"/>
                <w:iCs w:val="false"/>
                <w:color w:val="000000"/>
                <w:kern w:val="0"/>
                <w:sz w:val="18"/>
                <w:szCs w:val="18"/>
                <w:highlight w:val="none"/>
                <w:u w:val="none"/>
                <w:lang w:val="en-US" w:eastAsia="zh-CN" w:bidi="ar"/>
              </w:rPr>
            </w:pPr>
            <w:r>
              <w:rPr>
                <w:rFonts w:hint="eastAsia" w:asciiTheme="minorEastAsia" w:hAnsiTheme="minorEastAsia" w:cstheme="minorEastAsia"/>
                <w:i w:val="false"/>
                <w:iCs w:val="false"/>
                <w:color w:val="000000"/>
                <w:kern w:val="0"/>
                <w:sz w:val="18"/>
                <w:szCs w:val="18"/>
                <w:highlight w:val="none"/>
                <w:u w:val="none"/>
                <w:lang w:val="en-US" w:eastAsia="zh-CN" w:bidi="ar"/>
              </w:rPr>
              <w:t/>
              <w:t>2024</w:t>
            </w: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false"/>
                <w:iCs w:val="false"/>
                <w:color w:val="000000"/>
                <w:kern w:val="0"/>
                <w:sz w:val="18"/>
                <w:szCs w:val="18"/>
                <w:highlight w:val="none"/>
                <w:u w:val="none"/>
                <w:lang w:val="en-US" w:eastAsia="zh-CN" w:bidi="ar"/>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false"/>
            <w:vAlign w:val="center"/>
          </w:tcPr>
          <w:p w14:paraId="1B7004FE">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lang w:val="en-US"/>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金额</w:t>
            </w:r>
          </w:p>
        </w:tc>
        <w:tc>
          <w:tcPr>
            <w:tcW w:w="425" w:type="pct"/>
            <w:tcBorders>
              <w:top w:val="single" w:color="auto" w:sz="4" w:space="0"/>
              <w:left w:val="single" w:color="auto" w:sz="4" w:space="0"/>
              <w:bottom w:val="single" w:color="auto" w:sz="4" w:space="0"/>
              <w:right w:val="single" w:color="auto" w:sz="4" w:space="0"/>
            </w:tcBorders>
            <w:noWrap w:val="false"/>
            <w:vAlign w:val="center"/>
          </w:tcPr>
          <w:p w14:paraId="47273338">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lang w:val="en-US" w:eastAsia="zh-CN"/>
              </w:rPr>
            </w:pPr>
            <w:r>
              <w:rPr>
                <w:rFonts w:hint="eastAsia" w:ascii="方正仿宋_GB2312" w:hAnsi="方正仿宋_GB2312" w:eastAsia="方正仿宋_GB2312" w:cs="方正仿宋_GB2312"/>
                <w:i w:val="false"/>
                <w:iCs w:val="false"/>
                <w:color w:val="000000"/>
                <w:sz w:val="18"/>
                <w:szCs w:val="18"/>
                <w:highlight w:val="none"/>
                <w:u w:val="none"/>
                <w:lang w:val="en-US" w:eastAsia="zh-CN"/>
              </w:rPr>
              <w:t/>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金额</w:t>
            </w:r>
          </w:p>
        </w:tc>
        <w:tc>
          <w:tcPr>
            <w:tcW w:w="425" w:type="pct"/>
            <w:tcBorders>
              <w:top w:val="single" w:color="auto" w:sz="4" w:space="0"/>
              <w:left w:val="single" w:color="auto" w:sz="4" w:space="0"/>
              <w:bottom w:val="single" w:color="auto" w:sz="4" w:space="0"/>
              <w:right w:val="single" w:color="auto" w:sz="4" w:space="0"/>
            </w:tcBorders>
            <w:noWrap w:val="false"/>
            <w:vAlign w:val="center"/>
          </w:tcPr>
          <w:p w14:paraId="6FE3229C">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lang w:val="en-US" w:eastAsia="zh-CN"/>
              </w:rPr>
            </w:pPr>
            <w:r>
              <w:rPr>
                <w:rFonts w:hint="eastAsia" w:ascii="方正仿宋_GB2312" w:hAnsi="方正仿宋_GB2312" w:eastAsia="方正仿宋_GB2312" w:cs="方正仿宋_GB2312"/>
                <w:i w:val="false"/>
                <w:iCs w:val="false"/>
                <w:color w:val="000000"/>
                <w:sz w:val="18"/>
                <w:szCs w:val="18"/>
                <w:highlight w:val="none"/>
                <w:u w:val="none"/>
                <w:lang w:val="en-US" w:eastAsia="zh-CN"/>
              </w:rPr>
              <w:t/>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false"/>
                <w:iCs w:val="false"/>
                <w:color w:val="000000"/>
                <w:sz w:val="18"/>
                <w:szCs w:val="18"/>
                <w:highlight w:val="none"/>
                <w:u w:val="none"/>
              </w:rPr>
            </w:pPr>
            <w:r>
              <w:rPr>
                <w:rFonts w:hint="eastAsia" w:ascii="Times New Roman" w:hAnsi="Times New Roman" w:cs="Times New Roman"/>
                <w:sz w:val="18"/>
                <w:szCs w:val="18"/>
                <w:highlight w:val="none"/>
                <w:lang w:eastAsia="zh-CN"/>
              </w:rPr>
              <w:t/>
              <w:t>728.83</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false"/>
                <w:iCs w:val="false"/>
                <w:color w:val="000000"/>
                <w:sz w:val="18"/>
                <w:szCs w:val="18"/>
                <w:highlight w:val="none"/>
                <w:u w:val="none"/>
              </w:rPr>
            </w:pPr>
            <w:r>
              <w:rPr>
                <w:rFonts w:hint="eastAsia" w:ascii="Times New Roman" w:hAnsi="Times New Roman" w:cs="Times New Roman"/>
                <w:sz w:val="18"/>
                <w:szCs w:val="18"/>
                <w:highlight w:val="none"/>
                <w:lang w:eastAsia="zh-CN"/>
              </w:rPr>
              <w:t/>
              <w:t>185.70</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xml:space="preserve"/>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false"/>
                <w:iCs w:val="false"/>
                <w:color w:val="000000"/>
                <w:sz w:val="18"/>
                <w:szCs w:val="18"/>
                <w:highlight w:val="none"/>
                <w:u w:val="none"/>
              </w:rPr>
            </w:pPr>
            <w:r>
              <w:rPr>
                <w:rFonts w:hint="eastAsia" w:ascii="Times New Roman" w:hAnsi="Times New Roman" w:cs="Times New Roman"/>
                <w:sz w:val="18"/>
                <w:szCs w:val="18"/>
                <w:highlight w:val="none"/>
                <w:lang w:eastAsia="zh-CN"/>
              </w:rPr>
              <w:t/>
              <w:t>155.76</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3.93</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xml:space="preserve"/>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false"/>
                <w:iCs w:val="false"/>
                <w:color w:val="000000"/>
                <w:sz w:val="18"/>
                <w:szCs w:val="18"/>
                <w:highlight w:val="none"/>
                <w:u w:val="none"/>
              </w:rPr>
            </w:pPr>
            <w:r>
              <w:rPr>
                <w:rFonts w:hint="eastAsia" w:ascii="Times New Roman" w:hAnsi="Times New Roman" w:cs="Times New Roman"/>
                <w:sz w:val="18"/>
                <w:szCs w:val="18"/>
                <w:highlight w:val="none"/>
                <w:lang w:eastAsia="zh-CN"/>
              </w:rPr>
              <w:t/>
              <w:t>128.87</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0.28</w:t>
            </w: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xml:space="preserve"/>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false"/>
                <w:iCs w:val="false"/>
                <w:color w:val="000000"/>
                <w:sz w:val="18"/>
                <w:szCs w:val="18"/>
                <w:highlight w:val="none"/>
                <w:u w:val="none"/>
              </w:rPr>
            </w:pPr>
            <w:r>
              <w:rPr>
                <w:rFonts w:hint="eastAsia" w:ascii="Times New Roman" w:hAnsi="Times New Roman" w:cs="Times New Roman"/>
                <w:sz w:val="18"/>
                <w:szCs w:val="18"/>
                <w:highlight w:val="none"/>
                <w:lang w:eastAsia="zh-CN"/>
              </w:rPr>
              <w:t/>
              <w:t>102.39</w:t>
            </w: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xml:space="preserve"/>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false"/>
                <w:iCs w:val="false"/>
                <w:color w:val="000000"/>
                <w:sz w:val="18"/>
                <w:szCs w:val="18"/>
                <w:highlight w:val="none"/>
                <w:u w:val="none"/>
              </w:rPr>
            </w:pPr>
            <w:r>
              <w:rPr>
                <w:rFonts w:hint="eastAsia" w:ascii="Times New Roman" w:hAnsi="Times New Roman" w:cs="Times New Roman"/>
                <w:sz w:val="18"/>
                <w:szCs w:val="18"/>
                <w:highlight w:val="none"/>
                <w:lang w:eastAsia="zh-CN"/>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xml:space="preserve"/>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false"/>
                <w:iCs w:val="false"/>
                <w:color w:val="000000"/>
                <w:sz w:val="18"/>
                <w:szCs w:val="18"/>
                <w:highlight w:val="none"/>
                <w:u w:val="none"/>
              </w:rPr>
            </w:pPr>
            <w:r>
              <w:rPr>
                <w:rFonts w:hint="eastAsia" w:ascii="Times New Roman" w:hAnsi="Times New Roman" w:cs="Times New Roman"/>
                <w:sz w:val="18"/>
                <w:szCs w:val="18"/>
                <w:highlight w:val="none"/>
                <w:lang w:eastAsia="zh-CN"/>
              </w:rPr>
              <w:t/>
              <w:t>158.20</w:t>
            </w: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61.74</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9.25</w:t>
            </w: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11.00</w:t>
            </w: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44.90</w:t>
            </w: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3.25</w:t>
            </w: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10.13</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6.72</w:t>
            </w: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66.84</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xml:space="preserve"/>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1.28</w:t>
            </w: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1.00</w:t>
            </w: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1.28</w:t>
            </w: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112.74</w:t>
            </w: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0.75</w:t>
            </w: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3.56</w:t>
            </w: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3.89</w:t>
            </w: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5.40</w:t>
            </w: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23.73</w:t>
            </w: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false"/>
                <w:iCs w:val="false"/>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false"/>
                <w:iCs w:val="false"/>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0.19</w:t>
            </w: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false"/>
                <w:iCs w:val="false"/>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false"/>
                <w:iCs w:val="false"/>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false"/>
                <w:iCs w:val="false"/>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false"/>
                <w:iCs w:val="false"/>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false"/>
                <w:iCs w:val="false"/>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false"/>
                <w:iCs w:val="false"/>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false"/>
                <w:iCs w:val="false"/>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false"/>
                <w:iCs w:val="false"/>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
              <w:t>730.11</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185.70</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false"/>
              <w:keepLines w:val="false"/>
              <w:widowControl/>
              <w:suppressLineNumbers w:val="false"/>
              <w:jc w:val="left"/>
              <w:textAlignment w:val="center"/>
              <w:rPr>
                <w:rFonts w:hint="eastAsia" w:asciiTheme="minorEastAsia" w:hAnsiTheme="minorEastAsia" w:eastAsiaTheme="minorEastAsia" w:cstheme="minorEastAsia"/>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注：本表反映部门本年度一般公共预算财政拨款基本支出明细情况。</w:t>
            </w:r>
          </w:p>
        </w:tc>
      </w:tr>
    </w:tbl>
    <w:p w14:paraId="6D9C2148">
      <w:pPr>
        <w:keepNext w:val="false"/>
        <w:keepLines w:val="false"/>
        <w:pageBreakBefore w:val="false"/>
        <w:widowControl w:val="false"/>
        <w:kinsoku/>
        <w:wordWrap/>
        <w:overflowPunct/>
        <w:topLinePunct w:val="false"/>
        <w:autoSpaceDE/>
        <w:autoSpaceDN/>
        <w:bidi w:val="false"/>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false"/>
              <w:keepLines w:val="false"/>
              <w:widowControl/>
              <w:suppressLineNumbers w:val="false"/>
              <w:jc w:val="center"/>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b w:val="false"/>
                <w:bCs/>
                <w:color w:val="auto"/>
                <w:kern w:val="0"/>
                <w:sz w:val="32"/>
                <w:szCs w:val="32"/>
                <w:highlight w:val="none"/>
                <w:lang w:val="en-US" w:eastAsia="zh-CN"/>
              </w:rPr>
              <w:t/>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false"/>
              <w:keepLines w:val="false"/>
              <w:widowControl/>
              <w:suppressLineNumbers w:val="false"/>
              <w:jc w:val="right"/>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公开</w:t>
            </w:r>
            <w:r>
              <w:rPr>
                <w:rFonts w:hint="default" w:ascii="Times New Roman" w:hAnsi="Times New Roman" w:eastAsia="宋体" w:cs="Times New Roman"/>
                <w:i w:val="false"/>
                <w:iCs w:val="false"/>
                <w:color w:val="000000"/>
                <w:kern w:val="0"/>
                <w:sz w:val="20"/>
                <w:szCs w:val="20"/>
                <w:highlight w:val="none"/>
                <w:u w:val="none"/>
                <w:lang w:val="en-US" w:eastAsia="zh-CN" w:bidi="ar"/>
              </w:rPr>
              <w:t/>
              <w:t>07</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false"/>
              <w:keepLines w:val="false"/>
              <w:widowControl/>
              <w:suppressLineNumbers w:val="false"/>
              <w:jc w:val="left"/>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xml:space="preserve"/>
              <w:t xml:space="preserve">部门（单位）：石家庄市鹿泉区上寨乡人民政府(本级) </w:t>
            </w:r>
            <w:r>
              <w:rPr>
                <w:rFonts w:hint="eastAsia" w:ascii="宋体" w:hAnsi="宋体" w:eastAsia="宋体" w:cs="宋体"/>
                <w:i w:val="false"/>
                <w:iCs w:val="false"/>
                <w:color w:val="000000"/>
                <w:kern w:val="0"/>
                <w:sz w:val="20"/>
                <w:szCs w:val="20"/>
                <w:highlight w:val="none"/>
                <w:u w:val="none"/>
                <w:lang w:val="en-US" w:eastAsia="zh-CN" w:bidi="ar"/>
              </w:rPr>
              <w:t xml:space="preserve"/>
              <w:t xml:space="preserve">                                                                                     </w:t>
            </w:r>
          </w:p>
        </w:tc>
        <w:tc>
          <w:tcPr>
            <w:tcW w:w="1217" w:type="pct"/>
            <w:gridSpan w:val="3"/>
            <w:tcBorders>
              <w:top w:val="nil"/>
              <w:left w:val="nil"/>
              <w:bottom w:val="single" w:color="auto" w:sz="4" w:space="0"/>
              <w:right w:val="nil"/>
            </w:tcBorders>
            <w:noWrap/>
            <w:vAlign w:val="bottom"/>
          </w:tcPr>
          <w:p w14:paraId="104C1B53">
            <w:pPr>
              <w:keepNext w:val="false"/>
              <w:keepLines w:val="false"/>
              <w:widowControl/>
              <w:suppressLineNumbers w:val="false"/>
              <w:jc w:val="center"/>
              <w:textAlignment w:val="bottom"/>
              <w:rPr>
                <w:rFonts w:hint="default" w:ascii="宋体" w:hAnsi="宋体" w:eastAsia="宋体" w:cs="宋体"/>
                <w:i w:val="false"/>
                <w:iCs w:val="false"/>
                <w:color w:val="000000"/>
                <w:kern w:val="0"/>
                <w:sz w:val="20"/>
                <w:szCs w:val="20"/>
                <w:highlight w:val="none"/>
                <w:u w:val="none"/>
                <w:lang w:val="en-US" w:eastAsia="zh-CN" w:bidi="ar"/>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202</w:t>
            </w:r>
            <w:r>
              <w:rPr>
                <w:rFonts w:hint="eastAsia" w:ascii="Times New Roman" w:hAnsi="Times New Roman" w:eastAsia="宋体" w:cs="Times New Roman"/>
                <w:i w:val="false"/>
                <w:iCs w:val="false"/>
                <w:color w:val="000000"/>
                <w:kern w:val="0"/>
                <w:sz w:val="20"/>
                <w:szCs w:val="20"/>
                <w:highlight w:val="none"/>
                <w:u w:val="none"/>
                <w:lang w:val="en-US" w:eastAsia="zh-CN" w:bidi="ar"/>
              </w:rPr>
              <w:t/>
              <w:t>4</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年度</w:t>
            </w:r>
          </w:p>
        </w:tc>
        <w:tc>
          <w:tcPr>
            <w:tcW w:w="1854" w:type="pct"/>
            <w:gridSpan w:val="3"/>
            <w:tcBorders>
              <w:top w:val="nil"/>
              <w:left w:val="nil"/>
              <w:bottom w:val="single" w:color="auto" w:sz="4" w:space="0"/>
              <w:right w:val="nil"/>
            </w:tcBorders>
            <w:noWrap/>
            <w:vAlign w:val="bottom"/>
          </w:tcPr>
          <w:p w14:paraId="14CFDBAD">
            <w:pPr>
              <w:keepNext w:val="false"/>
              <w:keepLines w:val="false"/>
              <w:widowControl/>
              <w:suppressLineNumbers w:val="false"/>
              <w:jc w:val="right"/>
              <w:textAlignment w:val="bottom"/>
              <w:rPr>
                <w:rFonts w:hint="default" w:ascii="宋体" w:hAnsi="宋体" w:eastAsia="宋体" w:cs="宋体"/>
                <w:i w:val="false"/>
                <w:iCs w:val="false"/>
                <w:color w:val="000000"/>
                <w:kern w:val="0"/>
                <w:sz w:val="20"/>
                <w:szCs w:val="20"/>
                <w:highlight w:val="none"/>
                <w:u w:val="none"/>
                <w:lang w:val="en-US" w:eastAsia="zh-CN" w:bidi="ar"/>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false"/>
            <w:vAlign w:val="center"/>
          </w:tcPr>
          <w:p w14:paraId="0EE461A3">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项目</w:t>
            </w:r>
          </w:p>
        </w:tc>
        <w:tc>
          <w:tcPr>
            <w:tcW w:w="623" w:type="pct"/>
            <w:vMerge w:val="restart"/>
            <w:tcBorders>
              <w:top w:val="single" w:color="auto" w:sz="4" w:space="0"/>
              <w:left w:val="nil"/>
              <w:bottom w:val="single" w:color="000000" w:sz="4" w:space="0"/>
              <w:right w:val="single" w:color="000000" w:sz="4" w:space="0"/>
            </w:tcBorders>
            <w:noWrap w:val="false"/>
            <w:vAlign w:val="center"/>
          </w:tcPr>
          <w:p w14:paraId="4F4F1DC5">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年初结转和结余</w:t>
            </w:r>
          </w:p>
        </w:tc>
        <w:tc>
          <w:tcPr>
            <w:tcW w:w="489" w:type="pct"/>
            <w:vMerge w:val="restart"/>
            <w:tcBorders>
              <w:top w:val="single" w:color="auto" w:sz="4" w:space="0"/>
              <w:left w:val="nil"/>
              <w:bottom w:val="single" w:color="000000" w:sz="4" w:space="0"/>
              <w:right w:val="single" w:color="000000" w:sz="4" w:space="0"/>
            </w:tcBorders>
            <w:noWrap w:val="false"/>
            <w:vAlign w:val="center"/>
          </w:tcPr>
          <w:p w14:paraId="169DCD5F">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本年收入</w:t>
            </w:r>
          </w:p>
        </w:tc>
        <w:tc>
          <w:tcPr>
            <w:tcW w:w="1609" w:type="pct"/>
            <w:gridSpan w:val="4"/>
            <w:tcBorders>
              <w:top w:val="single" w:color="auto" w:sz="4" w:space="0"/>
              <w:left w:val="nil"/>
              <w:bottom w:val="single" w:color="000000" w:sz="4" w:space="0"/>
              <w:right w:val="single" w:color="000000" w:sz="4" w:space="0"/>
            </w:tcBorders>
            <w:noWrap w:val="false"/>
            <w:vAlign w:val="center"/>
          </w:tcPr>
          <w:p w14:paraId="54F245A8">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本年支出</w:t>
            </w:r>
          </w:p>
        </w:tc>
        <w:tc>
          <w:tcPr>
            <w:tcW w:w="973" w:type="pct"/>
            <w:vMerge w:val="restart"/>
            <w:tcBorders>
              <w:top w:val="single" w:color="auto" w:sz="4" w:space="0"/>
              <w:left w:val="nil"/>
              <w:right w:val="single" w:color="000000" w:sz="4" w:space="0"/>
            </w:tcBorders>
            <w:noWrap w:val="false"/>
            <w:vAlign w:val="center"/>
          </w:tcPr>
          <w:p w14:paraId="00EC97E3">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false"/>
            <w:vAlign w:val="center"/>
          </w:tcPr>
          <w:p w14:paraId="4751344E">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科目代码</w:t>
            </w:r>
          </w:p>
        </w:tc>
        <w:tc>
          <w:tcPr>
            <w:tcW w:w="703" w:type="pct"/>
            <w:vMerge w:val="restart"/>
            <w:tcBorders>
              <w:top w:val="nil"/>
              <w:left w:val="nil"/>
              <w:bottom w:val="single" w:color="000000" w:sz="4" w:space="0"/>
              <w:right w:val="single" w:color="000000" w:sz="4" w:space="0"/>
            </w:tcBorders>
            <w:noWrap w:val="false"/>
            <w:vAlign w:val="center"/>
          </w:tcPr>
          <w:p w14:paraId="689BDC2E">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科目名称</w:t>
            </w:r>
          </w:p>
        </w:tc>
        <w:tc>
          <w:tcPr>
            <w:tcW w:w="623" w:type="pct"/>
            <w:vMerge w:val="continue"/>
            <w:tcBorders>
              <w:top w:val="single" w:color="000000" w:sz="4" w:space="0"/>
              <w:left w:val="nil"/>
              <w:bottom w:val="single" w:color="000000" w:sz="4" w:space="0"/>
              <w:right w:val="single" w:color="000000" w:sz="4" w:space="0"/>
            </w:tcBorders>
            <w:noWrap w:val="false"/>
            <w:vAlign w:val="center"/>
          </w:tcPr>
          <w:p w14:paraId="50124FB6">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false"/>
            <w:vAlign w:val="center"/>
          </w:tcPr>
          <w:p w14:paraId="2AE1EDB7">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false"/>
            <w:vAlign w:val="center"/>
          </w:tcPr>
          <w:p w14:paraId="707614AA">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小计</w:t>
            </w:r>
          </w:p>
        </w:tc>
        <w:tc>
          <w:tcPr>
            <w:tcW w:w="534" w:type="pct"/>
            <w:gridSpan w:val="2"/>
            <w:vMerge w:val="restart"/>
            <w:tcBorders>
              <w:top w:val="nil"/>
              <w:left w:val="nil"/>
              <w:bottom w:val="single" w:color="000000" w:sz="4" w:space="0"/>
              <w:right w:val="single" w:color="000000" w:sz="4" w:space="0"/>
            </w:tcBorders>
            <w:noWrap w:val="false"/>
            <w:vAlign w:val="center"/>
          </w:tcPr>
          <w:p w14:paraId="27FE8751">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基本支出</w:t>
            </w:r>
          </w:p>
        </w:tc>
        <w:tc>
          <w:tcPr>
            <w:tcW w:w="546" w:type="pct"/>
            <w:vMerge w:val="restart"/>
            <w:tcBorders>
              <w:top w:val="nil"/>
              <w:left w:val="nil"/>
              <w:bottom w:val="single" w:color="000000" w:sz="4" w:space="0"/>
              <w:right w:val="single" w:color="000000" w:sz="4" w:space="0"/>
            </w:tcBorders>
            <w:noWrap w:val="false"/>
            <w:vAlign w:val="center"/>
          </w:tcPr>
          <w:p w14:paraId="62A42465">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项目支出</w:t>
            </w:r>
          </w:p>
        </w:tc>
        <w:tc>
          <w:tcPr>
            <w:tcW w:w="973" w:type="pct"/>
            <w:vMerge w:val="continue"/>
            <w:tcBorders>
              <w:left w:val="nil"/>
              <w:right w:val="single" w:color="000000" w:sz="4" w:space="0"/>
            </w:tcBorders>
            <w:noWrap w:val="false"/>
            <w:vAlign w:val="center"/>
          </w:tcPr>
          <w:p w14:paraId="08E01B2A">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合计</w:t>
            </w:r>
          </w:p>
          <w:p w14:paraId="259B30B2">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结转</w:t>
            </w:r>
          </w:p>
          <w:p w14:paraId="219C4548">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false"/>
            <w:vAlign w:val="center"/>
          </w:tcPr>
          <w:p w14:paraId="0FD2D9B0">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false"/>
            <w:vAlign w:val="center"/>
          </w:tcPr>
          <w:p w14:paraId="22D0721D">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false"/>
            <w:vAlign w:val="center"/>
          </w:tcPr>
          <w:p w14:paraId="4F7F6E63">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false"/>
            <w:vAlign w:val="center"/>
          </w:tcPr>
          <w:p w14:paraId="43B8F48D">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false"/>
            <w:vAlign w:val="center"/>
          </w:tcPr>
          <w:p w14:paraId="72C23BDF">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false"/>
            <w:vAlign w:val="center"/>
          </w:tcPr>
          <w:p w14:paraId="5058698C">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false"/>
            <w:vAlign w:val="center"/>
          </w:tcPr>
          <w:p w14:paraId="1413613D">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973" w:type="pct"/>
            <w:vMerge w:val="continue"/>
            <w:tcBorders>
              <w:left w:val="nil"/>
              <w:right w:val="single" w:color="000000" w:sz="4" w:space="0"/>
            </w:tcBorders>
            <w:noWrap w:val="false"/>
            <w:vAlign w:val="center"/>
          </w:tcPr>
          <w:p w14:paraId="23E14625">
            <w:pPr>
              <w:jc w:val="center"/>
              <w:rPr>
                <w:rFonts w:hint="eastAsia" w:ascii="方正仿宋_GB2312" w:hAnsi="方正仿宋_GB2312" w:eastAsia="方正仿宋_GB2312" w:cs="方正仿宋_GB2312"/>
                <w:i w:val="false"/>
                <w:iCs w:val="false"/>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false"/>
            <w:vAlign w:val="center"/>
          </w:tcPr>
          <w:p w14:paraId="53AC66D0">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false"/>
            <w:vAlign w:val="center"/>
          </w:tcPr>
          <w:p w14:paraId="04014D4F">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false"/>
            <w:vAlign w:val="center"/>
          </w:tcPr>
          <w:p w14:paraId="0C550A15">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false"/>
            <w:vAlign w:val="center"/>
          </w:tcPr>
          <w:p w14:paraId="561ECE8C">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false"/>
            <w:vAlign w:val="center"/>
          </w:tcPr>
          <w:p w14:paraId="2398154F">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false"/>
            <w:vAlign w:val="center"/>
          </w:tcPr>
          <w:p w14:paraId="4209B637">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false"/>
            <w:vAlign w:val="center"/>
          </w:tcPr>
          <w:p w14:paraId="19BACD2C">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false"/>
            <w:vAlign w:val="center"/>
          </w:tcPr>
          <w:p w14:paraId="2085DE76">
            <w:pPr>
              <w:jc w:val="center"/>
              <w:rPr>
                <w:rFonts w:hint="eastAsia" w:ascii="方正仿宋_GB2312" w:hAnsi="方正仿宋_GB2312" w:eastAsia="方正仿宋_GB2312" w:cs="方正仿宋_GB2312"/>
                <w:i w:val="false"/>
                <w:iCs w:val="false"/>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false"/>
            <w:vAlign w:val="center"/>
          </w:tcPr>
          <w:p w14:paraId="3A176FED">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20"/>
                <w:szCs w:val="20"/>
                <w:highlight w:val="none"/>
                <w:u w:val="none"/>
              </w:rPr>
            </w:pPr>
            <w:r>
              <w:rPr>
                <w:rFonts w:hint="default" w:ascii="Times New Roman" w:hAnsi="Times New Roman" w:eastAsia="方正仿宋_GB2312" w:cs="Times New Roman"/>
                <w:i w:val="false"/>
                <w:iCs w:val="false"/>
                <w:color w:val="000000"/>
                <w:kern w:val="0"/>
                <w:sz w:val="20"/>
                <w:szCs w:val="20"/>
                <w:highlight w:val="none"/>
                <w:u w:val="none"/>
                <w:lang w:val="en-US" w:eastAsia="zh-CN" w:bidi="ar"/>
              </w:rPr>
              <w:t/>
              <w:t>1</w:t>
            </w:r>
          </w:p>
        </w:tc>
        <w:tc>
          <w:tcPr>
            <w:tcW w:w="489" w:type="pct"/>
            <w:tcBorders>
              <w:top w:val="nil"/>
              <w:left w:val="nil"/>
              <w:bottom w:val="single" w:color="000000" w:sz="4" w:space="0"/>
              <w:right w:val="single" w:color="000000" w:sz="4" w:space="0"/>
            </w:tcBorders>
            <w:noWrap/>
            <w:vAlign w:val="center"/>
          </w:tcPr>
          <w:p w14:paraId="22EE390F">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20"/>
                <w:szCs w:val="20"/>
                <w:highlight w:val="none"/>
                <w:u w:val="none"/>
              </w:rPr>
            </w:pPr>
            <w:r>
              <w:rPr>
                <w:rFonts w:hint="default" w:ascii="Times New Roman" w:hAnsi="Times New Roman" w:eastAsia="方正仿宋_GB2312" w:cs="Times New Roman"/>
                <w:i w:val="false"/>
                <w:iCs w:val="false"/>
                <w:color w:val="000000"/>
                <w:kern w:val="0"/>
                <w:sz w:val="20"/>
                <w:szCs w:val="20"/>
                <w:highlight w:val="none"/>
                <w:u w:val="none"/>
                <w:lang w:val="en-US" w:eastAsia="zh-CN" w:bidi="ar"/>
              </w:rPr>
              <w:t/>
              <w:t>2</w:t>
            </w:r>
          </w:p>
        </w:tc>
        <w:tc>
          <w:tcPr>
            <w:tcW w:w="528" w:type="pct"/>
            <w:tcBorders>
              <w:top w:val="nil"/>
              <w:left w:val="nil"/>
              <w:bottom w:val="single" w:color="000000" w:sz="4" w:space="0"/>
              <w:right w:val="single" w:color="000000" w:sz="4" w:space="0"/>
            </w:tcBorders>
            <w:noWrap/>
            <w:vAlign w:val="center"/>
          </w:tcPr>
          <w:p w14:paraId="09179A76">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20"/>
                <w:szCs w:val="20"/>
                <w:highlight w:val="none"/>
                <w:u w:val="none"/>
              </w:rPr>
            </w:pPr>
            <w:r>
              <w:rPr>
                <w:rFonts w:hint="default" w:ascii="Times New Roman" w:hAnsi="Times New Roman" w:eastAsia="方正仿宋_GB2312" w:cs="Times New Roman"/>
                <w:i w:val="false"/>
                <w:iCs w:val="false"/>
                <w:color w:val="000000"/>
                <w:kern w:val="0"/>
                <w:sz w:val="20"/>
                <w:szCs w:val="20"/>
                <w:highlight w:val="none"/>
                <w:u w:val="none"/>
                <w:lang w:val="en-US" w:eastAsia="zh-CN" w:bidi="ar"/>
              </w:rPr>
              <w:t/>
              <w:t>3</w:t>
            </w:r>
          </w:p>
        </w:tc>
        <w:tc>
          <w:tcPr>
            <w:tcW w:w="534" w:type="pct"/>
            <w:gridSpan w:val="2"/>
            <w:tcBorders>
              <w:top w:val="nil"/>
              <w:left w:val="nil"/>
              <w:bottom w:val="single" w:color="000000" w:sz="4" w:space="0"/>
              <w:right w:val="single" w:color="000000" w:sz="4" w:space="0"/>
            </w:tcBorders>
            <w:noWrap/>
            <w:vAlign w:val="center"/>
          </w:tcPr>
          <w:p w14:paraId="516DBD83">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20"/>
                <w:szCs w:val="20"/>
                <w:highlight w:val="none"/>
                <w:u w:val="none"/>
              </w:rPr>
            </w:pPr>
            <w:r>
              <w:rPr>
                <w:rFonts w:hint="default" w:ascii="Times New Roman" w:hAnsi="Times New Roman" w:eastAsia="方正仿宋_GB2312" w:cs="Times New Roman"/>
                <w:i w:val="false"/>
                <w:iCs w:val="false"/>
                <w:color w:val="000000"/>
                <w:kern w:val="0"/>
                <w:sz w:val="20"/>
                <w:szCs w:val="20"/>
                <w:highlight w:val="none"/>
                <w:u w:val="none"/>
                <w:lang w:val="en-US" w:eastAsia="zh-CN" w:bidi="ar"/>
              </w:rPr>
              <w:t/>
              <w:t>4</w:t>
            </w:r>
          </w:p>
        </w:tc>
        <w:tc>
          <w:tcPr>
            <w:tcW w:w="546" w:type="pct"/>
            <w:tcBorders>
              <w:top w:val="nil"/>
              <w:left w:val="nil"/>
              <w:bottom w:val="single" w:color="000000" w:sz="4" w:space="0"/>
              <w:right w:val="single" w:color="000000" w:sz="4" w:space="0"/>
            </w:tcBorders>
            <w:noWrap/>
            <w:vAlign w:val="center"/>
          </w:tcPr>
          <w:p w14:paraId="35B43383">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20"/>
                <w:szCs w:val="20"/>
                <w:highlight w:val="none"/>
                <w:u w:val="none"/>
              </w:rPr>
            </w:pPr>
            <w:r>
              <w:rPr>
                <w:rFonts w:hint="default" w:ascii="Times New Roman" w:hAnsi="Times New Roman" w:eastAsia="方正仿宋_GB2312" w:cs="Times New Roman"/>
                <w:i w:val="false"/>
                <w:iCs w:val="false"/>
                <w:color w:val="000000"/>
                <w:kern w:val="0"/>
                <w:sz w:val="20"/>
                <w:szCs w:val="20"/>
                <w:highlight w:val="none"/>
                <w:u w:val="none"/>
                <w:lang w:val="en-US" w:eastAsia="zh-CN" w:bidi="ar"/>
              </w:rPr>
              <w:t/>
              <w:t>5</w:t>
            </w:r>
          </w:p>
        </w:tc>
        <w:tc>
          <w:tcPr>
            <w:tcW w:w="973" w:type="pct"/>
            <w:tcBorders>
              <w:top w:val="nil"/>
              <w:left w:val="nil"/>
              <w:bottom w:val="single" w:color="000000" w:sz="4" w:space="0"/>
              <w:right w:val="single" w:color="000000" w:sz="4" w:space="0"/>
            </w:tcBorders>
            <w:noWrap/>
            <w:vAlign w:val="center"/>
          </w:tcPr>
          <w:p w14:paraId="52B1AE72">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20"/>
                <w:szCs w:val="20"/>
                <w:highlight w:val="none"/>
                <w:u w:val="none"/>
                <w:lang w:val="en-US" w:eastAsia="zh-CN"/>
              </w:rPr>
            </w:pPr>
            <w:r>
              <w:rPr>
                <w:rFonts w:hint="default" w:ascii="Times New Roman" w:hAnsi="Times New Roman" w:eastAsia="方正仿宋_GB2312" w:cs="Times New Roman"/>
                <w:i w:val="false"/>
                <w:iCs w:val="false"/>
                <w:color w:val="000000"/>
                <w:sz w:val="20"/>
                <w:szCs w:val="20"/>
                <w:highlight w:val="none"/>
                <w:u w:val="none"/>
                <w:lang w:val="en-US" w:eastAsia="zh-CN"/>
              </w:rPr>
              <w:t/>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false"/>
            <w:vAlign w:val="center"/>
          </w:tcPr>
          <w:p w14:paraId="53B6FC00">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br w:type="page"/>
            </w:r>
          </w:p>
        </w:tc>
      </w:tr>
    </w:tbl>
    <w:p w14:paraId="390B949B">
      <w:pPr>
        <w:keepNext w:val="false"/>
        <w:keepLines w:val="false"/>
        <w:pageBreakBefore w:val="false"/>
        <w:widowControl w:val="false"/>
        <w:kinsoku/>
        <w:wordWrap/>
        <w:overflowPunct/>
        <w:topLinePunct w:val="false"/>
        <w:autoSpaceDE/>
        <w:autoSpaceDN/>
        <w:bidi w:val="false"/>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5"/>
        <w:gridCol w:w="726"/>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0"/>
            <w:tcBorders>
              <w:top w:val="nil"/>
              <w:left w:val="nil"/>
              <w:bottom w:val="nil"/>
              <w:right w:val="nil"/>
            </w:tcBorders>
            <w:noWrap/>
            <w:vAlign w:val="bottom"/>
          </w:tcPr>
          <w:p w14:paraId="6120D892">
            <w:pPr>
              <w:keepNext w:val="false"/>
              <w:keepLines w:val="false"/>
              <w:widowControl/>
              <w:suppressLineNumbers w:val="false"/>
              <w:jc w:val="center"/>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b w:val="false"/>
                <w:bCs/>
                <w:color w:val="auto"/>
                <w:kern w:val="0"/>
                <w:sz w:val="32"/>
                <w:szCs w:val="32"/>
                <w:highlight w:val="none"/>
                <w:lang w:val="en-US" w:eastAsia="zh-CN"/>
              </w:rPr>
              <w:t/>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0"/>
            <w:tcBorders>
              <w:top w:val="nil"/>
              <w:left w:val="nil"/>
              <w:bottom w:val="nil"/>
              <w:right w:val="nil"/>
            </w:tcBorders>
            <w:noWrap/>
            <w:vAlign w:val="bottom"/>
          </w:tcPr>
          <w:p w14:paraId="70B9454C">
            <w:pPr>
              <w:keepNext w:val="false"/>
              <w:keepLines w:val="false"/>
              <w:widowControl/>
              <w:suppressLineNumbers w:val="false"/>
              <w:jc w:val="right"/>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公开</w:t>
            </w:r>
            <w:r>
              <w:rPr>
                <w:rFonts w:hint="default" w:ascii="Times New Roman" w:hAnsi="Times New Roman" w:eastAsia="方正仿宋_GB2312" w:cs="Times New Roman"/>
                <w:i w:val="false"/>
                <w:iCs w:val="false"/>
                <w:color w:val="000000"/>
                <w:kern w:val="0"/>
                <w:sz w:val="20"/>
                <w:szCs w:val="20"/>
                <w:highlight w:val="none"/>
                <w:u w:val="none"/>
                <w:lang w:val="en-US" w:eastAsia="zh-CN" w:bidi="ar"/>
              </w:rPr>
              <w:t/>
              <w:t>08</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3"/>
            <w:tcBorders>
              <w:top w:val="nil"/>
              <w:left w:val="nil"/>
              <w:bottom w:val="single" w:color="auto" w:sz="4" w:space="0"/>
              <w:right w:val="nil"/>
            </w:tcBorders>
            <w:noWrap/>
            <w:vAlign w:val="bottom"/>
          </w:tcPr>
          <w:p w14:paraId="26CB50F7">
            <w:pPr>
              <w:keepNext w:val="false"/>
              <w:keepLines w:val="false"/>
              <w:widowControl/>
              <w:suppressLineNumbers w:val="false"/>
              <w:jc w:val="both"/>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部门（单位）：石家庄市鹿泉区上寨乡人民政府(本级)</w:t>
            </w:r>
          </w:p>
        </w:tc>
        <w:tc>
          <w:tcPr>
            <w:tcW w:w="1421" w:type="pct"/>
            <w:gridSpan w:val="4"/>
            <w:tcBorders>
              <w:top w:val="nil"/>
              <w:left w:val="nil"/>
              <w:bottom w:val="single" w:color="auto" w:sz="4" w:space="0"/>
              <w:right w:val="nil"/>
            </w:tcBorders>
            <w:noWrap/>
            <w:vAlign w:val="bottom"/>
          </w:tcPr>
          <w:p w14:paraId="616B6621">
            <w:pPr>
              <w:keepNext w:val="false"/>
              <w:keepLines w:val="false"/>
              <w:widowControl/>
              <w:suppressLineNumbers w:val="false"/>
              <w:jc w:val="center"/>
              <w:textAlignment w:val="bottom"/>
              <w:rPr>
                <w:rFonts w:hint="default" w:ascii="宋体" w:hAnsi="宋体" w:eastAsia="宋体" w:cs="宋体"/>
                <w:i w:val="false"/>
                <w:iCs w:val="false"/>
                <w:color w:val="000000"/>
                <w:kern w:val="0"/>
                <w:sz w:val="20"/>
                <w:szCs w:val="20"/>
                <w:highlight w:val="none"/>
                <w:u w:val="none"/>
                <w:lang w:val="en-US" w:eastAsia="zh-CN" w:bidi="ar"/>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202</w:t>
            </w:r>
            <w:r>
              <w:rPr>
                <w:rFonts w:hint="eastAsia" w:ascii="Times New Roman" w:hAnsi="Times New Roman" w:eastAsia="宋体" w:cs="Times New Roman"/>
                <w:i w:val="false"/>
                <w:iCs w:val="false"/>
                <w:color w:val="000000"/>
                <w:kern w:val="0"/>
                <w:sz w:val="20"/>
                <w:szCs w:val="20"/>
                <w:highlight w:val="none"/>
                <w:u w:val="none"/>
                <w:lang w:val="en-US" w:eastAsia="zh-CN" w:bidi="ar"/>
              </w:rPr>
              <w:t/>
              <w:t>4</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年度</w:t>
            </w:r>
          </w:p>
        </w:tc>
        <w:tc>
          <w:tcPr>
            <w:tcW w:w="1603" w:type="pct"/>
            <w:gridSpan w:val="3"/>
            <w:tcBorders>
              <w:top w:val="nil"/>
              <w:left w:val="nil"/>
              <w:bottom w:val="single" w:color="auto" w:sz="4" w:space="0"/>
              <w:right w:val="nil"/>
            </w:tcBorders>
            <w:noWrap/>
            <w:vAlign w:val="bottom"/>
          </w:tcPr>
          <w:p w14:paraId="7F819FFC">
            <w:pPr>
              <w:keepNext w:val="false"/>
              <w:keepLines w:val="false"/>
              <w:widowControl/>
              <w:suppressLineNumbers w:val="false"/>
              <w:jc w:val="right"/>
              <w:textAlignment w:val="bottom"/>
              <w:rPr>
                <w:rFonts w:hint="default" w:ascii="宋体" w:hAnsi="宋体" w:eastAsia="宋体" w:cs="宋体"/>
                <w:i w:val="false"/>
                <w:iCs w:val="false"/>
                <w:color w:val="000000"/>
                <w:kern w:val="0"/>
                <w:sz w:val="20"/>
                <w:szCs w:val="20"/>
                <w:highlight w:val="none"/>
                <w:u w:val="none"/>
                <w:lang w:val="en-US" w:eastAsia="zh-CN" w:bidi="ar"/>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4"/>
            <w:vMerge w:val="restart"/>
            <w:tcBorders>
              <w:top w:val="single" w:color="auto" w:sz="4" w:space="0"/>
              <w:left w:val="single" w:color="auto" w:sz="4" w:space="0"/>
              <w:bottom w:val="single" w:color="auto" w:sz="4" w:space="0"/>
              <w:right w:val="single" w:color="auto" w:sz="4" w:space="0"/>
            </w:tcBorders>
            <w:noWrap w:val="false"/>
            <w:vAlign w:val="center"/>
          </w:tcPr>
          <w:p w14:paraId="5415D844">
            <w:pPr>
              <w:keepNext w:val="false"/>
              <w:keepLines w:val="false"/>
              <w:widowControl/>
              <w:suppressLineNumbers w:val="false"/>
              <w:jc w:val="center"/>
              <w:textAlignment w:val="center"/>
              <w:rPr>
                <w:rFonts w:hint="default"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xml:space="preserve"/>
              <w:t xml:space="preserve"> 项目</w:t>
            </w:r>
          </w:p>
        </w:tc>
        <w:tc>
          <w:tcPr>
            <w:tcW w:w="2337" w:type="pct"/>
            <w:gridSpan w:val="6"/>
            <w:vMerge w:val="restart"/>
            <w:tcBorders>
              <w:top w:val="single" w:color="auto" w:sz="4" w:space="0"/>
              <w:left w:val="single" w:color="auto" w:sz="4" w:space="0"/>
              <w:right w:val="single" w:color="000000" w:sz="4" w:space="0"/>
            </w:tcBorders>
            <w:noWrap w:val="false"/>
            <w:vAlign w:val="center"/>
          </w:tcPr>
          <w:p w14:paraId="2669862F">
            <w:pPr>
              <w:keepNext w:val="false"/>
              <w:keepLines w:val="false"/>
              <w:widowControl/>
              <w:suppressLineNumbers w:val="false"/>
              <w:jc w:val="center"/>
              <w:textAlignment w:val="center"/>
              <w:rPr>
                <w:rFonts w:hint="default"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4"/>
            <w:vMerge w:val="continue"/>
            <w:tcBorders>
              <w:top w:val="single" w:color="auto" w:sz="4" w:space="0"/>
              <w:left w:val="single" w:color="auto" w:sz="4" w:space="0"/>
              <w:bottom w:val="single" w:color="auto" w:sz="4" w:space="0"/>
              <w:right w:val="single" w:color="auto" w:sz="4" w:space="0"/>
            </w:tcBorders>
            <w:noWrap w:val="false"/>
            <w:vAlign w:val="center"/>
          </w:tcPr>
          <w:p w14:paraId="4640DBBD">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false"/>
            <w:vAlign w:val="center"/>
          </w:tcPr>
          <w:p w14:paraId="333C85BD">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false"/>
            <w:vAlign w:val="center"/>
          </w:tcPr>
          <w:p w14:paraId="30AF09EB">
            <w:pPr>
              <w:jc w:val="center"/>
              <w:rPr>
                <w:rFonts w:hint="default"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科目代码</w:t>
            </w:r>
          </w:p>
        </w:tc>
        <w:tc>
          <w:tcPr>
            <w:tcW w:w="1074" w:type="pct"/>
            <w:gridSpan w:val="3"/>
            <w:vMerge w:val="restart"/>
            <w:tcBorders>
              <w:top w:val="single" w:color="auto" w:sz="4" w:space="0"/>
              <w:left w:val="single" w:color="auto" w:sz="4" w:space="0"/>
              <w:bottom w:val="single" w:color="auto" w:sz="4" w:space="0"/>
              <w:right w:val="single" w:color="auto" w:sz="4" w:space="0"/>
            </w:tcBorders>
            <w:noWrap w:val="false"/>
            <w:vAlign w:val="center"/>
          </w:tcPr>
          <w:p w14:paraId="62D03734">
            <w:pPr>
              <w:jc w:val="center"/>
              <w:rPr>
                <w:rFonts w:hint="default"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科目名称</w:t>
            </w:r>
          </w:p>
        </w:tc>
        <w:tc>
          <w:tcPr>
            <w:tcW w:w="709" w:type="pct"/>
            <w:gridSpan w:val="2"/>
            <w:vMerge w:val="restart"/>
            <w:tcBorders>
              <w:top w:val="nil"/>
              <w:left w:val="single" w:color="auto" w:sz="4" w:space="0"/>
              <w:right w:val="single" w:color="000000" w:sz="4" w:space="0"/>
            </w:tcBorders>
            <w:noWrap w:val="false"/>
            <w:vAlign w:val="center"/>
          </w:tcPr>
          <w:p w14:paraId="27C542AE">
            <w:pPr>
              <w:jc w:val="center"/>
              <w:rPr>
                <w:rFonts w:hint="eastAsia"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合计</w:t>
            </w:r>
          </w:p>
        </w:tc>
        <w:tc>
          <w:tcPr>
            <w:tcW w:w="709" w:type="pct"/>
            <w:gridSpan w:val="3"/>
            <w:vMerge w:val="restart"/>
            <w:tcBorders>
              <w:top w:val="nil"/>
              <w:left w:val="nil"/>
              <w:right w:val="single" w:color="000000" w:sz="4" w:space="0"/>
            </w:tcBorders>
            <w:noWrap w:val="false"/>
            <w:vAlign w:val="center"/>
          </w:tcPr>
          <w:p w14:paraId="1DFC0105">
            <w:pPr>
              <w:jc w:val="center"/>
              <w:rPr>
                <w:rFonts w:hint="default"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基本支出</w:t>
            </w:r>
          </w:p>
        </w:tc>
        <w:tc>
          <w:tcPr>
            <w:tcW w:w="919" w:type="pct"/>
            <w:vMerge w:val="restart"/>
            <w:tcBorders>
              <w:top w:val="nil"/>
              <w:left w:val="nil"/>
              <w:right w:val="single" w:color="000000" w:sz="4" w:space="0"/>
            </w:tcBorders>
            <w:noWrap w:val="false"/>
            <w:vAlign w:val="center"/>
          </w:tcPr>
          <w:p w14:paraId="3F171B63">
            <w:pPr>
              <w:jc w:val="center"/>
              <w:rPr>
                <w:rFonts w:hint="default"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false"/>
            <w:vAlign w:val="center"/>
          </w:tcPr>
          <w:p w14:paraId="562E7320">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1074" w:type="pct"/>
            <w:gridSpan w:val="3"/>
            <w:vMerge w:val="continue"/>
            <w:tcBorders>
              <w:top w:val="single" w:color="auto" w:sz="4" w:space="0"/>
              <w:left w:val="nil"/>
              <w:bottom w:val="single" w:color="auto" w:sz="4" w:space="0"/>
              <w:right w:val="single" w:color="auto" w:sz="4" w:space="0"/>
            </w:tcBorders>
            <w:noWrap w:val="false"/>
            <w:vAlign w:val="center"/>
          </w:tcPr>
          <w:p w14:paraId="6B03F0CB">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false"/>
            <w:vAlign w:val="center"/>
          </w:tcPr>
          <w:p w14:paraId="00919C0A">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false"/>
            <w:vAlign w:val="center"/>
          </w:tcPr>
          <w:p w14:paraId="7B4E4AF5">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false"/>
            <w:vAlign w:val="center"/>
          </w:tcPr>
          <w:p w14:paraId="6EFCB925">
            <w:pPr>
              <w:jc w:val="center"/>
              <w:rPr>
                <w:rFonts w:hint="eastAsia" w:ascii="方正仿宋_GB2312" w:hAnsi="方正仿宋_GB2312" w:eastAsia="方正仿宋_GB2312" w:cs="方正仿宋_GB2312"/>
                <w:i w:val="false"/>
                <w:iCs w:val="false"/>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4"/>
            <w:tcBorders>
              <w:top w:val="single" w:color="auto" w:sz="4" w:space="0"/>
              <w:left w:val="single" w:color="auto" w:sz="4" w:space="0"/>
              <w:bottom w:val="single" w:color="000000" w:sz="4" w:space="0"/>
              <w:right w:val="single" w:color="auto" w:sz="4" w:space="0"/>
            </w:tcBorders>
            <w:noWrap/>
            <w:vAlign w:val="center"/>
          </w:tcPr>
          <w:p w14:paraId="2C72D919">
            <w:pPr>
              <w:keepNext w:val="false"/>
              <w:keepLines w:val="false"/>
              <w:widowControl/>
              <w:suppressLineNumbers w:val="false"/>
              <w:jc w:val="center"/>
              <w:textAlignment w:val="center"/>
              <w:rPr>
                <w:rFonts w:hint="eastAsia" w:ascii="Times New Roman" w:hAnsi="Times New Roman" w:eastAsia="方正仿宋_GB2312" w:cs="Times New Roman"/>
                <w:i w:val="false"/>
                <w:iCs w:val="false"/>
                <w:color w:val="000000"/>
                <w:sz w:val="20"/>
                <w:szCs w:val="20"/>
                <w:highlight w:val="none"/>
                <w:u w:val="none"/>
                <w:lang w:val="en-US" w:eastAsia="zh-CN"/>
              </w:rPr>
            </w:pPr>
            <w:r>
              <w:rPr>
                <w:rFonts w:hint="eastAsia" w:ascii="Times New Roman" w:hAnsi="Times New Roman" w:eastAsia="方正仿宋_GB2312" w:cs="Times New Roman"/>
                <w:i w:val="false"/>
                <w:iCs w:val="false"/>
                <w:color w:val="000000"/>
                <w:sz w:val="20"/>
                <w:szCs w:val="20"/>
                <w:highlight w:val="none"/>
                <w:u w:val="none"/>
                <w:lang w:val="en-US" w:eastAsia="zh-CN"/>
              </w:rPr>
              <w:t/>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false"/>
              <w:keepLines w:val="false"/>
              <w:widowControl/>
              <w:suppressLineNumbers w:val="false"/>
              <w:jc w:val="center"/>
              <w:textAlignment w:val="center"/>
              <w:rPr>
                <w:rFonts w:hint="eastAsia" w:ascii="Times New Roman" w:hAnsi="Times New Roman" w:eastAsia="方正仿宋_GB2312" w:cs="Times New Roman"/>
                <w:i w:val="false"/>
                <w:iCs w:val="false"/>
                <w:color w:val="000000"/>
                <w:sz w:val="20"/>
                <w:szCs w:val="20"/>
                <w:highlight w:val="none"/>
                <w:u w:val="none"/>
                <w:lang w:val="en-US" w:eastAsia="zh-CN"/>
              </w:rPr>
            </w:pPr>
            <w:r>
              <w:rPr>
                <w:rFonts w:hint="eastAsia" w:ascii="Times New Roman" w:hAnsi="Times New Roman" w:eastAsia="方正仿宋_GB2312" w:cs="Times New Roman"/>
                <w:i w:val="false"/>
                <w:iCs w:val="false"/>
                <w:color w:val="000000"/>
                <w:sz w:val="20"/>
                <w:szCs w:val="20"/>
                <w:highlight w:val="none"/>
                <w:u w:val="none"/>
                <w:lang w:val="en-US" w:eastAsia="zh-CN"/>
              </w:rPr>
              <w:t/>
              <w:t>1</w:t>
            </w:r>
          </w:p>
        </w:tc>
        <w:tc>
          <w:tcPr>
            <w:tcW w:w="706" w:type="pct"/>
            <w:gridSpan w:val="3"/>
            <w:tcBorders>
              <w:top w:val="nil"/>
              <w:left w:val="nil"/>
              <w:bottom w:val="single" w:color="000000" w:sz="4" w:space="0"/>
              <w:right w:val="single" w:color="000000" w:sz="4" w:space="0"/>
            </w:tcBorders>
            <w:noWrap/>
            <w:vAlign w:val="center"/>
          </w:tcPr>
          <w:p w14:paraId="605ACA55">
            <w:pPr>
              <w:keepNext w:val="false"/>
              <w:keepLines w:val="false"/>
              <w:widowControl/>
              <w:suppressLineNumbers w:val="false"/>
              <w:jc w:val="center"/>
              <w:textAlignment w:val="center"/>
              <w:rPr>
                <w:rFonts w:hint="eastAsia" w:ascii="Times New Roman" w:hAnsi="Times New Roman" w:eastAsia="方正仿宋_GB2312" w:cs="Times New Roman"/>
                <w:i w:val="false"/>
                <w:iCs w:val="false"/>
                <w:color w:val="000000"/>
                <w:sz w:val="20"/>
                <w:szCs w:val="20"/>
                <w:highlight w:val="none"/>
                <w:u w:val="none"/>
                <w:lang w:val="en-US" w:eastAsia="zh-CN"/>
              </w:rPr>
            </w:pPr>
            <w:r>
              <w:rPr>
                <w:rFonts w:hint="eastAsia" w:ascii="Times New Roman" w:hAnsi="Times New Roman" w:eastAsia="方正仿宋_GB2312" w:cs="Times New Roman"/>
                <w:i w:val="false"/>
                <w:iCs w:val="false"/>
                <w:color w:val="000000"/>
                <w:sz w:val="20"/>
                <w:szCs w:val="20"/>
                <w:highlight w:val="none"/>
                <w:u w:val="none"/>
                <w:lang w:val="en-US" w:eastAsia="zh-CN"/>
              </w:rPr>
              <w:t/>
              <w:t>2</w:t>
            </w:r>
          </w:p>
        </w:tc>
        <w:tc>
          <w:tcPr>
            <w:tcW w:w="924" w:type="pct"/>
            <w:gridSpan w:val="2"/>
            <w:tcBorders>
              <w:top w:val="nil"/>
              <w:left w:val="nil"/>
              <w:bottom w:val="single" w:color="000000" w:sz="4" w:space="0"/>
              <w:right w:val="single" w:color="000000" w:sz="4" w:space="0"/>
            </w:tcBorders>
            <w:noWrap/>
            <w:vAlign w:val="center"/>
          </w:tcPr>
          <w:p w14:paraId="4F242353">
            <w:pPr>
              <w:keepNext w:val="false"/>
              <w:keepLines w:val="false"/>
              <w:widowControl/>
              <w:suppressLineNumbers w:val="false"/>
              <w:jc w:val="center"/>
              <w:textAlignment w:val="center"/>
              <w:rPr>
                <w:rFonts w:hint="eastAsia" w:ascii="Times New Roman" w:hAnsi="Times New Roman" w:eastAsia="方正仿宋_GB2312" w:cs="Times New Roman"/>
                <w:i w:val="false"/>
                <w:iCs w:val="false"/>
                <w:color w:val="000000"/>
                <w:sz w:val="20"/>
                <w:szCs w:val="20"/>
                <w:highlight w:val="none"/>
                <w:u w:val="none"/>
                <w:lang w:val="en-US" w:eastAsia="zh-CN"/>
              </w:rPr>
            </w:pPr>
            <w:r>
              <w:rPr>
                <w:rFonts w:hint="eastAsia" w:ascii="Times New Roman" w:hAnsi="Times New Roman" w:eastAsia="方正仿宋_GB2312" w:cs="Times New Roman"/>
                <w:i w:val="false"/>
                <w:iCs w:val="false"/>
                <w:color w:val="000000"/>
                <w:sz w:val="20"/>
                <w:szCs w:val="20"/>
                <w:highlight w:val="none"/>
                <w:u w:val="none"/>
                <w:lang w:val="en-US" w:eastAsia="zh-CN"/>
              </w:rPr>
              <w:t/>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4"/>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false"/>
                <w:iCs w:val="false"/>
                <w:color w:val="000000"/>
                <w:sz w:val="20"/>
                <w:szCs w:val="20"/>
                <w:highlight w:val="none"/>
                <w:u w:val="none"/>
                <w:lang w:val="en-US" w:eastAsia="zh-CN"/>
              </w:rPr>
            </w:pPr>
            <w:r>
              <w:rPr>
                <w:rFonts w:hint="eastAsia" w:ascii="Times New Roman" w:hAnsi="Times New Roman" w:eastAsia="方正仿宋_GB2312" w:cs="Times New Roman"/>
                <w:i w:val="false"/>
                <w:iCs w:val="false"/>
                <w:color w:val="000000"/>
                <w:sz w:val="20"/>
                <w:szCs w:val="20"/>
                <w:highlight w:val="none"/>
                <w:u w:val="none"/>
                <w:lang w:val="en-US" w:eastAsia="zh-CN"/>
              </w:rPr>
              <w:t/>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0"/>
            <w:tcBorders>
              <w:top w:val="nil"/>
              <w:left w:val="nil"/>
              <w:bottom w:val="nil"/>
              <w:right w:val="nil"/>
            </w:tcBorders>
            <w:noWrap/>
            <w:vAlign w:val="center"/>
          </w:tcPr>
          <w:p w14:paraId="01BC9E67">
            <w:pPr>
              <w:keepNext w:val="false"/>
              <w:keepLines w:val="false"/>
              <w:widowControl/>
              <w:suppressLineNumbers w:val="false"/>
              <w:jc w:val="left"/>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注：本表反映部门本年度国有资本经营预算财政拨款支出情况。（如无相关数据，则需注明空表列示）</w:t>
            </w:r>
          </w:p>
        </w:tc>
      </w:tr>
    </w:tbl>
    <w:p w14:paraId="313A4E16">
      <w:pPr>
        <w:keepNext w:val="false"/>
        <w:keepLines w:val="false"/>
        <w:pageBreakBefore w:val="false"/>
        <w:widowControl w:val="false"/>
        <w:kinsoku/>
        <w:wordWrap/>
        <w:overflowPunct/>
        <w:topLinePunct w:val="false"/>
        <w:autoSpaceDE/>
        <w:autoSpaceDN/>
        <w:bidi w:val="false"/>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false"/>
              <w:keepLines w:val="false"/>
              <w:widowControl/>
              <w:suppressLineNumbers w:val="false"/>
              <w:jc w:val="center"/>
              <w:textAlignment w:val="bottom"/>
              <w:rPr>
                <w:rFonts w:hint="eastAsia" w:ascii="宋体" w:hAnsi="宋体" w:eastAsia="宋体" w:cs="宋体"/>
                <w:i w:val="false"/>
                <w:iCs w:val="false"/>
                <w:color w:val="000000"/>
                <w:sz w:val="18"/>
                <w:szCs w:val="18"/>
                <w:highlight w:val="none"/>
                <w:u w:val="none"/>
              </w:rPr>
            </w:pPr>
            <w:r>
              <w:rPr>
                <w:rFonts w:hint="eastAsia" w:ascii="方正仿宋_GB2312" w:hAnsi="方正仿宋_GB2312" w:eastAsia="方正仿宋_GB2312" w:cs="方正仿宋_GB2312"/>
                <w:b w:val="false"/>
                <w:bCs/>
                <w:color w:val="auto"/>
                <w:kern w:val="0"/>
                <w:sz w:val="32"/>
                <w:szCs w:val="32"/>
                <w:highlight w:val="none"/>
                <w:lang w:val="en-US" w:eastAsia="zh-CN"/>
              </w:rPr>
              <w:t/>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false"/>
              <w:keepLines w:val="false"/>
              <w:widowControl/>
              <w:suppressLineNumbers w:val="false"/>
              <w:jc w:val="right"/>
              <w:textAlignment w:val="bottom"/>
              <w:rPr>
                <w:rFonts w:hint="eastAsia" w:ascii="宋体" w:hAnsi="宋体" w:eastAsia="宋体" w:cs="宋体"/>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公开</w:t>
            </w: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09</w:t>
            </w: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false"/>
              <w:keepLines w:val="false"/>
              <w:widowControl/>
              <w:suppressLineNumbers w:val="false"/>
              <w:jc w:val="left"/>
              <w:textAlignment w:val="bottom"/>
              <w:rPr>
                <w:rFonts w:hint="eastAsia" w:ascii="宋体" w:hAnsi="宋体" w:eastAsia="宋体" w:cs="宋体"/>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部门（单位）：石家庄市鹿泉区上寨乡人民政府(本级)</w:t>
            </w:r>
          </w:p>
        </w:tc>
        <w:tc>
          <w:tcPr>
            <w:tcW w:w="933" w:type="pct"/>
            <w:gridSpan w:val="3"/>
            <w:tcBorders>
              <w:top w:val="nil"/>
              <w:left w:val="nil"/>
              <w:bottom w:val="single" w:color="auto" w:sz="4" w:space="0"/>
              <w:right w:val="nil"/>
            </w:tcBorders>
            <w:noWrap/>
            <w:vAlign w:val="bottom"/>
          </w:tcPr>
          <w:p w14:paraId="701DA5D1">
            <w:pPr>
              <w:keepNext w:val="false"/>
              <w:keepLines w:val="false"/>
              <w:widowControl/>
              <w:suppressLineNumbers w:val="false"/>
              <w:jc w:val="center"/>
              <w:textAlignment w:val="bottom"/>
              <w:rPr>
                <w:rFonts w:hint="default" w:ascii="宋体" w:hAnsi="宋体" w:eastAsia="宋体" w:cs="宋体"/>
                <w:i w:val="false"/>
                <w:iCs w:val="false"/>
                <w:color w:val="000000"/>
                <w:kern w:val="0"/>
                <w:sz w:val="18"/>
                <w:szCs w:val="18"/>
                <w:highlight w:val="none"/>
                <w:u w:val="none"/>
                <w:lang w:val="en-US" w:eastAsia="zh-CN" w:bidi="ar"/>
              </w:rPr>
            </w:pPr>
            <w:r>
              <w:rPr>
                <w:rFonts w:hint="default" w:ascii="Times New Roman" w:hAnsi="Times New Roman" w:eastAsia="宋体" w:cs="Times New Roman"/>
                <w:i w:val="false"/>
                <w:iCs w:val="false"/>
                <w:color w:val="000000"/>
                <w:kern w:val="0"/>
                <w:sz w:val="18"/>
                <w:szCs w:val="18"/>
                <w:highlight w:val="none"/>
                <w:u w:val="none"/>
                <w:lang w:val="en-US" w:eastAsia="zh-CN" w:bidi="ar"/>
              </w:rPr>
              <w:t/>
              <w:t>202</w:t>
            </w:r>
            <w:r>
              <w:rPr>
                <w:rFonts w:hint="eastAsia" w:ascii="Times New Roman" w:hAnsi="Times New Roman" w:eastAsia="宋体" w:cs="Times New Roman"/>
                <w:i w:val="false"/>
                <w:iCs w:val="false"/>
                <w:color w:val="000000"/>
                <w:kern w:val="0"/>
                <w:sz w:val="18"/>
                <w:szCs w:val="18"/>
                <w:highlight w:val="none"/>
                <w:u w:val="none"/>
                <w:lang w:val="en-US" w:eastAsia="zh-CN" w:bidi="ar"/>
              </w:rPr>
              <w:t/>
              <w:t>4</w:t>
            </w: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年度</w:t>
            </w:r>
          </w:p>
        </w:tc>
        <w:tc>
          <w:tcPr>
            <w:tcW w:w="2129" w:type="pct"/>
            <w:gridSpan w:val="6"/>
            <w:tcBorders>
              <w:top w:val="nil"/>
              <w:left w:val="nil"/>
              <w:bottom w:val="single" w:color="auto" w:sz="4" w:space="0"/>
              <w:right w:val="nil"/>
            </w:tcBorders>
            <w:noWrap/>
            <w:vAlign w:val="bottom"/>
          </w:tcPr>
          <w:p w14:paraId="4C27C4B7">
            <w:pPr>
              <w:keepNext w:val="false"/>
              <w:keepLines w:val="false"/>
              <w:widowControl/>
              <w:suppressLineNumbers w:val="false"/>
              <w:jc w:val="right"/>
              <w:textAlignment w:val="bottom"/>
              <w:rPr>
                <w:rFonts w:hint="default" w:ascii="宋体" w:hAnsi="宋体" w:eastAsia="宋体" w:cs="宋体"/>
                <w:i w:val="false"/>
                <w:iCs w:val="false"/>
                <w:color w:val="000000"/>
                <w:kern w:val="0"/>
                <w:sz w:val="18"/>
                <w:szCs w:val="18"/>
                <w:highlight w:val="none"/>
                <w:u w:val="none"/>
                <w:lang w:val="en-US" w:eastAsia="zh-CN" w:bidi="ar"/>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false"/>
                <w:iCs w:val="false"/>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false"/>
                <w:iCs w:val="false"/>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小计</w:t>
            </w:r>
          </w:p>
        </w:tc>
        <w:tc>
          <w:tcPr>
            <w:tcW w:w="407" w:type="pct"/>
            <w:tcBorders>
              <w:top w:val="nil"/>
              <w:left w:val="nil"/>
              <w:bottom w:val="single" w:color="000000" w:sz="4" w:space="0"/>
              <w:right w:val="single" w:color="000000" w:sz="4" w:space="0"/>
            </w:tcBorders>
            <w:noWrap/>
            <w:vAlign w:val="center"/>
          </w:tcPr>
          <w:p w14:paraId="1DC6F5F6">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false"/>
                <w:iCs w:val="false"/>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false"/>
                <w:iCs w:val="false"/>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false"/>
                <w:iCs w:val="false"/>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小计</w:t>
            </w:r>
          </w:p>
        </w:tc>
        <w:tc>
          <w:tcPr>
            <w:tcW w:w="442" w:type="pct"/>
            <w:tcBorders>
              <w:top w:val="nil"/>
              <w:left w:val="nil"/>
              <w:bottom w:val="single" w:color="000000" w:sz="4" w:space="0"/>
              <w:right w:val="single" w:color="000000" w:sz="4" w:space="0"/>
            </w:tcBorders>
            <w:noWrap/>
            <w:vAlign w:val="center"/>
          </w:tcPr>
          <w:p w14:paraId="352B57B3">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公务用车购置费</w:t>
            </w:r>
          </w:p>
        </w:tc>
        <w:tc>
          <w:tcPr>
            <w:tcW w:w="407" w:type="pct"/>
            <w:tcBorders>
              <w:top w:val="nil"/>
              <w:left w:val="nil"/>
              <w:bottom w:val="single" w:color="000000" w:sz="4" w:space="0"/>
              <w:right w:val="single" w:color="000000" w:sz="4" w:space="0"/>
            </w:tcBorders>
            <w:noWrap/>
            <w:vAlign w:val="center"/>
          </w:tcPr>
          <w:p w14:paraId="725924BC">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false"/>
                <w:iCs w:val="false"/>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1</w:t>
            </w:r>
          </w:p>
        </w:tc>
        <w:tc>
          <w:tcPr>
            <w:tcW w:w="528" w:type="pct"/>
            <w:tcBorders>
              <w:top w:val="nil"/>
              <w:left w:val="nil"/>
              <w:bottom w:val="single" w:color="000000" w:sz="4" w:space="0"/>
              <w:right w:val="single" w:color="000000" w:sz="4" w:space="0"/>
            </w:tcBorders>
            <w:noWrap/>
            <w:vAlign w:val="center"/>
          </w:tcPr>
          <w:p w14:paraId="2986BC07">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2</w:t>
            </w:r>
          </w:p>
        </w:tc>
        <w:tc>
          <w:tcPr>
            <w:tcW w:w="350" w:type="pct"/>
            <w:tcBorders>
              <w:top w:val="nil"/>
              <w:left w:val="nil"/>
              <w:bottom w:val="single" w:color="000000" w:sz="4" w:space="0"/>
              <w:right w:val="single" w:color="000000" w:sz="4" w:space="0"/>
            </w:tcBorders>
            <w:noWrap/>
            <w:vAlign w:val="center"/>
          </w:tcPr>
          <w:p w14:paraId="2C2E8200">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3</w:t>
            </w:r>
          </w:p>
        </w:tc>
        <w:tc>
          <w:tcPr>
            <w:tcW w:w="407" w:type="pct"/>
            <w:tcBorders>
              <w:top w:val="nil"/>
              <w:left w:val="nil"/>
              <w:bottom w:val="single" w:color="000000" w:sz="4" w:space="0"/>
              <w:right w:val="single" w:color="000000" w:sz="4" w:space="0"/>
            </w:tcBorders>
            <w:noWrap/>
            <w:vAlign w:val="center"/>
          </w:tcPr>
          <w:p w14:paraId="70BF42D6">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4</w:t>
            </w:r>
          </w:p>
        </w:tc>
        <w:tc>
          <w:tcPr>
            <w:tcW w:w="458" w:type="pct"/>
            <w:gridSpan w:val="2"/>
            <w:tcBorders>
              <w:top w:val="nil"/>
              <w:left w:val="nil"/>
              <w:bottom w:val="single" w:color="000000" w:sz="4" w:space="0"/>
              <w:right w:val="single" w:color="000000" w:sz="4" w:space="0"/>
            </w:tcBorders>
            <w:noWrap/>
            <w:vAlign w:val="center"/>
          </w:tcPr>
          <w:p w14:paraId="4C03B626">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5</w:t>
            </w:r>
          </w:p>
        </w:tc>
        <w:tc>
          <w:tcPr>
            <w:tcW w:w="335" w:type="pct"/>
            <w:tcBorders>
              <w:top w:val="nil"/>
              <w:left w:val="nil"/>
              <w:bottom w:val="single" w:color="000000" w:sz="4" w:space="0"/>
              <w:right w:val="single" w:color="000000" w:sz="4" w:space="0"/>
            </w:tcBorders>
            <w:noWrap/>
            <w:vAlign w:val="center"/>
          </w:tcPr>
          <w:p w14:paraId="47A5FB8A">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6</w:t>
            </w:r>
          </w:p>
        </w:tc>
        <w:tc>
          <w:tcPr>
            <w:tcW w:w="366" w:type="pct"/>
            <w:gridSpan w:val="2"/>
            <w:tcBorders>
              <w:top w:val="nil"/>
              <w:left w:val="nil"/>
              <w:bottom w:val="single" w:color="000000" w:sz="4" w:space="0"/>
              <w:right w:val="single" w:color="000000" w:sz="4" w:space="0"/>
            </w:tcBorders>
            <w:noWrap/>
            <w:vAlign w:val="center"/>
          </w:tcPr>
          <w:p w14:paraId="3A93ED48">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7</w:t>
            </w:r>
          </w:p>
        </w:tc>
        <w:tc>
          <w:tcPr>
            <w:tcW w:w="488" w:type="pct"/>
            <w:tcBorders>
              <w:top w:val="nil"/>
              <w:left w:val="nil"/>
              <w:bottom w:val="single" w:color="000000" w:sz="4" w:space="0"/>
              <w:right w:val="single" w:color="000000" w:sz="4" w:space="0"/>
            </w:tcBorders>
            <w:noWrap/>
            <w:vAlign w:val="center"/>
          </w:tcPr>
          <w:p w14:paraId="53F97F3B">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8</w:t>
            </w:r>
          </w:p>
        </w:tc>
        <w:tc>
          <w:tcPr>
            <w:tcW w:w="275" w:type="pct"/>
            <w:tcBorders>
              <w:top w:val="nil"/>
              <w:left w:val="nil"/>
              <w:bottom w:val="single" w:color="000000" w:sz="4" w:space="0"/>
              <w:right w:val="single" w:color="000000" w:sz="4" w:space="0"/>
            </w:tcBorders>
            <w:noWrap/>
            <w:vAlign w:val="center"/>
          </w:tcPr>
          <w:p w14:paraId="6D82C27A">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9</w:t>
            </w:r>
          </w:p>
        </w:tc>
        <w:tc>
          <w:tcPr>
            <w:tcW w:w="442" w:type="pct"/>
            <w:tcBorders>
              <w:top w:val="nil"/>
              <w:left w:val="nil"/>
              <w:bottom w:val="single" w:color="000000" w:sz="4" w:space="0"/>
              <w:right w:val="single" w:color="000000" w:sz="4" w:space="0"/>
            </w:tcBorders>
            <w:noWrap/>
            <w:vAlign w:val="center"/>
          </w:tcPr>
          <w:p w14:paraId="0C7ACD5F">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10</w:t>
            </w:r>
          </w:p>
        </w:tc>
        <w:tc>
          <w:tcPr>
            <w:tcW w:w="407" w:type="pct"/>
            <w:tcBorders>
              <w:top w:val="nil"/>
              <w:left w:val="nil"/>
              <w:bottom w:val="single" w:color="000000" w:sz="4" w:space="0"/>
              <w:right w:val="single" w:color="000000" w:sz="4" w:space="0"/>
            </w:tcBorders>
            <w:noWrap/>
            <w:vAlign w:val="center"/>
          </w:tcPr>
          <w:p w14:paraId="21B8D2D0">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11</w:t>
            </w:r>
          </w:p>
        </w:tc>
        <w:tc>
          <w:tcPr>
            <w:tcW w:w="511" w:type="pct"/>
            <w:tcBorders>
              <w:top w:val="nil"/>
              <w:left w:val="nil"/>
              <w:bottom w:val="single" w:color="000000" w:sz="4" w:space="0"/>
              <w:right w:val="single" w:color="000000" w:sz="4" w:space="0"/>
            </w:tcBorders>
            <w:noWrap/>
            <w:vAlign w:val="center"/>
          </w:tcPr>
          <w:p w14:paraId="58EBCB0B">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5.40</w:t>
            </w: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
            </w: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5.40</w:t>
            </w: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
            </w: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5.40</w:t>
            </w: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
            </w: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5.40</w:t>
            </w: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
            </w: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5.40</w:t>
            </w: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
            </w: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5.40</w:t>
            </w: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
            </w: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false"/>
              <w:keepLines w:val="false"/>
              <w:widowControl/>
              <w:suppressLineNumbers w:val="false"/>
              <w:jc w:val="left"/>
              <w:textAlignment w:val="center"/>
              <w:rPr>
                <w:rFonts w:hint="eastAsia" w:ascii="宋体" w:hAnsi="宋体" w:eastAsia="宋体" w:cs="宋体"/>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895B326">
      <w:pPr>
        <w:keepNext w:val="false"/>
        <w:keepLines w:val="false"/>
        <w:pageBreakBefore w:val="false"/>
        <w:widowControl w:val="false"/>
        <w:kinsoku/>
        <w:wordWrap/>
        <w:overflowPunct/>
        <w:topLinePunct w:val="false"/>
        <w:autoSpaceDE/>
        <w:autoSpaceDN/>
        <w:bidi w:val="false"/>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false"/>
        <w:keepLines w:val="false"/>
        <w:pageBreakBefore w:val="false"/>
        <w:widowControl w:val="false"/>
        <w:kinsoku/>
        <w:wordWrap/>
        <w:overflowPunct/>
        <w:topLinePunct w:val="false"/>
        <w:autoSpaceDE/>
        <w:autoSpaceDN/>
        <w:bidi w:val="false"/>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w:type="default" r:id="rId8"/>
          <w:footerReference w:type="default" r:id="rId21"/>
          <w:pgSz w:w="11906" w:h="16838"/>
          <w:pgMar w:top="1531" w:right="1984" w:bottom="1531" w:left="2098" w:header="851" w:footer="992" w:gutter="0"/>
          <w:pgBorders>
            <w:top w:val="none" w:sz="0" w:space="0"/>
            <w:left w:val="none" w:sz="0" w:space="0"/>
            <w:bottom w:val="none" w:sz="0" w:space="0"/>
            <w:right w:val="none" w:sz="0" w:space="0"/>
          </w:pgBorders>
          <w:pgNumType/>
          <w:cols w:space="720" w:num="1"/>
          <w:docGrid w:type="lines" w:linePitch="312" w:charSpace="0"/>
        </w:sectPr>
      </w:pPr>
    </w:p>
    <w:p>
      <w:pPr>
        <w:widowControl w:val="true"/>
        <w:spacing w:before="0" w:beforeLines="0" w:beforeAutospacing="false" w:after="0" w:afterLines="0" w:afterAutospacing="false" w:line="360" w:lineRule="auto"/>
        <w:ind/>
        <w:jc w:val="center"/>
        <w:outlineLvl w:val="0"/>
        <w:rPr>
          <w:rFonts w:ascii="Times New Roman" w:eastAsia="黑体"/>
          <w:sz w:val="44"/>
          <w:szCs w:val="44"/>
        </w:rPr>
      </w:pPr>
      <w:r>
        <w:rPr>
          <w:rFonts w:ascii="Times New Roman" w:eastAsia="黑体"/>
          <w:b w:val="false"/>
          <w:sz w:val="44"/>
          <w:szCs w:val="44"/>
        </w:rPr>
        <w:t>第三部分   </w:t>
      </w:r>
      <w:r>
        <w:rPr>
          <w:rFonts w:ascii="Times New Roman" w:eastAsia="仿宋_GB2312"/>
          <w:b w:val="false"/>
          <w:sz w:val="44"/>
          <w:szCs w:val="44"/>
        </w:rPr>
        <w:t>2024</w:t>
      </w:r>
      <w:r>
        <w:rPr>
          <w:rFonts w:ascii="Times New Roman" w:eastAsia="黑体"/>
          <w:b w:val="false"/>
          <w:sz w:val="44"/>
          <w:szCs w:val="44"/>
        </w:rPr>
        <w:t>年度部门决算情况说明</w:t>
      </w:r>
    </w:p>
    <w:p>
      <w:pPr>
        <w:widowControl w:val="true"/>
        <w:spacing w:before="0" w:beforeLines="0" w:beforeAutospacing="false" w:after="0" w:afterLines="0" w:afterAutospacing="false" w:line="360" w:lineRule="auto"/>
        <w:ind/>
        <w:jc w:val="left"/>
        <w:outlineLvl w:val="1"/>
        <w:rPr>
          <w:rFonts w:ascii="Times New Roman" w:eastAsia="黑体"/>
          <w:sz w:val="32"/>
          <w:szCs w:val="32"/>
        </w:rPr>
      </w:pPr>
      <w:r>
        <w:rPr>
          <w:rFonts w:ascii="Times New Roman" w:eastAsia="黑体"/>
          <w:b w:val="false"/>
          <w:sz w:val="32"/>
          <w:szCs w:val="32"/>
        </w:rPr>
        <w:t>一、收入支出决算总体情况说明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本单位</w:t>
      </w:r>
      <w:r>
        <w:rPr>
          <w:rFonts w:ascii="Times New Roman" w:eastAsia="仿宋_GB2312"/>
          <w:b w:val="false"/>
          <w:sz w:val="32"/>
          <w:szCs w:val="32"/>
        </w:rPr>
        <w:t>2024</w:t>
      </w:r>
      <w:r>
        <w:rPr>
          <w:rFonts w:ascii="Times New Roman" w:eastAsia="仿宋_GB2312"/>
          <w:b w:val="false"/>
          <w:sz w:val="32"/>
          <w:szCs w:val="32"/>
        </w:rPr>
        <w:t>年度收、支总计（含结转和结余）均为</w:t>
      </w:r>
      <w:r>
        <w:rPr>
          <w:rFonts w:ascii="Times New Roman" w:eastAsia="仿宋_GB2312"/>
          <w:b w:val="false"/>
          <w:sz w:val="32"/>
          <w:szCs w:val="32"/>
        </w:rPr>
        <w:t>1,995.35</w:t>
      </w:r>
      <w:r>
        <w:rPr>
          <w:rFonts w:ascii="Times New Roman" w:eastAsia="仿宋_GB2312"/>
          <w:b w:val="false"/>
          <w:sz w:val="32"/>
          <w:szCs w:val="32"/>
        </w:rPr>
        <w:t>万元。与</w:t>
      </w:r>
      <w:r>
        <w:rPr>
          <w:rFonts w:ascii="Times New Roman" w:eastAsia="仿宋_GB2312"/>
          <w:b w:val="false"/>
          <w:sz w:val="32"/>
          <w:szCs w:val="32"/>
        </w:rPr>
        <w:t>2023</w:t>
      </w:r>
      <w:r>
        <w:rPr>
          <w:rFonts w:ascii="Times New Roman" w:eastAsia="仿宋_GB2312"/>
          <w:b w:val="false"/>
          <w:sz w:val="32"/>
          <w:szCs w:val="32"/>
        </w:rPr>
        <w:t>年度决算相比，收支各</w:t>
      </w:r>
      <w:r>
        <w:rPr>
          <w:rFonts w:ascii="Times New Roman" w:eastAsia="仿宋_GB2312"/>
          <w:b w:val="false"/>
          <w:sz w:val="32"/>
          <w:szCs w:val="32"/>
        </w:rPr>
        <w:t>增加</w:t>
      </w:r>
      <w:r>
        <w:rPr>
          <w:rFonts w:ascii="Times New Roman" w:eastAsia="仿宋_GB2312"/>
          <w:b w:val="false"/>
          <w:sz w:val="32"/>
          <w:szCs w:val="32"/>
        </w:rPr>
        <w:t>324.36</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19.4</w:t>
      </w:r>
      <w:r>
        <w:rPr>
          <w:rFonts w:ascii="Times New Roman" w:eastAsia="仿宋_GB2312"/>
          <w:b w:val="false"/>
          <w:sz w:val="32"/>
          <w:szCs w:val="32"/>
        </w:rPr>
        <w:t>%，主要原因是</w:t>
      </w:r>
      <w:r>
        <w:rPr>
          <w:rFonts w:ascii="Times New Roman" w:eastAsia="仿宋_GB2312"/>
          <w:b w:val="false"/>
          <w:sz w:val="32"/>
          <w:szCs w:val="32"/>
        </w:rPr>
        <w:t>一般公共预算项目收支增加，如中央、省级农村综合改革转移支付资金；西山北寨段绿化资金；南寨灯笼坊等项目收支增加</w:t>
      </w:r>
      <w:r>
        <w:rPr>
          <w:rFonts w:ascii="Times New Roman" w:eastAsia="仿宋_GB2312"/>
          <w:b w:val="false"/>
          <w:sz w:val="32"/>
          <w:szCs w:val="32"/>
        </w:rPr>
        <w:t>。</w:t>
      </w:r>
    </w:p>
    <w:p w14:paraId="55CC107B">
      <w:pPr>
        <w:pStyle w:val="10"/>
        <w:keepNext w:val="false"/>
        <w:keepLines w:val="false"/>
        <w:widowControl/>
        <w:suppressLineNumbers w:val="false"/>
        <w:pBdr>
          <w:top w:val="none" w:color="auto" w:sz="0" w:space="0"/>
          <w:left w:val="none" w:color="auto" w:sz="0" w:space="0"/>
          <w:bottom w:val="none" w:color="auto" w:sz="0" w:space="0"/>
          <w:right w:val="none" w:color="auto" w:sz="0" w:space="0"/>
        </w:pBdr>
        <w:spacing w:before="0" w:beforeAutospacing="false" w:after="0" w:afterAutospacing="false"/>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a:graphicData uri="http://schemas.openxmlformats.org/drawingml/2006/chart">
                <c:chart r:id="rId11"/>
              </a:graphicData>
            </a:graphic>
          </wp:inline>
        </w:drawing>
      </w:r>
      <w:r>
        <w:rPr>
          <w:rFonts w:hint="default" w:ascii="Times New Roman" w:hAnsi="Times New Roman" w:eastAsia="Arial" w:cs="Times New Roman"/>
          <w:i w:val="false"/>
          <w:iCs w:val="false"/>
          <w:caps w:val="false"/>
          <w:color w:val="000000"/>
          <w:spacing w:val="0"/>
          <w:sz w:val="18"/>
          <w:szCs w:val="18"/>
          <w:highlight w:val="none"/>
          <w:shd w:val="clear" w:fill="FFFFFF"/>
        </w:rPr>
        <w:t/>
        <w:t> </w:t>
      </w:r>
    </w:p>
    <w:p>
      <w:pPr>
        <w:widowControl w:val="true"/>
        <w:spacing w:before="0" w:beforeLines="0" w:beforeAutospacing="false" w:after="0" w:afterLines="0" w:afterAutospacing="false" w:line="360" w:lineRule="auto"/>
        <w:ind/>
        <w:jc w:val="left"/>
        <w:outlineLvl w:val="1"/>
        <w:rPr>
          <w:rFonts w:ascii="Times New Roman" w:eastAsia="黑体"/>
          <w:sz w:val="32"/>
          <w:szCs w:val="32"/>
        </w:rPr>
      </w:pPr>
      <w:r>
        <w:rPr>
          <w:rFonts w:ascii="Times New Roman" w:eastAsia="黑体"/>
          <w:b w:val="false"/>
          <w:sz w:val="32"/>
          <w:szCs w:val="32"/>
        </w:rPr>
        <w:t>二、收入决算情况说明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本单位</w:t>
      </w:r>
      <w:r>
        <w:rPr>
          <w:rFonts w:ascii="Times New Roman" w:eastAsia="仿宋_GB2312"/>
          <w:b w:val="false"/>
          <w:sz w:val="32"/>
          <w:szCs w:val="32"/>
        </w:rPr>
        <w:t>2024</w:t>
      </w:r>
      <w:r>
        <w:rPr>
          <w:rFonts w:ascii="Times New Roman" w:eastAsia="仿宋_GB2312"/>
          <w:b w:val="false"/>
          <w:sz w:val="32"/>
          <w:szCs w:val="32"/>
        </w:rPr>
        <w:t>年度本年收入合计</w:t>
      </w:r>
      <w:r>
        <w:rPr>
          <w:rFonts w:ascii="Times New Roman" w:eastAsia="仿宋_GB2312"/>
          <w:b w:val="false"/>
          <w:sz w:val="32"/>
          <w:szCs w:val="32"/>
        </w:rPr>
        <w:t>1,995.35</w:t>
      </w:r>
      <w:r>
        <w:rPr>
          <w:rFonts w:ascii="Times New Roman" w:eastAsia="仿宋_GB2312"/>
          <w:b w:val="false"/>
          <w:sz w:val="32"/>
          <w:szCs w:val="32"/>
        </w:rPr>
        <w:t>万元，其中：财政拨款收入</w:t>
      </w:r>
      <w:r>
        <w:rPr>
          <w:rFonts w:ascii="Times New Roman" w:eastAsia="仿宋_GB2312"/>
          <w:b w:val="false"/>
          <w:sz w:val="32"/>
          <w:szCs w:val="32"/>
        </w:rPr>
        <w:t>1,995.35</w:t>
      </w:r>
      <w:r>
        <w:rPr>
          <w:rFonts w:ascii="Times New Roman" w:eastAsia="仿宋_GB2312"/>
          <w:b w:val="false"/>
          <w:sz w:val="32"/>
          <w:szCs w:val="32"/>
        </w:rPr>
        <w:t>万元，占</w:t>
      </w:r>
      <w:r>
        <w:rPr>
          <w:rFonts w:ascii="Times New Roman" w:eastAsia="仿宋_GB2312"/>
          <w:b w:val="false"/>
          <w:sz w:val="32"/>
          <w:szCs w:val="32"/>
        </w:rPr>
        <w:t>100.0</w:t>
      </w:r>
      <w:r>
        <w:rPr>
          <w:rFonts w:ascii="Times New Roman" w:eastAsia="仿宋_GB2312"/>
          <w:b w:val="false"/>
          <w:sz w:val="32"/>
          <w:szCs w:val="32"/>
        </w:rPr>
        <w:t>%​；上级补助收入</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%；事业收入</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%；经营收入</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%；附属单位上缴收入</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%；其他收入</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w:t>
      </w:r>
    </w:p>
    <w:p w14:paraId="3EDA1CE7">
      <w:pPr>
        <w:adjustRightInd w:val="false"/>
        <w:snapToGrid w:val="false"/>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false" relativeHeight="251661312" behindDoc="false" locked="false" layoutInCell="true" allowOverlap="true">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a:graphicData uri="http://schemas.openxmlformats.org/drawingml/2006/chart">
                <c:chart r:id="rId12"/>
              </a:graphicData>
            </a:graphic>
          </wp:anchor>
        </w:drawing>
      </w:r>
    </w:p>
    <w:p>
      <w:pPr>
        <w:widowControl w:val="true"/>
        <w:spacing w:before="0" w:beforeLines="0" w:beforeAutospacing="false" w:after="0" w:afterLines="0" w:afterAutospacing="false" w:line="360" w:lineRule="auto"/>
        <w:ind/>
        <w:jc w:val="left"/>
        <w:outlineLvl w:val="1"/>
        <w:rPr>
          <w:rFonts w:ascii="Times New Roman" w:eastAsia="黑体"/>
          <w:sz w:val="32"/>
          <w:szCs w:val="32"/>
        </w:rPr>
      </w:pPr>
      <w:r>
        <w:rPr>
          <w:rFonts w:ascii="Times New Roman" w:eastAsia="黑体"/>
          <w:b w:val="false"/>
          <w:sz w:val="32"/>
          <w:szCs w:val="32"/>
        </w:rPr>
        <w:t>三、支出决算情况说明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本单位</w:t>
      </w:r>
      <w:r>
        <w:rPr>
          <w:rFonts w:ascii="Times New Roman" w:eastAsia="仿宋_GB2312"/>
          <w:b w:val="false"/>
          <w:sz w:val="32"/>
          <w:szCs w:val="32"/>
        </w:rPr>
        <w:t>2024年度本年支出合计</w:t>
      </w:r>
      <w:r>
        <w:rPr>
          <w:rFonts w:ascii="Times New Roman" w:eastAsia="仿宋_GB2312"/>
          <w:b w:val="false"/>
          <w:sz w:val="32"/>
          <w:szCs w:val="32"/>
        </w:rPr>
        <w:t>1,995.35</w:t>
      </w:r>
      <w:r>
        <w:rPr>
          <w:rFonts w:ascii="Times New Roman" w:eastAsia="仿宋_GB2312"/>
          <w:b w:val="false"/>
          <w:sz w:val="32"/>
          <w:szCs w:val="32"/>
        </w:rPr>
        <w:t>万元，其中：基本支出</w:t>
      </w:r>
      <w:r>
        <w:rPr>
          <w:rFonts w:ascii="Times New Roman" w:eastAsia="仿宋_GB2312"/>
          <w:b w:val="false"/>
          <w:sz w:val="32"/>
          <w:szCs w:val="32"/>
        </w:rPr>
        <w:t>915.81</w:t>
      </w:r>
      <w:r>
        <w:rPr>
          <w:rFonts w:ascii="Times New Roman" w:eastAsia="仿宋_GB2312"/>
          <w:b w:val="false"/>
          <w:sz w:val="32"/>
          <w:szCs w:val="32"/>
        </w:rPr>
        <w:t>万元，占</w:t>
      </w:r>
      <w:r>
        <w:rPr>
          <w:rFonts w:ascii="Times New Roman" w:eastAsia="仿宋_GB2312"/>
          <w:b w:val="false"/>
          <w:sz w:val="32"/>
          <w:szCs w:val="32"/>
        </w:rPr>
        <w:t>45.9</w:t>
      </w:r>
      <w:r>
        <w:rPr>
          <w:rFonts w:ascii="Times New Roman" w:eastAsia="仿宋_GB2312"/>
          <w:b w:val="false"/>
          <w:sz w:val="32"/>
          <w:szCs w:val="32"/>
        </w:rPr>
        <w:t>%；项目支出</w:t>
      </w:r>
      <w:r>
        <w:rPr>
          <w:rFonts w:ascii="Times New Roman" w:eastAsia="仿宋_GB2312"/>
          <w:b w:val="false"/>
          <w:sz w:val="32"/>
          <w:szCs w:val="32"/>
        </w:rPr>
        <w:t>1,079.55</w:t>
      </w:r>
      <w:r>
        <w:rPr>
          <w:rFonts w:ascii="Times New Roman" w:eastAsia="仿宋_GB2312"/>
          <w:b w:val="false"/>
          <w:sz w:val="32"/>
          <w:szCs w:val="32"/>
        </w:rPr>
        <w:t>万元，占</w:t>
      </w:r>
      <w:r>
        <w:rPr>
          <w:rFonts w:ascii="Times New Roman" w:eastAsia="仿宋_GB2312"/>
          <w:b w:val="false"/>
          <w:sz w:val="32"/>
          <w:szCs w:val="32"/>
        </w:rPr>
        <w:t>54.1</w:t>
      </w:r>
      <w:r>
        <w:rPr>
          <w:rFonts w:ascii="Times New Roman" w:eastAsia="仿宋_GB2312"/>
          <w:b w:val="false"/>
          <w:sz w:val="32"/>
          <w:szCs w:val="32"/>
        </w:rPr>
        <w:t>%；上缴上级支出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%；经营支出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%；对附属单位补助支出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w:t>
      </w:r>
    </w:p>
    <w:p w14:paraId="1EDB8620">
      <w:pPr>
        <w:autoSpaceDE w:val="false"/>
        <w:autoSpaceDN w:val="false"/>
        <w:adjustRightInd w:val="false"/>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a:graphicData uri="http://schemas.openxmlformats.org/drawingml/2006/chart">
                <c:chart r:id="rId13"/>
              </a:graphicData>
            </a:graphic>
          </wp:inline>
        </w:drawing>
      </w:r>
    </w:p>
    <w:p>
      <w:pPr>
        <w:widowControl w:val="true"/>
        <w:spacing w:before="0" w:beforeLines="0" w:beforeAutospacing="false" w:after="0" w:afterLines="0" w:afterAutospacing="false" w:line="360" w:lineRule="auto"/>
        <w:ind w:firstLine="200" w:firstLineChars="200"/>
        <w:jc w:val="left"/>
        <w:outlineLvl w:val="1"/>
        <w:rPr>
          <w:rFonts w:ascii="Times New Roman" w:eastAsia="黑体"/>
          <w:sz w:val="32"/>
          <w:szCs w:val="32"/>
        </w:rPr>
      </w:pPr>
      <w:r>
        <w:rPr>
          <w:rFonts w:ascii="Times New Roman" w:eastAsia="黑体"/>
          <w:b w:val="false"/>
          <w:sz w:val="32"/>
          <w:szCs w:val="32"/>
        </w:rPr>
        <w:t>四、财政拨款收入支出决算总体情况说明</w:t>
      </w:r>
    </w:p>
    <w:p>
      <w:pPr>
        <w:widowControl w:val="true"/>
        <w:spacing w:before="0" w:beforeLines="0" w:beforeAutospacing="false" w:after="0" w:afterLines="0" w:afterAutospacing="false" w:line="360" w:lineRule="auto"/>
        <w:ind w:firstLine="200" w:firstLineChars="200"/>
        <w:jc w:val="left"/>
        <w:rPr>
          <w:rFonts w:ascii="Times New Roman" w:eastAsia="楷体_GB2312"/>
          <w:sz w:val="32"/>
          <w:szCs w:val="32"/>
        </w:rPr>
      </w:pPr>
      <w:r>
        <w:rPr>
          <w:rFonts w:ascii="Times New Roman" w:eastAsia="楷体_GB2312"/>
          <w:b w:val="true"/>
          <w:sz w:val="32"/>
          <w:szCs w:val="32"/>
        </w:rPr>
        <w:t>（一）财政拨款收支与</w:t>
      </w:r>
      <w:r>
        <w:rPr>
          <w:rFonts w:ascii="Times New Roman" w:eastAsia="仿宋_GB2312"/>
          <w:b w:val="true"/>
          <w:sz w:val="32"/>
          <w:szCs w:val="32"/>
        </w:rPr>
        <w:t>2023</w:t>
      </w:r>
      <w:r>
        <w:rPr>
          <w:rFonts w:ascii="Times New Roman" w:eastAsia="楷体_GB2312"/>
          <w:b w:val="true"/>
          <w:sz w:val="32"/>
          <w:szCs w:val="32"/>
        </w:rPr>
        <w:t>年度决算对比情况</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本单位</w:t>
      </w:r>
      <w:r>
        <w:rPr>
          <w:rFonts w:ascii="Times New Roman" w:eastAsia="仿宋_GB2312"/>
          <w:b w:val="false"/>
          <w:sz w:val="32"/>
          <w:szCs w:val="32"/>
        </w:rPr>
        <w:t>2024年度财政拨款收、支总计（含结转和结余）均为</w:t>
      </w:r>
      <w:r>
        <w:rPr>
          <w:rFonts w:ascii="Times New Roman" w:eastAsia="仿宋_GB2312"/>
          <w:b w:val="false"/>
          <w:sz w:val="32"/>
          <w:szCs w:val="32"/>
        </w:rPr>
        <w:t>1,995.35</w:t>
      </w:r>
      <w:r>
        <w:rPr>
          <w:rFonts w:ascii="Times New Roman" w:eastAsia="仿宋_GB2312"/>
          <w:b w:val="false"/>
          <w:sz w:val="32"/>
          <w:szCs w:val="32"/>
        </w:rPr>
        <w:t>万元。与2023年度相比，财政拨款收支各</w:t>
      </w:r>
      <w:r>
        <w:rPr>
          <w:rFonts w:ascii="Times New Roman" w:eastAsia="仿宋_GB2312"/>
          <w:b w:val="false"/>
          <w:sz w:val="32"/>
          <w:szCs w:val="32"/>
        </w:rPr>
        <w:t>增加</w:t>
      </w:r>
      <w:r>
        <w:rPr>
          <w:rFonts w:ascii="Times New Roman" w:eastAsia="仿宋_GB2312"/>
          <w:b w:val="false"/>
          <w:sz w:val="32"/>
          <w:szCs w:val="32"/>
        </w:rPr>
        <w:t>324.36</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19.4</w:t>
      </w:r>
      <w:r>
        <w:rPr>
          <w:rFonts w:ascii="Times New Roman" w:eastAsia="仿宋_GB2312"/>
          <w:b w:val="false"/>
          <w:sz w:val="32"/>
          <w:szCs w:val="32"/>
        </w:rPr>
        <w:t>%，主要原因是</w:t>
      </w:r>
      <w:r>
        <w:rPr>
          <w:rFonts w:ascii="Times New Roman" w:eastAsia="仿宋_GB2312"/>
          <w:b w:val="false"/>
          <w:sz w:val="32"/>
          <w:szCs w:val="32"/>
        </w:rPr>
        <w:t>一般公共预算项目收支增加，如中央、省级农村综合改革转移支付资金；西山北寨段绿化资金；南寨灯笼坊等项目收支增加</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本单位</w:t>
      </w:r>
      <w:r>
        <w:rPr>
          <w:rFonts w:ascii="Times New Roman" w:eastAsia="仿宋_GB2312"/>
          <w:b w:val="false"/>
          <w:sz w:val="32"/>
          <w:szCs w:val="32"/>
        </w:rPr>
        <w:t>2024年度财政拨款本年收入</w:t>
      </w:r>
      <w:r>
        <w:rPr>
          <w:rFonts w:ascii="Times New Roman" w:eastAsia="仿宋_GB2312"/>
          <w:b w:val="false"/>
          <w:sz w:val="32"/>
          <w:szCs w:val="32"/>
        </w:rPr>
        <w:t>1,995.35</w:t>
      </w:r>
      <w:r>
        <w:rPr>
          <w:rFonts w:ascii="Times New Roman" w:eastAsia="仿宋_GB2312"/>
          <w:b w:val="false"/>
          <w:sz w:val="32"/>
          <w:szCs w:val="32"/>
        </w:rPr>
        <w:t>万元,比上年</w:t>
      </w:r>
      <w:r>
        <w:rPr>
          <w:rFonts w:ascii="Times New Roman" w:eastAsia="仿宋_GB2312"/>
          <w:b w:val="false"/>
          <w:sz w:val="32"/>
          <w:szCs w:val="32"/>
        </w:rPr>
        <w:t>增加</w:t>
      </w:r>
      <w:r>
        <w:rPr>
          <w:rFonts w:ascii="Times New Roman" w:eastAsia="仿宋_GB2312"/>
          <w:b w:val="false"/>
          <w:sz w:val="32"/>
          <w:szCs w:val="32"/>
        </w:rPr>
        <w:t>324.36</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19.4</w:t>
      </w:r>
      <w:r>
        <w:rPr>
          <w:rFonts w:ascii="Times New Roman" w:eastAsia="仿宋_GB2312"/>
          <w:b w:val="false"/>
          <w:sz w:val="32"/>
          <w:szCs w:val="32"/>
        </w:rPr>
        <w:t>%，主要原因是</w:t>
      </w:r>
      <w:r>
        <w:rPr>
          <w:rFonts w:ascii="Times New Roman" w:eastAsia="仿宋_GB2312"/>
          <w:b w:val="false"/>
          <w:sz w:val="32"/>
          <w:szCs w:val="32"/>
        </w:rPr>
        <w:t>一般公共预算项目收入增加，如中央、省级农村综合改革转移支付资金；西山北寨段绿化资金；南寨灯笼坊等项目收入增加</w:t>
      </w:r>
      <w:r>
        <w:rPr>
          <w:rFonts w:ascii="Times New Roman" w:eastAsia="仿宋_GB2312"/>
          <w:b w:val="false"/>
          <w:sz w:val="32"/>
          <w:szCs w:val="32"/>
        </w:rPr>
        <w:t>；本年支出 </w:t>
      </w:r>
      <w:r>
        <w:rPr>
          <w:rFonts w:ascii="Times New Roman" w:eastAsia="仿宋_GB2312"/>
          <w:b w:val="false"/>
          <w:sz w:val="32"/>
          <w:szCs w:val="32"/>
        </w:rPr>
        <w:t>1,995.35</w:t>
      </w:r>
      <w:r>
        <w:rPr>
          <w:rFonts w:ascii="Times New Roman" w:eastAsia="仿宋_GB2312"/>
          <w:b w:val="false"/>
          <w:sz w:val="32"/>
          <w:szCs w:val="32"/>
        </w:rPr>
        <w:t>万元，比上年</w:t>
      </w:r>
      <w:r>
        <w:rPr>
          <w:rFonts w:ascii="Times New Roman" w:eastAsia="仿宋_GB2312"/>
          <w:b w:val="false"/>
          <w:sz w:val="32"/>
          <w:szCs w:val="32"/>
        </w:rPr>
        <w:t>增加</w:t>
      </w:r>
      <w:r>
        <w:rPr>
          <w:rFonts w:ascii="Times New Roman" w:eastAsia="仿宋_GB2312"/>
          <w:b w:val="false"/>
          <w:sz w:val="32"/>
          <w:szCs w:val="32"/>
        </w:rPr>
        <w:t>324.36</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19.4</w:t>
      </w:r>
      <w:r>
        <w:rPr>
          <w:rFonts w:ascii="Times New Roman" w:eastAsia="仿宋_GB2312"/>
          <w:b w:val="false"/>
          <w:sz w:val="32"/>
          <w:szCs w:val="32"/>
        </w:rPr>
        <w:t>%，主要原因是</w:t>
      </w:r>
      <w:r>
        <w:rPr>
          <w:rFonts w:ascii="Times New Roman" w:eastAsia="仿宋_GB2312"/>
          <w:b w:val="false"/>
          <w:sz w:val="32"/>
          <w:szCs w:val="32"/>
        </w:rPr>
        <w:t>一般公共预算项目支出增加，如中央、省级农村综合改革转移支付资金；西山北寨段绿化资金；南寨灯笼坊等项目支出增加</w:t>
      </w:r>
      <w:r>
        <w:rPr>
          <w:rFonts w:ascii="Times New Roman" w:eastAsia="仿宋_GB2312"/>
          <w:b w:val="false"/>
          <w:sz w:val="32"/>
          <w:szCs w:val="32"/>
        </w:rPr>
        <w:t>。具体情况如下：</w:t>
      </w:r>
    </w:p>
    <w:p>
      <w:pPr>
        <w:widowControl w:val="true"/>
        <w:spacing w:before="0" w:beforeLines="0" w:beforeAutospacing="false" w:after="0" w:afterLines="0" w:afterAutospacing="false" w:line="360" w:lineRule="auto"/>
        <w:ind w:firstLine="200" w:firstLineChars="200"/>
        <w:jc w:val="left"/>
        <w:outlineLvl w:val="1"/>
        <w:rPr>
          <w:rFonts w:ascii="Times New Roman" w:eastAsia="仿宋_GB2312"/>
          <w:sz w:val="32"/>
          <w:szCs w:val="32"/>
        </w:rPr>
      </w:pPr>
      <w:r>
        <w:rPr>
          <w:rFonts w:ascii="Times New Roman" w:eastAsia="仿宋_GB2312"/>
          <w:b w:val="false"/>
          <w:sz w:val="32"/>
          <w:szCs w:val="32"/>
        </w:rPr>
        <w:t>1. 一般公共预算财政拨款本年收入</w:t>
      </w:r>
      <w:r>
        <w:rPr>
          <w:rFonts w:ascii="Times New Roman" w:eastAsia="仿宋_GB2312"/>
          <w:b w:val="false"/>
          <w:sz w:val="32"/>
          <w:szCs w:val="32"/>
        </w:rPr>
        <w:t>1,995.35</w:t>
      </w:r>
      <w:r>
        <w:rPr>
          <w:rFonts w:ascii="Times New Roman" w:eastAsia="仿宋_GB2312"/>
          <w:b w:val="false"/>
          <w:sz w:val="32"/>
          <w:szCs w:val="32"/>
        </w:rPr>
        <w:t>​​万元,比上年</w:t>
      </w:r>
      <w:r>
        <w:rPr>
          <w:rFonts w:ascii="Times New Roman" w:eastAsia="仿宋_GB2312"/>
          <w:b w:val="false"/>
          <w:sz w:val="32"/>
          <w:szCs w:val="32"/>
        </w:rPr>
        <w:t>增加</w:t>
      </w:r>
      <w:r>
        <w:rPr>
          <w:rFonts w:ascii="Times New Roman" w:eastAsia="仿宋_GB2312"/>
          <w:b w:val="false"/>
          <w:sz w:val="32"/>
          <w:szCs w:val="32"/>
        </w:rPr>
        <w:t>359.36</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22.0</w:t>
      </w:r>
      <w:r>
        <w:rPr>
          <w:rFonts w:ascii="Times New Roman" w:eastAsia="仿宋_GB2312"/>
          <w:b w:val="false"/>
          <w:sz w:val="32"/>
          <w:szCs w:val="32"/>
        </w:rPr>
        <w:t>%，主要原因是</w:t>
      </w:r>
      <w:r>
        <w:rPr>
          <w:rFonts w:ascii="Times New Roman" w:eastAsia="仿宋_GB2312"/>
          <w:b w:val="false"/>
          <w:sz w:val="32"/>
          <w:szCs w:val="32"/>
        </w:rPr>
        <w:t>一般公共预算项目收入增加，如中央、省级农村综合改革转移支付资金；西山北寨段绿化资金；南寨灯笼坊等项目收入增加</w:t>
      </w:r>
      <w:r>
        <w:rPr>
          <w:rFonts w:ascii="Times New Roman" w:eastAsia="仿宋_GB2312"/>
          <w:b w:val="false"/>
          <w:sz w:val="32"/>
          <w:szCs w:val="32"/>
        </w:rPr>
        <w:t>；本年支出</w:t>
      </w:r>
      <w:r>
        <w:rPr>
          <w:rFonts w:ascii="Times New Roman" w:eastAsia="仿宋_GB2312"/>
          <w:b w:val="false"/>
          <w:sz w:val="32"/>
          <w:szCs w:val="32"/>
        </w:rPr>
        <w:t>1,995.35</w:t>
      </w:r>
      <w:r>
        <w:rPr>
          <w:rFonts w:ascii="Times New Roman" w:eastAsia="仿宋_GB2312"/>
          <w:b w:val="false"/>
          <w:sz w:val="32"/>
          <w:szCs w:val="32"/>
        </w:rPr>
        <w:t>​​ 万元，比上年</w:t>
      </w:r>
      <w:r>
        <w:rPr>
          <w:rFonts w:ascii="Times New Roman" w:eastAsia="仿宋_GB2312"/>
          <w:b w:val="false"/>
          <w:sz w:val="32"/>
          <w:szCs w:val="32"/>
        </w:rPr>
        <w:t>增加</w:t>
      </w:r>
      <w:r>
        <w:rPr>
          <w:rFonts w:ascii="Times New Roman" w:eastAsia="仿宋_GB2312"/>
          <w:b w:val="false"/>
          <w:sz w:val="32"/>
          <w:szCs w:val="32"/>
        </w:rPr>
        <w:t>359.36</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22.0</w:t>
      </w:r>
      <w:r>
        <w:rPr>
          <w:rFonts w:ascii="Times New Roman" w:eastAsia="仿宋_GB2312"/>
          <w:b w:val="false"/>
          <w:sz w:val="32"/>
          <w:szCs w:val="32"/>
        </w:rPr>
        <w:t>%，主要原因是</w:t>
      </w:r>
      <w:r>
        <w:rPr>
          <w:rFonts w:ascii="Times New Roman" w:eastAsia="仿宋_GB2312"/>
          <w:b w:val="false"/>
          <w:sz w:val="32"/>
          <w:szCs w:val="32"/>
        </w:rPr>
        <w:t>一般公共预算项目支出增加，如中央、省级农村综合改革转移支付资金；西山北寨段绿化资金；南寨灯笼坊等项目支出增加</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2. 政府性基金预算财政拨款本年收入</w:t>
      </w:r>
      <w:r>
        <w:rPr>
          <w:rFonts w:ascii="Times New Roman" w:eastAsia="仿宋_GB2312"/>
          <w:b w:val="false"/>
          <w:sz w:val="32"/>
          <w:szCs w:val="32"/>
        </w:rPr>
        <w:t>0.00</w:t>
      </w:r>
      <w:r>
        <w:rPr>
          <w:rFonts w:ascii="Times New Roman" w:eastAsia="仿宋_GB2312"/>
          <w:b w:val="false"/>
          <w:sz w:val="32"/>
          <w:szCs w:val="32"/>
        </w:rPr>
        <w:t>万元，比上年</w:t>
      </w:r>
      <w:r>
        <w:rPr>
          <w:rFonts w:ascii="Times New Roman" w:eastAsia="仿宋_GB2312"/>
          <w:b w:val="false"/>
          <w:sz w:val="32"/>
          <w:szCs w:val="32"/>
        </w:rPr>
        <w:t>减少</w:t>
      </w:r>
      <w:r>
        <w:rPr>
          <w:rFonts w:ascii="Times New Roman" w:eastAsia="仿宋_GB2312"/>
          <w:b w:val="false"/>
          <w:sz w:val="32"/>
          <w:szCs w:val="32"/>
        </w:rPr>
        <w:t>35.00</w:t>
      </w:r>
      <w:r>
        <w:rPr>
          <w:rFonts w:ascii="Times New Roman" w:eastAsia="仿宋_GB2312"/>
          <w:b w:val="false"/>
          <w:sz w:val="32"/>
          <w:szCs w:val="32"/>
        </w:rPr>
        <w:t>万元，</w:t>
      </w:r>
      <w:r>
        <w:rPr>
          <w:rFonts w:ascii="Times New Roman" w:eastAsia="仿宋_GB2312"/>
          <w:b w:val="false"/>
          <w:sz w:val="32"/>
          <w:szCs w:val="32"/>
        </w:rPr>
        <w:t>降低</w:t>
      </w:r>
      <w:r>
        <w:rPr>
          <w:rFonts w:ascii="Times New Roman" w:eastAsia="仿宋_GB2312"/>
          <w:b w:val="false"/>
          <w:sz w:val="32"/>
          <w:szCs w:val="32"/>
        </w:rPr>
        <w:t>100.0</w:t>
      </w:r>
      <w:r>
        <w:rPr>
          <w:rFonts w:ascii="Times New Roman" w:eastAsia="仿宋_GB2312"/>
          <w:b w:val="false"/>
          <w:sz w:val="32"/>
          <w:szCs w:val="32"/>
        </w:rPr>
        <w:t>%，主要原因是</w:t>
      </w:r>
      <w:r>
        <w:rPr>
          <w:rFonts w:ascii="Times New Roman" w:eastAsia="仿宋_GB2312"/>
          <w:b w:val="false"/>
          <w:sz w:val="32"/>
          <w:szCs w:val="32"/>
        </w:rPr>
        <w:t>2024年度我部门无政府性基金财政拨款收入</w:t>
      </w:r>
      <w:r>
        <w:rPr>
          <w:rFonts w:ascii="Times New Roman" w:eastAsia="仿宋_GB2312"/>
          <w:b w:val="false"/>
          <w:sz w:val="32"/>
          <w:szCs w:val="32"/>
        </w:rPr>
        <w:t>；本年支出</w:t>
      </w:r>
      <w:r>
        <w:rPr>
          <w:rFonts w:ascii="Times New Roman" w:eastAsia="仿宋_GB2312"/>
          <w:b w:val="false"/>
          <w:sz w:val="32"/>
          <w:szCs w:val="32"/>
        </w:rPr>
        <w:t>0.00</w:t>
      </w:r>
      <w:r>
        <w:rPr>
          <w:rFonts w:ascii="Times New Roman" w:eastAsia="仿宋_GB2312"/>
          <w:b w:val="false"/>
          <w:sz w:val="32"/>
          <w:szCs w:val="32"/>
        </w:rPr>
        <w:t>万元，比上年</w:t>
      </w:r>
      <w:r>
        <w:rPr>
          <w:rFonts w:ascii="Times New Roman" w:eastAsia="仿宋_GB2312"/>
          <w:b w:val="false"/>
          <w:sz w:val="32"/>
          <w:szCs w:val="32"/>
        </w:rPr>
        <w:t>减少</w:t>
      </w:r>
      <w:r>
        <w:rPr>
          <w:rFonts w:ascii="Times New Roman" w:eastAsia="仿宋_GB2312"/>
          <w:b w:val="false"/>
          <w:sz w:val="32"/>
          <w:szCs w:val="32"/>
        </w:rPr>
        <w:t>35.00</w:t>
      </w:r>
      <w:r>
        <w:rPr>
          <w:rFonts w:ascii="Times New Roman" w:eastAsia="仿宋_GB2312"/>
          <w:b w:val="false"/>
          <w:sz w:val="32"/>
          <w:szCs w:val="32"/>
        </w:rPr>
        <w:t>万元，</w:t>
      </w:r>
      <w:r>
        <w:rPr>
          <w:rFonts w:ascii="Times New Roman" w:eastAsia="仿宋_GB2312"/>
          <w:b w:val="false"/>
          <w:sz w:val="32"/>
          <w:szCs w:val="32"/>
        </w:rPr>
        <w:t>降低</w:t>
      </w:r>
      <w:r>
        <w:rPr>
          <w:rFonts w:ascii="Times New Roman" w:eastAsia="仿宋_GB2312"/>
          <w:b w:val="false"/>
          <w:sz w:val="32"/>
          <w:szCs w:val="32"/>
        </w:rPr>
        <w:t>100.0</w:t>
      </w:r>
      <w:r>
        <w:rPr>
          <w:rFonts w:ascii="Times New Roman" w:eastAsia="仿宋_GB2312"/>
          <w:b w:val="false"/>
          <w:sz w:val="32"/>
          <w:szCs w:val="32"/>
        </w:rPr>
        <w:t>%，主要原因是</w:t>
      </w:r>
      <w:r>
        <w:rPr>
          <w:rFonts w:ascii="Times New Roman" w:eastAsia="仿宋_GB2312"/>
          <w:b w:val="false"/>
          <w:sz w:val="32"/>
          <w:szCs w:val="32"/>
        </w:rPr>
        <w:t>2024年度我部门无政府性基金财政拨款支出</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3. 国有资本经营预算财政拨款本年收入</w:t>
      </w:r>
      <w:r>
        <w:rPr>
          <w:rFonts w:ascii="Times New Roman" w:eastAsia="仿宋_GB2312"/>
          <w:b w:val="false"/>
          <w:sz w:val="32"/>
          <w:szCs w:val="32"/>
        </w:rPr>
        <w:t>0.00</w:t>
      </w:r>
      <w:r>
        <w:rPr>
          <w:rFonts w:ascii="Times New Roman" w:eastAsia="仿宋_GB2312"/>
          <w:b w:val="false"/>
          <w:sz w:val="32"/>
          <w:szCs w:val="32"/>
        </w:rPr>
        <w:t>万元，比上年</w:t>
      </w:r>
      <w:r>
        <w:rPr>
          <w:rFonts w:ascii="Times New Roman" w:eastAsia="仿宋_GB2312"/>
          <w:b w:val="false"/>
          <w:sz w:val="32"/>
          <w:szCs w:val="32"/>
        </w:rPr>
        <w:t>增加</w:t>
      </w:r>
      <w:r>
        <w:rPr>
          <w:rFonts w:ascii="Times New Roman" w:eastAsia="仿宋_GB2312"/>
          <w:b w:val="false"/>
          <w:sz w:val="32"/>
          <w:szCs w:val="32"/>
        </w:rPr>
        <w:t>0.00</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0.00</w:t>
      </w:r>
      <w:r>
        <w:rPr>
          <w:rFonts w:ascii="Times New Roman" w:eastAsia="仿宋_GB2312"/>
          <w:b w:val="false"/>
          <w:sz w:val="32"/>
          <w:szCs w:val="32"/>
        </w:rPr>
        <w:t>%，主要原因是</w:t>
      </w:r>
      <w:r>
        <w:rPr>
          <w:rFonts w:ascii="Times New Roman" w:eastAsia="仿宋_GB2312"/>
          <w:b w:val="false"/>
          <w:sz w:val="32"/>
          <w:szCs w:val="32"/>
        </w:rPr>
        <w:t>2024年度我部门无国有资本经营预算财政拨款收入</w:t>
      </w:r>
      <w:r>
        <w:rPr>
          <w:rFonts w:ascii="Times New Roman" w:eastAsia="仿宋_GB2312"/>
          <w:b w:val="false"/>
          <w:sz w:val="32"/>
          <w:szCs w:val="32"/>
        </w:rPr>
        <w:t>；本年支出</w:t>
      </w:r>
      <w:r>
        <w:rPr>
          <w:rFonts w:ascii="Times New Roman" w:eastAsia="仿宋_GB2312"/>
          <w:b w:val="false"/>
          <w:sz w:val="32"/>
          <w:szCs w:val="32"/>
        </w:rPr>
        <w:t>0.00</w:t>
      </w:r>
      <w:r>
        <w:rPr>
          <w:rFonts w:ascii="Times New Roman" w:eastAsia="仿宋_GB2312"/>
          <w:b w:val="false"/>
          <w:sz w:val="32"/>
          <w:szCs w:val="32"/>
        </w:rPr>
        <w:t>万元，比上年</w:t>
      </w:r>
      <w:r>
        <w:rPr>
          <w:rFonts w:ascii="Times New Roman" w:eastAsia="仿宋_GB2312"/>
          <w:b w:val="false"/>
          <w:sz w:val="32"/>
          <w:szCs w:val="32"/>
        </w:rPr>
        <w:t>增加</w:t>
      </w:r>
      <w:r>
        <w:rPr>
          <w:rFonts w:ascii="Times New Roman" w:eastAsia="仿宋_GB2312"/>
          <w:b w:val="false"/>
          <w:sz w:val="32"/>
          <w:szCs w:val="32"/>
        </w:rPr>
        <w:t>0.00</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0.00</w:t>
      </w:r>
      <w:r>
        <w:rPr>
          <w:rFonts w:ascii="Times New Roman" w:eastAsia="仿宋_GB2312"/>
          <w:b w:val="false"/>
          <w:sz w:val="32"/>
          <w:szCs w:val="32"/>
        </w:rPr>
        <w:t>%，主要原因是</w:t>
      </w:r>
      <w:r>
        <w:rPr>
          <w:rFonts w:ascii="Times New Roman" w:eastAsia="仿宋_GB2312"/>
          <w:b w:val="false"/>
          <w:sz w:val="32"/>
          <w:szCs w:val="32"/>
        </w:rPr>
        <w:t>2024年度我部门无国有资本经营预算财政拨款支出</w:t>
      </w:r>
      <w:r>
        <w:rPr>
          <w:rFonts w:ascii="Times New Roman" w:eastAsia="仿宋_GB2312"/>
          <w:b w:val="false"/>
          <w:sz w:val="32"/>
          <w:szCs w:val="32"/>
        </w:rPr>
        <w:t>。</w:t>
      </w:r>
    </w:p>
    <w:p w14:paraId="57375238">
      <w:pPr>
        <w:pStyle w:val="10"/>
        <w:keepNext w:val="false"/>
        <w:keepLines w:val="false"/>
        <w:widowControl/>
        <w:suppressLineNumbers w:val="false"/>
        <w:pBdr>
          <w:top w:val="none" w:color="auto" w:sz="0" w:space="0"/>
          <w:left w:val="none" w:color="auto" w:sz="0" w:space="0"/>
          <w:bottom w:val="none" w:color="auto" w:sz="0" w:space="0"/>
          <w:right w:val="none" w:color="auto" w:sz="0" w:space="0"/>
        </w:pBdr>
        <w:spacing w:before="0" w:beforeAutospacing="false" w:after="0" w:afterAutospacing="false"/>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a:graphicData uri="http://schemas.openxmlformats.org/drawingml/2006/chart">
                <c:chart r:id="rId14"/>
              </a:graphicData>
            </a:graphic>
          </wp:inline>
        </w:drawing>
      </w:r>
    </w:p>
    <w:p>
      <w:pPr>
        <w:widowControl w:val="true"/>
        <w:spacing w:before="0" w:beforeLines="0" w:beforeAutospacing="false" w:after="0" w:afterLines="0" w:afterAutospacing="false" w:line="360" w:lineRule="auto"/>
        <w:ind w:firstLine="200" w:firstLineChars="200"/>
        <w:jc w:val="left"/>
        <w:rPr>
          <w:rFonts w:ascii="Times New Roman" w:eastAsia="楷体_GB2312"/>
          <w:sz w:val="32"/>
          <w:szCs w:val="32"/>
        </w:rPr>
      </w:pPr>
      <w:r>
        <w:rPr>
          <w:rFonts w:ascii="Times New Roman" w:eastAsia="楷体_GB2312"/>
          <w:b w:val="true"/>
          <w:sz w:val="32"/>
          <w:szCs w:val="32"/>
        </w:rPr>
        <w:t>（二）财政拨款收支与年初预算数对比情况</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本单位</w:t>
      </w:r>
      <w:r>
        <w:rPr>
          <w:rFonts w:ascii="Times New Roman" w:eastAsia="仿宋_GB2312"/>
          <w:b w:val="false"/>
          <w:sz w:val="32"/>
          <w:szCs w:val="32"/>
        </w:rPr>
        <w:t>2024年度财政拨款本年收入</w:t>
      </w:r>
      <w:r>
        <w:rPr>
          <w:rFonts w:ascii="Times New Roman" w:eastAsia="仿宋_GB2312"/>
          <w:b w:val="false"/>
          <w:sz w:val="32"/>
          <w:szCs w:val="32"/>
        </w:rPr>
        <w:t>1,995.35</w:t>
      </w:r>
      <w:r>
        <w:rPr>
          <w:rFonts w:ascii="Times New Roman" w:eastAsia="仿宋_GB2312"/>
          <w:b w:val="false"/>
          <w:sz w:val="32"/>
          <w:szCs w:val="32"/>
        </w:rPr>
        <w:t>万元，完成年初预算的</w:t>
      </w:r>
      <w:r>
        <w:rPr>
          <w:rFonts w:ascii="Times New Roman" w:eastAsia="仿宋_GB2312"/>
          <w:b w:val="false"/>
          <w:sz w:val="32"/>
          <w:szCs w:val="32"/>
        </w:rPr>
        <w:t>101.6</w:t>
      </w:r>
      <w:r>
        <w:rPr>
          <w:rFonts w:ascii="Times New Roman" w:eastAsia="仿宋_GB2312"/>
          <w:b w:val="false"/>
          <w:sz w:val="32"/>
          <w:szCs w:val="32"/>
        </w:rPr>
        <w:t>%，比年初预算</w:t>
      </w:r>
      <w:r>
        <w:rPr>
          <w:rFonts w:ascii="Times New Roman" w:eastAsia="仿宋_GB2312"/>
          <w:b w:val="false"/>
          <w:sz w:val="32"/>
          <w:szCs w:val="32"/>
        </w:rPr>
        <w:t>增加</w:t>
      </w:r>
      <w:r>
        <w:rPr>
          <w:rFonts w:ascii="Times New Roman" w:eastAsia="仿宋_GB2312"/>
          <w:b w:val="false"/>
          <w:sz w:val="32"/>
          <w:szCs w:val="32"/>
        </w:rPr>
        <w:t>30.47</w:t>
      </w:r>
      <w:r>
        <w:rPr>
          <w:rFonts w:ascii="Times New Roman" w:eastAsia="仿宋_GB2312"/>
          <w:b w:val="false"/>
          <w:sz w:val="32"/>
          <w:szCs w:val="32"/>
        </w:rPr>
        <w:t>万元，决算数</w:t>
      </w:r>
      <w:r>
        <w:rPr>
          <w:rFonts w:ascii="Times New Roman" w:eastAsia="仿宋_GB2312"/>
          <w:b w:val="false"/>
          <w:sz w:val="32"/>
          <w:szCs w:val="32"/>
        </w:rPr>
        <w:t>大于</w:t>
      </w:r>
      <w:r>
        <w:rPr>
          <w:rFonts w:ascii="Times New Roman" w:eastAsia="仿宋_GB2312"/>
          <w:b w:val="false"/>
          <w:sz w:val="32"/>
          <w:szCs w:val="32"/>
        </w:rPr>
        <w:t>预算数主要原因是</w:t>
      </w:r>
      <w:r>
        <w:rPr>
          <w:rFonts w:ascii="Times New Roman" w:eastAsia="仿宋_GB2312"/>
          <w:b w:val="false"/>
          <w:sz w:val="32"/>
          <w:szCs w:val="32"/>
        </w:rPr>
        <w:t>项目收入增加，如中央、省级农村综合改革转移支付资金；西山北寨段绿化资金；南寨灯笼坊等项目收入增加</w:t>
      </w:r>
      <w:r>
        <w:rPr>
          <w:rFonts w:ascii="Times New Roman" w:eastAsia="仿宋_GB2312"/>
          <w:b w:val="false"/>
          <w:sz w:val="32"/>
          <w:szCs w:val="32"/>
        </w:rPr>
        <w:t> ；本年支出</w:t>
      </w:r>
      <w:r>
        <w:rPr>
          <w:rFonts w:ascii="Times New Roman" w:eastAsia="仿宋_GB2312"/>
          <w:b w:val="false"/>
          <w:sz w:val="32"/>
          <w:szCs w:val="32"/>
        </w:rPr>
        <w:t>1,995.35</w:t>
      </w:r>
      <w:r>
        <w:rPr>
          <w:rFonts w:ascii="Times New Roman" w:eastAsia="仿宋_GB2312"/>
          <w:b w:val="false"/>
          <w:sz w:val="32"/>
          <w:szCs w:val="32"/>
        </w:rPr>
        <w:t>万元，完成年初预算的</w:t>
      </w:r>
      <w:r>
        <w:rPr>
          <w:rFonts w:ascii="Times New Roman" w:eastAsia="仿宋_GB2312"/>
          <w:b w:val="false"/>
          <w:sz w:val="32"/>
          <w:szCs w:val="32"/>
        </w:rPr>
        <w:t>101.6</w:t>
      </w:r>
      <w:r>
        <w:rPr>
          <w:rFonts w:ascii="Times New Roman" w:eastAsia="仿宋_GB2312"/>
          <w:b w:val="false"/>
          <w:sz w:val="32"/>
          <w:szCs w:val="32"/>
        </w:rPr>
        <w:t>%，比年初预算</w:t>
      </w:r>
      <w:r>
        <w:rPr>
          <w:rFonts w:ascii="Times New Roman" w:eastAsia="仿宋_GB2312"/>
          <w:b w:val="false"/>
          <w:sz w:val="32"/>
          <w:szCs w:val="32"/>
        </w:rPr>
        <w:t>增加</w:t>
      </w:r>
      <w:r>
        <w:rPr>
          <w:rFonts w:ascii="Times New Roman" w:eastAsia="仿宋_GB2312"/>
          <w:b w:val="false"/>
          <w:sz w:val="32"/>
          <w:szCs w:val="32"/>
        </w:rPr>
        <w:t>30.47</w:t>
      </w:r>
      <w:r>
        <w:rPr>
          <w:rFonts w:ascii="Times New Roman" w:eastAsia="仿宋_GB2312"/>
          <w:b w:val="false"/>
          <w:sz w:val="32"/>
          <w:szCs w:val="32"/>
        </w:rPr>
        <w:t>万元，决算数</w:t>
      </w:r>
      <w:r>
        <w:rPr>
          <w:rFonts w:ascii="Times New Roman" w:eastAsia="仿宋_GB2312"/>
          <w:b w:val="false"/>
          <w:sz w:val="32"/>
          <w:szCs w:val="32"/>
        </w:rPr>
        <w:t>大于</w:t>
      </w:r>
      <w:r>
        <w:rPr>
          <w:rFonts w:ascii="Times New Roman" w:eastAsia="仿宋_GB2312"/>
          <w:b w:val="false"/>
          <w:sz w:val="32"/>
          <w:szCs w:val="32"/>
        </w:rPr>
        <w:t>预算数主要原因是</w:t>
      </w:r>
      <w:r>
        <w:rPr>
          <w:rFonts w:ascii="Times New Roman" w:eastAsia="仿宋_GB2312"/>
          <w:b w:val="false"/>
          <w:sz w:val="32"/>
          <w:szCs w:val="32"/>
        </w:rPr>
        <w:t>项目支出增加，如中央、省级农村综合改革转移支付资金；西山北寨段绿化资金；南寨灯笼坊等项目支出增加</w:t>
      </w:r>
      <w:r>
        <w:rPr>
          <w:rFonts w:ascii="Times New Roman" w:eastAsia="仿宋_GB2312"/>
          <w:b w:val="false"/>
          <w:sz w:val="32"/>
          <w:szCs w:val="32"/>
        </w:rPr>
        <w:t> 。具体情况如下：</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1. 一般公共预算财政拨款本年收入完成年初预算的</w:t>
      </w:r>
      <w:r>
        <w:rPr>
          <w:rFonts w:ascii="Times New Roman" w:eastAsia="仿宋_GB2312"/>
          <w:b w:val="false"/>
          <w:sz w:val="32"/>
          <w:szCs w:val="32"/>
        </w:rPr>
        <w:t>101.6</w:t>
      </w:r>
      <w:r>
        <w:rPr>
          <w:rFonts w:ascii="Times New Roman" w:eastAsia="仿宋_GB2312"/>
          <w:b w:val="false"/>
          <w:sz w:val="32"/>
          <w:szCs w:val="32"/>
        </w:rPr>
        <w:t> %，比年初预算</w:t>
      </w:r>
      <w:r>
        <w:rPr>
          <w:rFonts w:ascii="Times New Roman" w:eastAsia="仿宋_GB2312"/>
          <w:b w:val="false"/>
          <w:sz w:val="32"/>
          <w:szCs w:val="32"/>
        </w:rPr>
        <w:t>增加</w:t>
      </w:r>
      <w:r>
        <w:rPr>
          <w:rFonts w:ascii="Times New Roman" w:eastAsia="仿宋_GB2312"/>
          <w:b w:val="false"/>
          <w:sz w:val="32"/>
          <w:szCs w:val="32"/>
        </w:rPr>
        <w:t>30.47</w:t>
      </w:r>
      <w:r>
        <w:rPr>
          <w:rFonts w:ascii="Times New Roman" w:eastAsia="仿宋_GB2312"/>
          <w:b w:val="false"/>
          <w:sz w:val="32"/>
          <w:szCs w:val="32"/>
        </w:rPr>
        <w:t>万元，主要原因是</w:t>
      </w:r>
      <w:r>
        <w:rPr>
          <w:rFonts w:ascii="Times New Roman" w:eastAsia="仿宋_GB2312"/>
          <w:b w:val="false"/>
          <w:sz w:val="32"/>
          <w:szCs w:val="32"/>
        </w:rPr>
        <w:t>项目增加，如中央、省级农村综合改革转移支付资金；西山北寨段绿化资金；南寨灯笼坊等项目收入增加</w:t>
      </w:r>
      <w:r>
        <w:rPr>
          <w:rFonts w:ascii="Times New Roman" w:eastAsia="仿宋_GB2312"/>
          <w:b w:val="false"/>
          <w:sz w:val="32"/>
          <w:szCs w:val="32"/>
        </w:rPr>
        <w:t>；支出完成年初预算的</w:t>
      </w:r>
      <w:r>
        <w:rPr>
          <w:rFonts w:ascii="Times New Roman" w:eastAsia="仿宋_GB2312"/>
          <w:b w:val="false"/>
          <w:sz w:val="32"/>
          <w:szCs w:val="32"/>
        </w:rPr>
        <w:t>101.6</w:t>
      </w:r>
      <w:r>
        <w:rPr>
          <w:rFonts w:ascii="Times New Roman" w:eastAsia="仿宋_GB2312"/>
          <w:b w:val="false"/>
          <w:sz w:val="32"/>
          <w:szCs w:val="32"/>
        </w:rPr>
        <w:t>%，比年初预算</w:t>
      </w:r>
      <w:r>
        <w:rPr>
          <w:rFonts w:ascii="Times New Roman" w:eastAsia="仿宋_GB2312"/>
          <w:b w:val="false"/>
          <w:sz w:val="32"/>
          <w:szCs w:val="32"/>
        </w:rPr>
        <w:t>增加</w:t>
      </w:r>
      <w:r>
        <w:rPr>
          <w:rFonts w:ascii="Times New Roman" w:eastAsia="仿宋_GB2312"/>
          <w:b w:val="false"/>
          <w:sz w:val="32"/>
          <w:szCs w:val="32"/>
        </w:rPr>
        <w:t>30.47</w:t>
      </w:r>
      <w:r>
        <w:rPr>
          <w:rFonts w:ascii="Times New Roman" w:eastAsia="仿宋_GB2312"/>
          <w:b w:val="false"/>
          <w:sz w:val="32"/>
          <w:szCs w:val="32"/>
        </w:rPr>
        <w:t>万元，主要原因是</w:t>
      </w:r>
      <w:r>
        <w:rPr>
          <w:rFonts w:ascii="Times New Roman" w:eastAsia="仿宋_GB2312"/>
          <w:b w:val="false"/>
          <w:sz w:val="32"/>
          <w:szCs w:val="32"/>
        </w:rPr>
        <w:t>项目增加，如中央、省级农村综合改革转移支付资金；西山北寨段绿化资金；南寨灯笼坊等项目支出增加</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2. 政府性基金预算财政拨款本年收入完成年初预算的</w:t>
      </w:r>
      <w:r>
        <w:rPr>
          <w:rFonts w:ascii="Times New Roman" w:eastAsia="仿宋_GB2312"/>
          <w:b w:val="false"/>
          <w:sz w:val="32"/>
          <w:szCs w:val="32"/>
        </w:rPr>
        <w:t>0.0</w:t>
      </w:r>
      <w:r>
        <w:rPr>
          <w:rFonts w:ascii="Times New Roman" w:eastAsia="仿宋_GB2312"/>
          <w:b w:val="false"/>
          <w:sz w:val="32"/>
          <w:szCs w:val="32"/>
        </w:rPr>
        <w:t>%，比年初预算</w:t>
      </w:r>
      <w:r>
        <w:rPr>
          <w:rFonts w:ascii="Times New Roman" w:eastAsia="仿宋_GB2312"/>
          <w:b w:val="false"/>
          <w:sz w:val="32"/>
          <w:szCs w:val="32"/>
        </w:rPr>
        <w:t>增加</w:t>
      </w:r>
      <w:r>
        <w:rPr>
          <w:rFonts w:ascii="Times New Roman" w:eastAsia="仿宋_GB2312"/>
          <w:b w:val="false"/>
          <w:sz w:val="32"/>
          <w:szCs w:val="32"/>
        </w:rPr>
        <w:t>0.00</w:t>
      </w:r>
      <w:r>
        <w:rPr>
          <w:rFonts w:ascii="Times New Roman" w:eastAsia="仿宋_GB2312"/>
          <w:b w:val="false"/>
          <w:sz w:val="32"/>
          <w:szCs w:val="32"/>
        </w:rPr>
        <w:t>万元，主要原因是</w:t>
      </w:r>
      <w:r>
        <w:rPr>
          <w:rFonts w:ascii="Times New Roman" w:eastAsia="仿宋_GB2312"/>
          <w:b w:val="false"/>
          <w:sz w:val="32"/>
          <w:szCs w:val="32"/>
        </w:rPr>
        <w:t>2024年度我单位无政府性基金财政拨款项目预算</w:t>
      </w:r>
      <w:r>
        <w:rPr>
          <w:rFonts w:ascii="Times New Roman" w:eastAsia="仿宋_GB2312"/>
          <w:b w:val="false"/>
          <w:sz w:val="32"/>
          <w:szCs w:val="32"/>
        </w:rPr>
        <w:t>；支出完成年初预算的</w:t>
      </w:r>
      <w:r>
        <w:rPr>
          <w:rFonts w:ascii="Times New Roman" w:eastAsia="仿宋_GB2312"/>
          <w:b w:val="false"/>
          <w:sz w:val="32"/>
          <w:szCs w:val="32"/>
        </w:rPr>
        <w:t>0.0</w:t>
      </w:r>
      <w:r>
        <w:rPr>
          <w:rFonts w:ascii="Times New Roman" w:eastAsia="仿宋_GB2312"/>
          <w:b w:val="false"/>
          <w:sz w:val="32"/>
          <w:szCs w:val="32"/>
        </w:rPr>
        <w:t>%，比年初预算</w:t>
      </w:r>
      <w:r>
        <w:rPr>
          <w:rFonts w:ascii="Times New Roman" w:eastAsia="仿宋_GB2312"/>
          <w:b w:val="false"/>
          <w:sz w:val="32"/>
          <w:szCs w:val="32"/>
        </w:rPr>
        <w:t>增加</w:t>
      </w:r>
      <w:r>
        <w:rPr>
          <w:rFonts w:ascii="Times New Roman" w:eastAsia="仿宋_GB2312"/>
          <w:b w:val="false"/>
          <w:sz w:val="32"/>
          <w:szCs w:val="32"/>
        </w:rPr>
        <w:t>0.00</w:t>
      </w:r>
      <w:r>
        <w:rPr>
          <w:rFonts w:ascii="Times New Roman" w:eastAsia="仿宋_GB2312"/>
          <w:b w:val="false"/>
          <w:sz w:val="32"/>
          <w:szCs w:val="32"/>
        </w:rPr>
        <w:t>万元，主要原因是</w:t>
      </w:r>
      <w:r>
        <w:rPr>
          <w:rFonts w:ascii="Times New Roman" w:eastAsia="仿宋_GB2312"/>
          <w:b w:val="false"/>
          <w:sz w:val="32"/>
          <w:szCs w:val="32"/>
        </w:rPr>
        <w:t>2024年度我单位无政府性基金财政拨款项目预算</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3. 国有资本经营预算财政拨款本年收入完成年初预算的</w:t>
      </w:r>
      <w:r>
        <w:rPr>
          <w:rFonts w:ascii="Times New Roman" w:eastAsia="仿宋_GB2312"/>
          <w:b w:val="false"/>
          <w:sz w:val="32"/>
          <w:szCs w:val="32"/>
        </w:rPr>
        <w:t>0.0</w:t>
      </w:r>
      <w:r>
        <w:rPr>
          <w:rFonts w:ascii="Times New Roman" w:eastAsia="仿宋_GB2312"/>
          <w:b w:val="false"/>
          <w:sz w:val="32"/>
          <w:szCs w:val="32"/>
        </w:rPr>
        <w:t> %，比年初预算</w:t>
      </w:r>
      <w:r>
        <w:rPr>
          <w:rFonts w:ascii="Times New Roman" w:eastAsia="仿宋_GB2312"/>
          <w:b w:val="false"/>
          <w:sz w:val="32"/>
          <w:szCs w:val="32"/>
        </w:rPr>
        <w:t>增加</w:t>
      </w:r>
      <w:r>
        <w:rPr>
          <w:rFonts w:ascii="Times New Roman" w:eastAsia="仿宋_GB2312"/>
          <w:b w:val="false"/>
          <w:sz w:val="32"/>
          <w:szCs w:val="32"/>
        </w:rPr>
        <w:t>0.00</w:t>
      </w:r>
      <w:r>
        <w:rPr>
          <w:rFonts w:ascii="Times New Roman" w:eastAsia="仿宋_GB2312"/>
          <w:b w:val="false"/>
          <w:sz w:val="32"/>
          <w:szCs w:val="32"/>
        </w:rPr>
        <w:t>万元，主要原因是</w:t>
      </w:r>
      <w:r>
        <w:rPr>
          <w:rFonts w:ascii="Times New Roman" w:eastAsia="仿宋_GB2312"/>
          <w:b w:val="false"/>
          <w:sz w:val="32"/>
          <w:szCs w:val="32"/>
        </w:rPr>
        <w:t>2024年度我单位无国有资本经营预算财政拨款项目预算</w:t>
      </w:r>
      <w:r>
        <w:rPr>
          <w:rFonts w:ascii="Times New Roman" w:eastAsia="仿宋_GB2312"/>
          <w:b w:val="false"/>
          <w:sz w:val="32"/>
          <w:szCs w:val="32"/>
        </w:rPr>
        <w:t>；支出完成年初预算的</w:t>
      </w:r>
      <w:r>
        <w:rPr>
          <w:rFonts w:ascii="Times New Roman" w:eastAsia="仿宋_GB2312"/>
          <w:b w:val="false"/>
          <w:sz w:val="32"/>
          <w:szCs w:val="32"/>
        </w:rPr>
        <w:t>0.0</w:t>
      </w:r>
      <w:r>
        <w:rPr>
          <w:rFonts w:ascii="Times New Roman" w:eastAsia="仿宋_GB2312"/>
          <w:b w:val="false"/>
          <w:sz w:val="32"/>
          <w:szCs w:val="32"/>
        </w:rPr>
        <w:t>%，比年初预算</w:t>
      </w:r>
      <w:r>
        <w:rPr>
          <w:rFonts w:ascii="Times New Roman" w:eastAsia="仿宋_GB2312"/>
          <w:b w:val="false"/>
          <w:sz w:val="32"/>
          <w:szCs w:val="32"/>
        </w:rPr>
        <w:t>增加</w:t>
      </w:r>
      <w:r>
        <w:rPr>
          <w:rFonts w:ascii="Times New Roman" w:eastAsia="仿宋_GB2312"/>
          <w:b w:val="false"/>
          <w:sz w:val="32"/>
          <w:szCs w:val="32"/>
        </w:rPr>
        <w:t>0.00</w:t>
      </w:r>
      <w:r>
        <w:rPr>
          <w:rFonts w:ascii="Times New Roman" w:eastAsia="仿宋_GB2312"/>
          <w:b w:val="false"/>
          <w:sz w:val="32"/>
          <w:szCs w:val="32"/>
        </w:rPr>
        <w:t>万元，主要原因是</w:t>
      </w:r>
      <w:r>
        <w:rPr>
          <w:rFonts w:ascii="Times New Roman" w:eastAsia="仿宋_GB2312"/>
          <w:b w:val="false"/>
          <w:sz w:val="32"/>
          <w:szCs w:val="32"/>
        </w:rPr>
        <w:t>2024年度我单位无国有资本经营预算财政拨款项目预算</w:t>
      </w:r>
      <w:r>
        <w:rPr>
          <w:rFonts w:ascii="Times New Roman" w:eastAsia="仿宋_GB2312"/>
          <w:b w:val="false"/>
          <w:sz w:val="32"/>
          <w:szCs w:val="32"/>
        </w:rPr>
        <w:t>。</w:t>
      </w:r>
    </w:p>
    <w:p w14:paraId="39F845FE">
      <w:pPr>
        <w:pStyle w:val="10"/>
        <w:keepNext w:val="false"/>
        <w:keepLines w:val="false"/>
        <w:widowControl/>
        <w:suppressLineNumbers w:val="false"/>
        <w:pBdr>
          <w:top w:val="none" w:color="auto" w:sz="0" w:space="0"/>
          <w:left w:val="none" w:color="auto" w:sz="0" w:space="0"/>
          <w:bottom w:val="none" w:color="auto" w:sz="0" w:space="0"/>
          <w:right w:val="none" w:color="auto" w:sz="0" w:space="0"/>
        </w:pBdr>
        <w:spacing w:before="0" w:beforeAutospacing="false" w:after="0" w:afterAutospacing="false"/>
        <w:ind w:left="0" w:right="0"/>
        <w:jc w:val="left"/>
        <w:rPr>
          <w:rFonts w:hint="default" w:ascii="Times New Roman" w:hAnsi="Times New Roman" w:eastAsia="Arial" w:cs="Times New Roman"/>
          <w:highlight w:val="none"/>
        </w:rPr>
      </w:pPr>
    </w:p>
    <w:p w14:paraId="5BE36D14">
      <w:pPr>
        <w:pStyle w:val="10"/>
        <w:keepNext w:val="false"/>
        <w:keepLines w:val="false"/>
        <w:widowControl/>
        <w:suppressLineNumbers w:val="false"/>
        <w:pBdr>
          <w:top w:val="none" w:color="auto" w:sz="0" w:space="0"/>
          <w:left w:val="none" w:color="auto" w:sz="0" w:space="0"/>
          <w:bottom w:val="none" w:color="auto" w:sz="0" w:space="0"/>
          <w:right w:val="none" w:color="auto" w:sz="0" w:space="0"/>
        </w:pBdr>
        <w:spacing w:before="0" w:beforeAutospacing="false" w:after="0" w:afterAutospacing="false"/>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a:graphicData uri="http://schemas.openxmlformats.org/drawingml/2006/chart">
                <c:chart r:id="rId15"/>
              </a:graphicData>
            </a:graphic>
          </wp:inline>
        </w:drawing>
      </w:r>
    </w:p>
    <w:p>
      <w:pPr>
        <w:widowControl w:val="true"/>
        <w:spacing w:before="0" w:beforeLines="0" w:beforeAutospacing="false" w:after="0" w:afterLines="0" w:afterAutospacing="false" w:line="360" w:lineRule="auto"/>
        <w:ind w:firstLine="200" w:firstLineChars="200"/>
        <w:jc w:val="left"/>
        <w:rPr>
          <w:rFonts w:ascii="Times New Roman" w:eastAsia="楷体_GB2312"/>
          <w:sz w:val="32"/>
          <w:szCs w:val="32"/>
        </w:rPr>
      </w:pPr>
      <w:r>
        <w:rPr>
          <w:rFonts w:ascii="Times New Roman" w:eastAsia="楷体_GB2312"/>
          <w:b w:val="true"/>
          <w:sz w:val="32"/>
          <w:szCs w:val="32"/>
        </w:rPr>
        <w:t>（三）财政拨款支出决算结构情况</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  2024年度财政拨款支出</w:t>
      </w:r>
      <w:r>
        <w:rPr>
          <w:rFonts w:ascii="Times New Roman" w:eastAsia="仿宋_GB2312"/>
          <w:b w:val="false"/>
          <w:sz w:val="32"/>
          <w:szCs w:val="32"/>
        </w:rPr>
        <w:t>1,995.35</w:t>
      </w:r>
      <w:r>
        <w:rPr>
          <w:rFonts w:ascii="Times New Roman" w:eastAsia="仿宋_GB2312"/>
          <w:b w:val="false"/>
          <w:sz w:val="32"/>
          <w:szCs w:val="32"/>
        </w:rPr>
        <w:t>万元，主要用于以下方面：</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一般公共预算财政拨款支出：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一般公共服务（类）支出​</w:t>
      </w:r>
      <w:r>
        <w:rPr>
          <w:rFonts w:ascii="Times New Roman" w:eastAsia="仿宋_GB2312"/>
          <w:b w:val="false"/>
          <w:sz w:val="32"/>
          <w:szCs w:val="32"/>
        </w:rPr>
        <w:t>880.73</w:t>
      </w:r>
      <w:r>
        <w:rPr>
          <w:rFonts w:ascii="Times New Roman" w:eastAsia="仿宋_GB2312"/>
          <w:b w:val="false"/>
          <w:sz w:val="32"/>
          <w:szCs w:val="32"/>
        </w:rPr>
        <w:t>万元，占​</w:t>
      </w:r>
      <w:r>
        <w:rPr>
          <w:rFonts w:ascii="Times New Roman" w:eastAsia="仿宋_GB2312"/>
          <w:b w:val="false"/>
          <w:sz w:val="32"/>
          <w:szCs w:val="32"/>
        </w:rPr>
        <w:t>44.1</w:t>
      </w:r>
      <w:r>
        <w:rPr>
          <w:rFonts w:ascii="Times New Roman" w:eastAsia="仿宋_GB2312"/>
          <w:b w:val="false"/>
          <w:sz w:val="32"/>
          <w:szCs w:val="32"/>
        </w:rPr>
        <w:t>​%，主要用于</w:t>
      </w:r>
      <w:r>
        <w:rPr>
          <w:rFonts w:ascii="Times New Roman" w:eastAsia="仿宋_GB2312"/>
          <w:b w:val="false"/>
          <w:sz w:val="32"/>
          <w:szCs w:val="32"/>
        </w:rPr>
        <w:t>在职及退休人员工资社保类支出、办公经费</w:t>
      </w:r>
      <w:r>
        <w:rPr>
          <w:rFonts w:ascii="Times New Roman" w:eastAsia="仿宋_GB2312"/>
          <w:b w:val="false"/>
          <w:sz w:val="32"/>
          <w:szCs w:val="32"/>
        </w:rPr>
        <w:t>等支出；外交（类）支出​​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等支出；国防（类）支出​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等支出；公共安全类（类）支出​​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等支出；教育（类）支出​​</w:t>
      </w:r>
      <w:r>
        <w:rPr>
          <w:rFonts w:ascii="Times New Roman" w:eastAsia="仿宋_GB2312"/>
          <w:b w:val="false"/>
          <w:sz w:val="32"/>
          <w:szCs w:val="32"/>
        </w:rPr>
        <w:t>76.56</w:t>
      </w:r>
      <w:r>
        <w:rPr>
          <w:rFonts w:ascii="Times New Roman" w:eastAsia="仿宋_GB2312"/>
          <w:b w:val="false"/>
          <w:sz w:val="32"/>
          <w:szCs w:val="32"/>
        </w:rPr>
        <w:t>​万元，占</w:t>
      </w:r>
      <w:r>
        <w:rPr>
          <w:rFonts w:ascii="Times New Roman" w:eastAsia="仿宋_GB2312"/>
          <w:b w:val="false"/>
          <w:sz w:val="32"/>
          <w:szCs w:val="32"/>
        </w:rPr>
        <w:t>3.8</w:t>
      </w:r>
      <w:r>
        <w:rPr>
          <w:rFonts w:ascii="Times New Roman" w:eastAsia="仿宋_GB2312"/>
          <w:b w:val="false"/>
          <w:sz w:val="32"/>
          <w:szCs w:val="32"/>
        </w:rPr>
        <w:t>​​%，主要用于</w:t>
      </w:r>
      <w:r>
        <w:rPr>
          <w:rFonts w:ascii="Times New Roman" w:eastAsia="仿宋_GB2312"/>
          <w:b w:val="false"/>
          <w:sz w:val="32"/>
          <w:szCs w:val="32"/>
        </w:rPr>
        <w:t>学校临时用工</w:t>
      </w:r>
      <w:r>
        <w:rPr>
          <w:rFonts w:ascii="Times New Roman" w:eastAsia="仿宋_GB2312"/>
          <w:b w:val="false"/>
          <w:sz w:val="32"/>
          <w:szCs w:val="32"/>
        </w:rPr>
        <w:t>等支出；科学技术（类）支出​​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等支出；文化旅游体育与传媒（类）支出​​</w:t>
      </w:r>
      <w:r>
        <w:rPr>
          <w:rFonts w:ascii="Times New Roman" w:eastAsia="仿宋_GB2312"/>
          <w:b w:val="false"/>
          <w:sz w:val="32"/>
          <w:szCs w:val="32"/>
        </w:rPr>
        <w:t>1.00</w:t>
      </w:r>
      <w:r>
        <w:rPr>
          <w:rFonts w:ascii="Times New Roman" w:eastAsia="仿宋_GB2312"/>
          <w:b w:val="false"/>
          <w:sz w:val="32"/>
          <w:szCs w:val="32"/>
        </w:rPr>
        <w:t>万元，占</w:t>
      </w:r>
      <w:r>
        <w:rPr>
          <w:rFonts w:ascii="Times New Roman" w:eastAsia="仿宋_GB2312"/>
          <w:b w:val="false"/>
          <w:sz w:val="32"/>
          <w:szCs w:val="32"/>
        </w:rPr>
        <w:t>0.1</w:t>
      </w:r>
      <w:r>
        <w:rPr>
          <w:rFonts w:ascii="Times New Roman" w:eastAsia="仿宋_GB2312"/>
          <w:b w:val="false"/>
          <w:sz w:val="32"/>
          <w:szCs w:val="32"/>
        </w:rPr>
        <w:t>​​​%，主要用于</w:t>
      </w:r>
      <w:r>
        <w:rPr>
          <w:rFonts w:ascii="Times New Roman" w:eastAsia="仿宋_GB2312"/>
          <w:b w:val="false"/>
          <w:sz w:val="32"/>
          <w:szCs w:val="32"/>
        </w:rPr>
        <w:t>文化站免费开放</w:t>
      </w:r>
      <w:r>
        <w:rPr>
          <w:rFonts w:ascii="Times New Roman" w:eastAsia="仿宋_GB2312"/>
          <w:b w:val="false"/>
          <w:sz w:val="32"/>
          <w:szCs w:val="32"/>
        </w:rPr>
        <w:t>等支出；社会保障和就业 （类）支出</w:t>
      </w:r>
      <w:r>
        <w:rPr>
          <w:rFonts w:ascii="Times New Roman" w:eastAsia="仿宋_GB2312"/>
          <w:b w:val="false"/>
          <w:sz w:val="32"/>
          <w:szCs w:val="32"/>
        </w:rPr>
        <w:t>75.37</w:t>
      </w:r>
      <w:r>
        <w:rPr>
          <w:rFonts w:ascii="Times New Roman" w:eastAsia="仿宋_GB2312"/>
          <w:b w:val="false"/>
          <w:sz w:val="32"/>
          <w:szCs w:val="32"/>
        </w:rPr>
        <w:t>​​​万元，占​​</w:t>
      </w:r>
      <w:r>
        <w:rPr>
          <w:rFonts w:ascii="Times New Roman" w:eastAsia="仿宋_GB2312"/>
          <w:b w:val="false"/>
          <w:sz w:val="32"/>
          <w:szCs w:val="32"/>
        </w:rPr>
        <w:t>3.8</w:t>
      </w:r>
      <w:r>
        <w:rPr>
          <w:rFonts w:ascii="Times New Roman" w:eastAsia="仿宋_GB2312"/>
          <w:b w:val="false"/>
          <w:sz w:val="32"/>
          <w:szCs w:val="32"/>
        </w:rPr>
        <w:t>​%，主要用于</w:t>
      </w:r>
      <w:r>
        <w:rPr>
          <w:rFonts w:ascii="Times New Roman" w:eastAsia="仿宋_GB2312"/>
          <w:b w:val="false"/>
          <w:sz w:val="32"/>
          <w:szCs w:val="32"/>
        </w:rPr>
        <w:t>基本养老保险</w:t>
      </w:r>
      <w:r>
        <w:rPr>
          <w:rFonts w:ascii="Times New Roman" w:eastAsia="仿宋_GB2312"/>
          <w:b w:val="false"/>
          <w:sz w:val="32"/>
          <w:szCs w:val="32"/>
        </w:rPr>
        <w:t>等支出；卫生健康（类）支出​​</w:t>
      </w:r>
      <w:r>
        <w:rPr>
          <w:rFonts w:ascii="Times New Roman" w:eastAsia="仿宋_GB2312"/>
          <w:b w:val="false"/>
          <w:sz w:val="32"/>
          <w:szCs w:val="32"/>
        </w:rPr>
        <w:t>44.90</w:t>
      </w:r>
      <w:r>
        <w:rPr>
          <w:rFonts w:ascii="Times New Roman" w:eastAsia="仿宋_GB2312"/>
          <w:b w:val="false"/>
          <w:sz w:val="32"/>
          <w:szCs w:val="32"/>
        </w:rPr>
        <w:t>万元，占​​</w:t>
      </w:r>
      <w:r>
        <w:rPr>
          <w:rFonts w:ascii="Times New Roman" w:eastAsia="仿宋_GB2312"/>
          <w:b w:val="false"/>
          <w:sz w:val="32"/>
          <w:szCs w:val="32"/>
        </w:rPr>
        <w:t>2.3</w:t>
      </w:r>
      <w:r>
        <w:rPr>
          <w:rFonts w:ascii="Times New Roman" w:eastAsia="仿宋_GB2312"/>
          <w:b w:val="false"/>
          <w:sz w:val="32"/>
          <w:szCs w:val="32"/>
        </w:rPr>
        <w:t>%，主要用于</w:t>
      </w:r>
      <w:r>
        <w:rPr>
          <w:rFonts w:ascii="Times New Roman" w:eastAsia="仿宋_GB2312"/>
          <w:b w:val="false"/>
          <w:sz w:val="32"/>
          <w:szCs w:val="32"/>
        </w:rPr>
        <w:t>医疗保险、公务员医疗补助</w:t>
      </w:r>
      <w:r>
        <w:rPr>
          <w:rFonts w:ascii="Times New Roman" w:eastAsia="仿宋_GB2312"/>
          <w:b w:val="false"/>
          <w:sz w:val="32"/>
          <w:szCs w:val="32"/>
        </w:rPr>
        <w:t>等支出；节能环保（类）支出​​</w:t>
      </w:r>
      <w:r>
        <w:rPr>
          <w:rFonts w:ascii="Times New Roman" w:eastAsia="仿宋_GB2312"/>
          <w:b w:val="false"/>
          <w:sz w:val="32"/>
          <w:szCs w:val="32"/>
        </w:rPr>
        <w:t>10.00</w:t>
      </w:r>
      <w:r>
        <w:rPr>
          <w:rFonts w:ascii="Times New Roman" w:eastAsia="仿宋_GB2312"/>
          <w:b w:val="false"/>
          <w:sz w:val="32"/>
          <w:szCs w:val="32"/>
        </w:rPr>
        <w:t>​万元，占</w:t>
      </w:r>
      <w:r>
        <w:rPr>
          <w:rFonts w:ascii="Times New Roman" w:eastAsia="仿宋_GB2312"/>
          <w:b w:val="false"/>
          <w:sz w:val="32"/>
          <w:szCs w:val="32"/>
        </w:rPr>
        <w:t>0.5</w:t>
      </w:r>
      <w:r>
        <w:rPr>
          <w:rFonts w:ascii="Times New Roman" w:eastAsia="仿宋_GB2312"/>
          <w:b w:val="false"/>
          <w:sz w:val="32"/>
          <w:szCs w:val="32"/>
        </w:rPr>
        <w:t>​​%，主要用于</w:t>
      </w:r>
      <w:r>
        <w:rPr>
          <w:rFonts w:ascii="Times New Roman" w:eastAsia="仿宋_GB2312"/>
          <w:b w:val="false"/>
          <w:sz w:val="32"/>
          <w:szCs w:val="32"/>
        </w:rPr>
        <w:t>大气防治</w:t>
      </w:r>
      <w:r>
        <w:rPr>
          <w:rFonts w:ascii="Times New Roman" w:eastAsia="仿宋_GB2312"/>
          <w:b w:val="false"/>
          <w:sz w:val="32"/>
          <w:szCs w:val="32"/>
        </w:rPr>
        <w:t>等支出；城乡社区（类）支出</w:t>
      </w:r>
      <w:r>
        <w:rPr>
          <w:rFonts w:ascii="Times New Roman" w:eastAsia="仿宋_GB2312"/>
          <w:b w:val="false"/>
          <w:sz w:val="32"/>
          <w:szCs w:val="32"/>
        </w:rPr>
        <w:t>779.95</w:t>
      </w:r>
      <w:r>
        <w:rPr>
          <w:rFonts w:ascii="Times New Roman" w:eastAsia="仿宋_GB2312"/>
          <w:b w:val="false"/>
          <w:sz w:val="32"/>
          <w:szCs w:val="32"/>
        </w:rPr>
        <w:t>​​万元，占</w:t>
      </w:r>
      <w:r>
        <w:rPr>
          <w:rFonts w:ascii="Times New Roman" w:eastAsia="仿宋_GB2312"/>
          <w:b w:val="false"/>
          <w:sz w:val="32"/>
          <w:szCs w:val="32"/>
        </w:rPr>
        <w:t>39.1</w:t>
      </w:r>
      <w:r>
        <w:rPr>
          <w:rFonts w:ascii="Times New Roman" w:eastAsia="仿宋_GB2312"/>
          <w:b w:val="false"/>
          <w:sz w:val="32"/>
          <w:szCs w:val="32"/>
        </w:rPr>
        <w:t>​%，主要用于</w:t>
      </w:r>
      <w:r>
        <w:rPr>
          <w:rFonts w:ascii="Times New Roman" w:eastAsia="仿宋_GB2312"/>
          <w:b w:val="false"/>
          <w:sz w:val="32"/>
          <w:szCs w:val="32"/>
        </w:rPr>
        <w:t>农村综合改革转移支付资金、西山北寨段绿化、山前大道山前大道北寨至上寨段改建项目</w:t>
      </w:r>
      <w:r>
        <w:rPr>
          <w:rFonts w:ascii="Times New Roman" w:eastAsia="仿宋_GB2312"/>
          <w:b w:val="false"/>
          <w:sz w:val="32"/>
          <w:szCs w:val="32"/>
        </w:rPr>
        <w:t>等支出；农林水（类）支出</w:t>
      </w:r>
      <w:r>
        <w:rPr>
          <w:rFonts w:ascii="Times New Roman" w:eastAsia="仿宋_GB2312"/>
          <w:b w:val="false"/>
          <w:sz w:val="32"/>
          <w:szCs w:val="32"/>
        </w:rPr>
        <w:t>60.00</w:t>
      </w:r>
      <w:r>
        <w:rPr>
          <w:rFonts w:ascii="Times New Roman" w:eastAsia="仿宋_GB2312"/>
          <w:b w:val="false"/>
          <w:sz w:val="32"/>
          <w:szCs w:val="32"/>
        </w:rPr>
        <w:t>​万元，占​​</w:t>
      </w:r>
      <w:r>
        <w:rPr>
          <w:rFonts w:ascii="Times New Roman" w:eastAsia="仿宋_GB2312"/>
          <w:b w:val="false"/>
          <w:sz w:val="32"/>
          <w:szCs w:val="32"/>
        </w:rPr>
        <w:t>3.0</w:t>
      </w:r>
      <w:r>
        <w:rPr>
          <w:rFonts w:ascii="Times New Roman" w:eastAsia="仿宋_GB2312"/>
          <w:b w:val="false"/>
          <w:sz w:val="32"/>
          <w:szCs w:val="32"/>
        </w:rPr>
        <w:t>%，主要用于</w:t>
      </w:r>
      <w:r>
        <w:rPr>
          <w:rFonts w:ascii="Times New Roman" w:eastAsia="仿宋_GB2312"/>
          <w:b w:val="false"/>
          <w:sz w:val="32"/>
          <w:szCs w:val="32"/>
        </w:rPr>
        <w:t>环境卫生整治、南寨灯笼坊</w:t>
      </w:r>
      <w:r>
        <w:rPr>
          <w:rFonts w:ascii="Times New Roman" w:eastAsia="仿宋_GB2312"/>
          <w:b w:val="false"/>
          <w:sz w:val="32"/>
          <w:szCs w:val="32"/>
        </w:rPr>
        <w:t>等支出；交通运输（类）支出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等支出；资源勘探信息等（类）支出​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等支出；商业服务业等（类）支出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等支出；金融（类）支出​​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等支出；援助其他地区（类）支出​​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等支出；自然资源海洋气象等（类）支出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等支出；住房保障（类）支出</w:t>
      </w:r>
      <w:r>
        <w:rPr>
          <w:rFonts w:ascii="Times New Roman" w:eastAsia="仿宋_GB2312"/>
          <w:b w:val="false"/>
          <w:sz w:val="32"/>
          <w:szCs w:val="32"/>
        </w:rPr>
        <w:t>66.84</w:t>
      </w:r>
      <w:r>
        <w:rPr>
          <w:rFonts w:ascii="Times New Roman" w:eastAsia="仿宋_GB2312"/>
          <w:b w:val="false"/>
          <w:sz w:val="32"/>
          <w:szCs w:val="32"/>
        </w:rPr>
        <w:t>​​​万元，占</w:t>
      </w:r>
      <w:r>
        <w:rPr>
          <w:rFonts w:ascii="Times New Roman" w:eastAsia="仿宋_GB2312"/>
          <w:b w:val="false"/>
          <w:sz w:val="32"/>
          <w:szCs w:val="32"/>
        </w:rPr>
        <w:t>3.3</w:t>
      </w:r>
      <w:r>
        <w:rPr>
          <w:rFonts w:ascii="Times New Roman" w:eastAsia="仿宋_GB2312"/>
          <w:b w:val="false"/>
          <w:sz w:val="32"/>
          <w:szCs w:val="32"/>
        </w:rPr>
        <w:t>​​​%，主要用于</w:t>
      </w:r>
      <w:r>
        <w:rPr>
          <w:rFonts w:ascii="Times New Roman" w:eastAsia="仿宋_GB2312"/>
          <w:b w:val="false"/>
          <w:sz w:val="32"/>
          <w:szCs w:val="32"/>
        </w:rPr>
        <w:t>住房公积金</w:t>
      </w:r>
      <w:r>
        <w:rPr>
          <w:rFonts w:ascii="Times New Roman" w:eastAsia="仿宋_GB2312"/>
          <w:b w:val="false"/>
          <w:sz w:val="32"/>
          <w:szCs w:val="32"/>
        </w:rPr>
        <w:t>等支出；粮油物资储备（类）支出​​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等支出；国有资本经营预算支出​​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等支出；害防治及应急管理（类）支出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等支出；其他（类）支出​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等支出；债务还本（类）支出​​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等支出；债务付息（类）支出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等支出；抗疫特别国债安排的支出​​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政府性基金预算财政拨款支出：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一般公共服务（类）支出​​​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等支出；外交（类）支出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等支出；国防（类）支出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等支出；公共安全类（类）支出​​​​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等支出；教育（类）支出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等支出；科学技术（类）支出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等支出；文化旅游体育与传媒（类）支出​​​​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等支出；社会保障和就业 （类）支出​​​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等支出；卫生健康（类）支出​​​​​​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等支出；节能环保（类）支出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等支出；城乡社区（类）支出​​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等支出；农林水（类）支出​​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等支出；交通运输（类）支出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等支出；资源勘探信息等（类）支出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等支出；商业服务业等（类）支出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等支出；金融（类）支出​​​​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等支出；援助其他地区（类）支出​​​​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等支出；自然资源海洋气象等（类）支出​​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等支出；住房保障（类）支出​​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等支出；粮油物资储备（类）支出​​​​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等支出；国有资本经营预算支出​​​​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等支出；害防治及应急管理（类）支出​​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等支出；其他（类）支出​​​​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等支出；债务还本（类）支出​​​​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等支出；债务付息（类）支出​​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等支出；抗疫特别国债安排的支出​​​​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国有资本经营预算财政拨款支出：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一般公共服务（类）支出​​​​​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等支出；外交（类）支出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等支出；国防（类）支出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等支出；公共安全（类）支出​​​​​​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等支出；教育（类）支出​​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等支出；科学技术（类）支出​​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等支出；文化旅游体育与传媒（类）支出​​​​​​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等支出；社会保障和就业 （类）支出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等支出；卫生健康（类）支出​​​​​​​​​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等支出；节能环保（类）支出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等支出；城乡社区（类）支出​​​​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等支出；农林水（类）支出​​​​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等支出；交通运输（类）支出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等支出；资源勘探信息等（类）支出​​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等支出；商业服务业等（类）支出​​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等支出；金融（类）支出​​​​​​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等支出；援助其他地区（类）支出​​​​​​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等支出；自然资源海洋气象等（类）支出​​​​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等支出；住房保障（类）支出​​​​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等支出；粮油物资储备（类）支出​​​​​​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等支出；国有资本经营预算支出​​​​​​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等支出；害防治及应急管理（类）支出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等支出；其他（类）支出​​​​​​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等支出；债务还本（类）支出​​​​​​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等支出；债务付息（类）支出​​​​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等支出；抗疫特别国债安排的支出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w:t>
      </w:r>
    </w:p>
    <w:p w14:paraId="36ED2E86">
      <w:pPr>
        <w:pStyle w:val="10"/>
        <w:keepNext w:val="false"/>
        <w:keepLines w:val="false"/>
        <w:pageBreakBefore w:val="false"/>
        <w:widowControl/>
        <w:suppressLineNumbers w:val="false"/>
        <w:pBdr>
          <w:top w:val="none" w:color="auto" w:sz="0" w:space="0"/>
          <w:left w:val="none" w:color="auto" w:sz="0" w:space="0"/>
          <w:bottom w:val="none" w:color="auto" w:sz="0" w:space="0"/>
          <w:right w:val="none" w:color="auto" w:sz="0" w:space="0"/>
        </w:pBdr>
        <w:kinsoku/>
        <w:wordWrap/>
        <w:overflowPunct/>
        <w:topLinePunct w:val="false"/>
        <w:autoSpaceDE/>
        <w:autoSpaceDN/>
        <w:bidi w:val="false"/>
        <w:spacing w:before="0" w:beforeAutospacing="false" w:after="0" w:afterAutospacing="false"/>
        <w:ind w:left="0" w:right="0"/>
        <w:jc w:val="left"/>
        <w:textAlignment w:val="auto"/>
        <w:rPr>
          <w:rFonts w:hint="default" w:ascii="Times New Roman" w:hAnsi="Times New Roman" w:eastAsia="仿宋_GB2312" w:cs="Times New Roman"/>
          <w:color w:val="auto"/>
          <w:kern w:val="2"/>
          <w:sz w:val="32"/>
          <w:szCs w:val="32"/>
          <w:lang w:val="zh-CN" w:eastAsia="zh-CN" w:bidi="ar-SA"/>
        </w:rPr>
      </w:pPr>
      <w:bookmarkStart w:name="_GoBack" w:id="0"/>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a:graphicData uri="http://schemas.openxmlformats.org/drawingml/2006/chart">
                <c:chart r:id="rId16"/>
              </a:graphicData>
            </a:graphic>
          </wp:inline>
        </w:drawing>
      </w:r>
      <w:bookmarkEnd w:id="0"/>
    </w:p>
    <w:p>
      <w:pPr>
        <w:widowControl w:val="true"/>
        <w:spacing w:before="0" w:beforeLines="0" w:beforeAutospacing="false" w:after="0" w:afterLines="0" w:afterAutospacing="false" w:line="360" w:lineRule="auto"/>
        <w:ind w:firstLine="200" w:firstLineChars="200"/>
        <w:jc w:val="left"/>
        <w:rPr>
          <w:rFonts w:ascii="Times New Roman" w:eastAsia="楷体_GB2312"/>
          <w:sz w:val="32"/>
          <w:szCs w:val="32"/>
        </w:rPr>
      </w:pPr>
      <w:r>
        <w:rPr>
          <w:rFonts w:ascii="Times New Roman" w:eastAsia="楷体_GB2312"/>
          <w:b w:val="true"/>
          <w:sz w:val="32"/>
          <w:szCs w:val="32"/>
        </w:rPr>
        <w:t>（四）一般公共预算基本支出决算情况说明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  2024年度财政拨款基本支出</w:t>
      </w:r>
      <w:r>
        <w:rPr>
          <w:rFonts w:ascii="Times New Roman" w:eastAsia="仿宋_GB2312"/>
          <w:b w:val="false"/>
          <w:sz w:val="32"/>
          <w:szCs w:val="32"/>
        </w:rPr>
        <w:t>915.81</w:t>
      </w:r>
      <w:r>
        <w:rPr>
          <w:rFonts w:ascii="Times New Roman" w:eastAsia="仿宋_GB2312"/>
          <w:b w:val="false"/>
          <w:sz w:val="32"/>
          <w:szCs w:val="32"/>
        </w:rPr>
        <w:t>万元，其中：</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人员经费​</w:t>
      </w:r>
      <w:r>
        <w:rPr>
          <w:rFonts w:ascii="Times New Roman" w:eastAsia="仿宋_GB2312"/>
          <w:b w:val="false"/>
          <w:sz w:val="32"/>
          <w:szCs w:val="32"/>
        </w:rPr>
        <w:t>730.11</w:t>
      </w:r>
      <w:r>
        <w:rPr>
          <w:rFonts w:ascii="Times New Roman" w:eastAsia="仿宋_GB2312"/>
          <w:b w:val="false"/>
          <w:sz w:val="32"/>
          <w:szCs w:val="32"/>
        </w:rPr>
        <w:t>​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公用经费​​</w:t>
      </w:r>
      <w:r>
        <w:rPr>
          <w:rFonts w:ascii="Times New Roman" w:eastAsia="仿宋_GB2312"/>
          <w:b w:val="false"/>
          <w:sz w:val="32"/>
          <w:szCs w:val="32"/>
        </w:rPr>
        <w:t>185.70</w:t>
      </w:r>
      <w:r>
        <w:rPr>
          <w:rFonts w:ascii="Times New Roman" w:eastAsia="仿宋_GB2312"/>
          <w:b w:val="false"/>
          <w:sz w:val="32"/>
          <w:szCs w:val="32"/>
        </w:rPr>
        <w:t>​万元，主要包括办公费、印刷费、咨询费、手续费、水费、电费、邮电费、取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widowControl w:val="true"/>
        <w:spacing w:before="0" w:beforeLines="0" w:beforeAutospacing="false" w:after="0" w:afterLines="0" w:afterAutospacing="false" w:line="360" w:lineRule="auto"/>
        <w:ind w:firstLine="200" w:firstLineChars="200"/>
        <w:jc w:val="left"/>
        <w:outlineLvl w:val="1"/>
        <w:rPr>
          <w:rFonts w:ascii="Times New Roman" w:eastAsia="黑体"/>
          <w:sz w:val="32"/>
          <w:szCs w:val="32"/>
        </w:rPr>
      </w:pPr>
      <w:r>
        <w:rPr>
          <w:rFonts w:ascii="Times New Roman" w:eastAsia="黑体"/>
          <w:b w:val="false"/>
          <w:sz w:val="32"/>
          <w:szCs w:val="32"/>
        </w:rPr>
        <w:t>五、财政拨款“三公” 经费支出决算情况说明</w:t>
      </w:r>
    </w:p>
    <w:p>
      <w:pPr>
        <w:widowControl w:val="true"/>
        <w:spacing w:before="0" w:beforeLines="0" w:beforeAutospacing="false" w:after="0" w:afterLines="0" w:afterAutospacing="false" w:line="360" w:lineRule="auto"/>
        <w:ind w:firstLine="200" w:firstLineChars="200"/>
        <w:jc w:val="left"/>
        <w:rPr>
          <w:rFonts w:ascii="Times New Roman" w:eastAsia="楷体_GB2312"/>
          <w:sz w:val="32"/>
          <w:szCs w:val="32"/>
        </w:rPr>
      </w:pPr>
      <w:r>
        <w:rPr>
          <w:rFonts w:ascii="Times New Roman" w:eastAsia="楷体_GB2312"/>
          <w:b w:val="true"/>
          <w:sz w:val="32"/>
          <w:szCs w:val="32"/>
        </w:rPr>
        <w:t>（一）“三公”经费财政拨款支出决算总体情况说明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本单位</w:t>
      </w:r>
      <w:r>
        <w:rPr>
          <w:rFonts w:ascii="Times New Roman" w:eastAsia="仿宋_GB2312"/>
          <w:b w:val="false"/>
          <w:sz w:val="32"/>
          <w:szCs w:val="32"/>
        </w:rPr>
        <w:t>2024年度“三公”经费财政拨款支出预算为</w:t>
      </w:r>
      <w:r>
        <w:rPr>
          <w:rFonts w:ascii="Times New Roman" w:eastAsia="仿宋_GB2312"/>
          <w:b w:val="false"/>
          <w:sz w:val="32"/>
          <w:szCs w:val="32"/>
        </w:rPr>
        <w:t>5.40</w:t>
      </w:r>
      <w:r>
        <w:rPr>
          <w:rFonts w:ascii="Times New Roman" w:eastAsia="仿宋_GB2312"/>
          <w:b w:val="false"/>
          <w:sz w:val="32"/>
          <w:szCs w:val="32"/>
        </w:rPr>
        <w:t>万元，支出决算为 </w:t>
      </w:r>
      <w:r>
        <w:rPr>
          <w:rFonts w:ascii="Times New Roman" w:eastAsia="仿宋_GB2312"/>
          <w:b w:val="false"/>
          <w:sz w:val="32"/>
          <w:szCs w:val="32"/>
        </w:rPr>
        <w:t>5.40</w:t>
      </w:r>
      <w:r>
        <w:rPr>
          <w:rFonts w:ascii="Times New Roman" w:eastAsia="仿宋_GB2312"/>
          <w:b w:val="false"/>
          <w:sz w:val="32"/>
          <w:szCs w:val="32"/>
        </w:rPr>
        <w:t>万元，完成预算的 </w:t>
      </w:r>
      <w:r>
        <w:rPr>
          <w:rFonts w:ascii="Times New Roman" w:eastAsia="仿宋_GB2312"/>
          <w:b w:val="false"/>
          <w:sz w:val="32"/>
          <w:szCs w:val="32"/>
        </w:rPr>
        <w:t>100.0</w:t>
      </w:r>
      <w:r>
        <w:rPr>
          <w:rFonts w:ascii="Times New Roman" w:eastAsia="仿宋_GB2312"/>
          <w:b w:val="false"/>
          <w:sz w:val="32"/>
          <w:szCs w:val="32"/>
        </w:rPr>
        <w:t>%，较预算</w:t>
      </w:r>
      <w:r>
        <w:rPr>
          <w:rFonts w:ascii="Times New Roman" w:eastAsia="仿宋_GB2312"/>
          <w:b w:val="false"/>
          <w:sz w:val="32"/>
          <w:szCs w:val="32"/>
        </w:rPr>
        <w:t>增加</w:t>
      </w:r>
      <w:r>
        <w:rPr>
          <w:rFonts w:ascii="Times New Roman" w:eastAsia="仿宋_GB2312"/>
          <w:b w:val="false"/>
          <w:sz w:val="32"/>
          <w:szCs w:val="32"/>
        </w:rPr>
        <w:t>0.00</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0.0</w:t>
      </w:r>
      <w:r>
        <w:rPr>
          <w:rFonts w:ascii="Times New Roman" w:eastAsia="仿宋_GB2312"/>
          <w:b w:val="false"/>
          <w:sz w:val="32"/>
          <w:szCs w:val="32"/>
        </w:rPr>
        <w:t>%，主要原因是</w:t>
      </w:r>
      <w:r>
        <w:rPr>
          <w:rFonts w:ascii="Times New Roman" w:eastAsia="仿宋_GB2312"/>
          <w:b w:val="false"/>
          <w:sz w:val="32"/>
          <w:szCs w:val="32"/>
        </w:rPr>
        <w:t>2024年度我单位公车数量未发生变化</w:t>
      </w:r>
      <w:r>
        <w:rPr>
          <w:rFonts w:ascii="Times New Roman" w:eastAsia="仿宋_GB2312"/>
          <w:b w:val="false"/>
          <w:sz w:val="32"/>
          <w:szCs w:val="32"/>
        </w:rPr>
        <w:t>；较2023年度决算</w:t>
      </w:r>
      <w:r>
        <w:rPr>
          <w:rFonts w:ascii="Times New Roman" w:eastAsia="仿宋_GB2312"/>
          <w:b w:val="false"/>
          <w:sz w:val="32"/>
          <w:szCs w:val="32"/>
        </w:rPr>
        <w:t>增加</w:t>
      </w:r>
      <w:r>
        <w:rPr>
          <w:rFonts w:ascii="Times New Roman" w:eastAsia="仿宋_GB2312"/>
          <w:b w:val="false"/>
          <w:sz w:val="32"/>
          <w:szCs w:val="32"/>
        </w:rPr>
        <w:t>0.04</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0.7</w:t>
      </w:r>
      <w:r>
        <w:rPr>
          <w:rFonts w:ascii="Times New Roman" w:eastAsia="仿宋_GB2312"/>
          <w:b w:val="false"/>
          <w:sz w:val="32"/>
          <w:szCs w:val="32"/>
        </w:rPr>
        <w:t>%，主要原因是</w:t>
      </w:r>
      <w:r>
        <w:rPr>
          <w:rFonts w:ascii="Times New Roman" w:eastAsia="仿宋_GB2312"/>
          <w:b w:val="false"/>
          <w:sz w:val="32"/>
          <w:szCs w:val="32"/>
        </w:rPr>
        <w:t>公车使用年限较长，维修及养护费增加</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rPr>
          <w:rFonts w:ascii="Times New Roman" w:eastAsia="楷体_GB2312"/>
          <w:sz w:val="32"/>
          <w:szCs w:val="32"/>
        </w:rPr>
      </w:pPr>
      <w:r>
        <w:rPr>
          <w:rFonts w:ascii="Times New Roman" w:eastAsia="楷体_GB2312"/>
          <w:b w:val="true"/>
          <w:sz w:val="32"/>
          <w:szCs w:val="32"/>
        </w:rPr>
        <w:t>（二）“三公”经费财政拨款支出决算具体情况说明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楷体_GB2312"/>
          <w:b w:val="true"/>
          <w:sz w:val="32"/>
          <w:szCs w:val="32"/>
        </w:rPr>
        <w:t> 1.因公出国（境）费支出情况。</w:t>
      </w:r>
      <w:r>
        <w:rPr>
          <w:rFonts w:ascii="Times New Roman" w:eastAsia="仿宋_GB2312"/>
          <w:b w:val="false"/>
          <w:sz w:val="32"/>
          <w:szCs w:val="32"/>
        </w:rPr>
        <w:t>本单位</w:t>
      </w:r>
      <w:r>
        <w:rPr>
          <w:rFonts w:ascii="Times New Roman" w:eastAsia="仿宋_GB2312"/>
          <w:b w:val="false"/>
          <w:sz w:val="32"/>
          <w:szCs w:val="32"/>
        </w:rPr>
        <w:t>2024年度因公出国（境）费支出预算为</w:t>
      </w:r>
      <w:r>
        <w:rPr>
          <w:rFonts w:ascii="Times New Roman" w:eastAsia="仿宋_GB2312"/>
          <w:b w:val="false"/>
          <w:sz w:val="32"/>
          <w:szCs w:val="32"/>
        </w:rPr>
        <w:t>0.00</w:t>
      </w:r>
      <w:r>
        <w:rPr>
          <w:rFonts w:ascii="Times New Roman" w:eastAsia="仿宋_GB2312"/>
          <w:b w:val="false"/>
          <w:sz w:val="32"/>
          <w:szCs w:val="32"/>
        </w:rPr>
        <w:t>万元,支出决算</w:t>
      </w:r>
      <w:r>
        <w:rPr>
          <w:rFonts w:ascii="Times New Roman" w:eastAsia="仿宋_GB2312"/>
          <w:b w:val="false"/>
          <w:sz w:val="32"/>
          <w:szCs w:val="32"/>
        </w:rPr>
        <w:t>0.00</w:t>
      </w:r>
      <w:r>
        <w:rPr>
          <w:rFonts w:ascii="Times New Roman" w:eastAsia="仿宋_GB2312"/>
          <w:b w:val="false"/>
          <w:sz w:val="32"/>
          <w:szCs w:val="32"/>
        </w:rPr>
        <w:t>万元。完成预算的</w:t>
      </w:r>
      <w:r>
        <w:rPr>
          <w:rFonts w:ascii="Times New Roman" w:eastAsia="仿宋_GB2312"/>
          <w:b w:val="false"/>
          <w:sz w:val="32"/>
          <w:szCs w:val="32"/>
        </w:rPr>
        <w:t>0.0</w:t>
      </w:r>
      <w:r>
        <w:rPr>
          <w:rFonts w:ascii="Times New Roman" w:eastAsia="仿宋_GB2312"/>
          <w:b w:val="false"/>
          <w:sz w:val="32"/>
          <w:szCs w:val="32"/>
        </w:rPr>
        <w:t>%。因公出国（境）费支出较预算</w:t>
      </w:r>
      <w:r>
        <w:rPr>
          <w:rFonts w:ascii="Times New Roman" w:eastAsia="仿宋_GB2312"/>
          <w:b w:val="false"/>
          <w:sz w:val="32"/>
          <w:szCs w:val="32"/>
        </w:rPr>
        <w:t>增加</w:t>
      </w:r>
      <w:r>
        <w:rPr>
          <w:rFonts w:ascii="Times New Roman" w:eastAsia="仿宋_GB2312"/>
          <w:b w:val="false"/>
          <w:sz w:val="32"/>
          <w:szCs w:val="32"/>
        </w:rPr>
        <w:t>0.00</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0.0</w:t>
      </w:r>
      <w:r>
        <w:rPr>
          <w:rFonts w:ascii="Times New Roman" w:eastAsia="仿宋_GB2312"/>
          <w:b w:val="false"/>
          <w:sz w:val="32"/>
          <w:szCs w:val="32"/>
        </w:rPr>
        <w:t>%,主要原因是</w:t>
      </w:r>
      <w:r>
        <w:rPr>
          <w:rFonts w:ascii="Times New Roman" w:eastAsia="仿宋_GB2312"/>
          <w:b w:val="false"/>
          <w:sz w:val="32"/>
          <w:szCs w:val="32"/>
        </w:rPr>
        <w:t>2024年度我单位因公出国（境）预算</w:t>
      </w:r>
      <w:r>
        <w:rPr>
          <w:rFonts w:ascii="Times New Roman" w:eastAsia="仿宋_GB2312"/>
          <w:b w:val="false"/>
          <w:sz w:val="32"/>
          <w:szCs w:val="32"/>
        </w:rPr>
        <w:t>；较上年</w:t>
      </w:r>
      <w:r>
        <w:rPr>
          <w:rFonts w:ascii="Times New Roman" w:eastAsia="仿宋_GB2312"/>
          <w:b w:val="false"/>
          <w:sz w:val="32"/>
          <w:szCs w:val="32"/>
        </w:rPr>
        <w:t>增加</w:t>
      </w:r>
      <w:r>
        <w:rPr>
          <w:rFonts w:ascii="Times New Roman" w:eastAsia="仿宋_GB2312"/>
          <w:b w:val="false"/>
          <w:sz w:val="32"/>
          <w:szCs w:val="32"/>
        </w:rPr>
        <w:t>0.00</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0.00</w:t>
      </w:r>
      <w:r>
        <w:rPr>
          <w:rFonts w:ascii="Times New Roman" w:eastAsia="仿宋_GB2312"/>
          <w:b w:val="false"/>
          <w:sz w:val="32"/>
          <w:szCs w:val="32"/>
        </w:rPr>
        <w:t>%,主要原因是</w:t>
      </w:r>
      <w:r>
        <w:rPr>
          <w:rFonts w:ascii="Times New Roman" w:eastAsia="仿宋_GB2312"/>
          <w:b w:val="false"/>
          <w:sz w:val="32"/>
          <w:szCs w:val="32"/>
        </w:rPr>
        <w:t>2024年度我单位无因公出国（境）预算</w:t>
      </w:r>
      <w:r>
        <w:rPr>
          <w:rFonts w:ascii="Times New Roman" w:eastAsia="仿宋_GB2312"/>
          <w:b w:val="false"/>
          <w:sz w:val="32"/>
          <w:szCs w:val="32"/>
        </w:rPr>
        <w:t>。因公出国（境）团组</w:t>
      </w:r>
      <w:r>
        <w:rPr>
          <w:rFonts w:ascii="Times New Roman" w:eastAsia="仿宋_GB2312"/>
          <w:b w:val="false"/>
          <w:sz w:val="32"/>
          <w:szCs w:val="32"/>
        </w:rPr>
        <w:t>0</w:t>
      </w:r>
      <w:r>
        <w:rPr>
          <w:rFonts w:ascii="Times New Roman" w:eastAsia="仿宋_GB2312"/>
          <w:b w:val="false"/>
          <w:sz w:val="32"/>
          <w:szCs w:val="32"/>
        </w:rPr>
        <w:t>个、共</w:t>
      </w:r>
      <w:r>
        <w:rPr>
          <w:rFonts w:ascii="Times New Roman" w:eastAsia="仿宋_GB2312"/>
          <w:b w:val="false"/>
          <w:sz w:val="32"/>
          <w:szCs w:val="32"/>
        </w:rPr>
        <w:t>0</w:t>
      </w:r>
      <w:r>
        <w:rPr>
          <w:rFonts w:ascii="Times New Roman" w:eastAsia="仿宋_GB2312"/>
          <w:b w:val="false"/>
          <w:sz w:val="32"/>
          <w:szCs w:val="32"/>
        </w:rPr>
        <w:t>人、参加其他单位组织的因公出国（境）团组</w:t>
      </w:r>
      <w:r>
        <w:rPr>
          <w:rFonts w:ascii="Times New Roman" w:eastAsia="仿宋_GB2312"/>
          <w:b w:val="false"/>
          <w:sz w:val="32"/>
          <w:szCs w:val="32"/>
        </w:rPr>
        <w:t>0</w:t>
      </w:r>
      <w:r>
        <w:rPr>
          <w:rFonts w:ascii="Times New Roman" w:eastAsia="仿宋_GB2312"/>
          <w:b w:val="false"/>
          <w:sz w:val="32"/>
          <w:szCs w:val="32"/>
        </w:rPr>
        <w:t>个、共</w:t>
      </w:r>
      <w:r>
        <w:rPr>
          <w:rFonts w:ascii="Times New Roman" w:eastAsia="仿宋_GB2312"/>
          <w:b w:val="false"/>
          <w:sz w:val="32"/>
          <w:szCs w:val="32"/>
        </w:rPr>
        <w:t>0</w:t>
      </w:r>
      <w:r>
        <w:rPr>
          <w:rFonts w:ascii="Times New Roman" w:eastAsia="仿宋_GB2312"/>
          <w:b w:val="false"/>
          <w:sz w:val="32"/>
          <w:szCs w:val="32"/>
        </w:rPr>
        <w:t>人/无本部门组织的出国（境）团组。</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楷体_GB2312"/>
          <w:b w:val="true"/>
          <w:sz w:val="32"/>
          <w:szCs w:val="32"/>
        </w:rPr>
        <w:t> 2.公务用车购置及运行维护费支出情况。</w:t>
      </w:r>
      <w:r>
        <w:rPr>
          <w:rFonts w:ascii="Times New Roman" w:eastAsia="仿宋_GB2312"/>
          <w:b w:val="false"/>
          <w:sz w:val="32"/>
          <w:szCs w:val="32"/>
        </w:rPr>
        <w:t>本单位</w:t>
      </w:r>
      <w:r>
        <w:rPr>
          <w:rFonts w:ascii="Times New Roman" w:eastAsia="仿宋_GB2312"/>
          <w:b w:val="false"/>
          <w:sz w:val="32"/>
          <w:szCs w:val="32"/>
        </w:rPr>
        <w:t>2024年度公务用车购置及运行维护费预算为</w:t>
      </w:r>
      <w:r>
        <w:rPr>
          <w:rFonts w:ascii="Times New Roman" w:eastAsia="仿宋_GB2312"/>
          <w:b w:val="false"/>
          <w:sz w:val="32"/>
          <w:szCs w:val="32"/>
        </w:rPr>
        <w:t>5.40</w:t>
      </w:r>
      <w:r>
        <w:rPr>
          <w:rFonts w:ascii="Times New Roman" w:eastAsia="仿宋_GB2312"/>
          <w:b w:val="false"/>
          <w:sz w:val="32"/>
          <w:szCs w:val="32"/>
        </w:rPr>
        <w:t>万元，支出决算 </w:t>
      </w:r>
      <w:r>
        <w:rPr>
          <w:rFonts w:ascii="Times New Roman" w:eastAsia="仿宋_GB2312"/>
          <w:b w:val="false"/>
          <w:sz w:val="32"/>
          <w:szCs w:val="32"/>
        </w:rPr>
        <w:t>5.40</w:t>
      </w:r>
      <w:r>
        <w:rPr>
          <w:rFonts w:ascii="Times New Roman" w:eastAsia="仿宋_GB2312"/>
          <w:b w:val="false"/>
          <w:sz w:val="32"/>
          <w:szCs w:val="32"/>
        </w:rPr>
        <w:t>万元，完成预算的</w:t>
      </w:r>
      <w:r>
        <w:rPr>
          <w:rFonts w:ascii="Times New Roman" w:eastAsia="仿宋_GB2312"/>
          <w:b w:val="false"/>
          <w:sz w:val="32"/>
          <w:szCs w:val="32"/>
        </w:rPr>
        <w:t>100.0</w:t>
      </w:r>
      <w:r>
        <w:rPr>
          <w:rFonts w:ascii="Times New Roman" w:eastAsia="仿宋_GB2312"/>
          <w:b w:val="false"/>
          <w:sz w:val="32"/>
          <w:szCs w:val="32"/>
        </w:rPr>
        <w:t>%,较预算</w:t>
      </w:r>
      <w:r>
        <w:rPr>
          <w:rFonts w:ascii="Times New Roman" w:eastAsia="仿宋_GB2312"/>
          <w:b w:val="false"/>
          <w:sz w:val="32"/>
          <w:szCs w:val="32"/>
        </w:rPr>
        <w:t>增加</w:t>
      </w:r>
      <w:r>
        <w:rPr>
          <w:rFonts w:ascii="Times New Roman" w:eastAsia="仿宋_GB2312"/>
          <w:b w:val="false"/>
          <w:sz w:val="32"/>
          <w:szCs w:val="32"/>
        </w:rPr>
        <w:t>0.00</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0.0</w:t>
      </w:r>
      <w:r>
        <w:rPr>
          <w:rFonts w:ascii="Times New Roman" w:eastAsia="仿宋_GB2312"/>
          <w:b w:val="false"/>
          <w:sz w:val="32"/>
          <w:szCs w:val="32"/>
        </w:rPr>
        <w:t>%,主要原因是</w:t>
      </w:r>
      <w:r>
        <w:rPr>
          <w:rFonts w:ascii="Times New Roman" w:eastAsia="仿宋_GB2312"/>
          <w:b w:val="false"/>
          <w:sz w:val="32"/>
          <w:szCs w:val="32"/>
        </w:rPr>
        <w:t>2024年度我单位公车数量未发生变化</w:t>
      </w:r>
      <w:r>
        <w:rPr>
          <w:rFonts w:ascii="Times New Roman" w:eastAsia="仿宋_GB2312"/>
          <w:b w:val="false"/>
          <w:sz w:val="32"/>
          <w:szCs w:val="32"/>
        </w:rPr>
        <w:t>；较上年</w:t>
      </w:r>
      <w:r>
        <w:rPr>
          <w:rFonts w:ascii="Times New Roman" w:eastAsia="仿宋_GB2312"/>
          <w:b w:val="false"/>
          <w:sz w:val="32"/>
          <w:szCs w:val="32"/>
        </w:rPr>
        <w:t>增加</w:t>
      </w:r>
      <w:r>
        <w:rPr>
          <w:rFonts w:ascii="Times New Roman" w:eastAsia="仿宋_GB2312"/>
          <w:b w:val="false"/>
          <w:sz w:val="32"/>
          <w:szCs w:val="32"/>
        </w:rPr>
        <w:t>0.04</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0.7</w:t>
      </w:r>
      <w:r>
        <w:rPr>
          <w:rFonts w:ascii="Times New Roman" w:eastAsia="仿宋_GB2312"/>
          <w:b w:val="false"/>
          <w:sz w:val="32"/>
          <w:szCs w:val="32"/>
        </w:rPr>
        <w:t>%,主要原因是</w:t>
      </w:r>
      <w:r>
        <w:rPr>
          <w:rFonts w:ascii="Times New Roman" w:eastAsia="仿宋_GB2312"/>
          <w:b w:val="false"/>
          <w:sz w:val="32"/>
          <w:szCs w:val="32"/>
        </w:rPr>
        <w:t>公车使用年限较长，维修及养护费增加</w:t>
      </w:r>
      <w:r>
        <w:rPr>
          <w:rFonts w:ascii="Times New Roman" w:eastAsia="仿宋_GB2312"/>
          <w:b w:val="false"/>
          <w:sz w:val="32"/>
          <w:szCs w:val="32"/>
        </w:rPr>
        <w:t>。其中：</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公务用车购置费支出</w:t>
      </w:r>
      <w:r>
        <w:rPr>
          <w:rFonts w:ascii="Times New Roman" w:eastAsia="仿宋_GB2312"/>
          <w:b w:val="true"/>
          <w:sz w:val="32"/>
          <w:szCs w:val="32"/>
        </w:rPr>
        <w:t>0.00</w:t>
      </w:r>
      <w:r>
        <w:rPr>
          <w:rFonts w:ascii="Times New Roman" w:eastAsia="仿宋_GB2312"/>
          <w:b w:val="true"/>
          <w:sz w:val="32"/>
          <w:szCs w:val="32"/>
        </w:rPr>
        <w:t>万元：</w:t>
      </w:r>
      <w:r>
        <w:rPr>
          <w:rFonts w:ascii="Times New Roman" w:eastAsia="仿宋_GB2312"/>
          <w:b w:val="false"/>
          <w:sz w:val="32"/>
          <w:szCs w:val="32"/>
        </w:rPr>
        <w:t>本单位</w:t>
      </w:r>
      <w:r>
        <w:rPr>
          <w:rFonts w:ascii="Times New Roman" w:eastAsia="仿宋_GB2312"/>
          <w:b w:val="false"/>
          <w:sz w:val="32"/>
          <w:szCs w:val="32"/>
        </w:rPr>
        <w:t>2024年度公务用车购置量</w:t>
      </w:r>
      <w:r>
        <w:rPr>
          <w:rFonts w:ascii="Times New Roman" w:eastAsia="仿宋_GB2312"/>
          <w:b w:val="false"/>
          <w:sz w:val="32"/>
          <w:szCs w:val="32"/>
        </w:rPr>
        <w:t>0</w:t>
      </w:r>
      <w:r>
        <w:rPr>
          <w:rFonts w:ascii="Times New Roman" w:eastAsia="仿宋_GB2312"/>
          <w:b w:val="false"/>
          <w:sz w:val="32"/>
          <w:szCs w:val="32"/>
        </w:rPr>
        <w:t>辆，发生“公务用车购置”经费支出</w:t>
      </w:r>
      <w:r>
        <w:rPr>
          <w:rFonts w:ascii="Times New Roman" w:eastAsia="仿宋_GB2312"/>
          <w:b w:val="false"/>
          <w:sz w:val="32"/>
          <w:szCs w:val="32"/>
        </w:rPr>
        <w:t>0.00</w:t>
      </w:r>
      <w:r>
        <w:rPr>
          <w:rFonts w:ascii="Times New Roman" w:eastAsia="仿宋_GB2312"/>
          <w:b w:val="false"/>
          <w:sz w:val="32"/>
          <w:szCs w:val="32"/>
        </w:rPr>
        <w:t> 万元。公务用车购置费支出较预算</w:t>
      </w:r>
      <w:r>
        <w:rPr>
          <w:rFonts w:ascii="Times New Roman" w:eastAsia="仿宋_GB2312"/>
          <w:b w:val="false"/>
          <w:sz w:val="32"/>
          <w:szCs w:val="32"/>
        </w:rPr>
        <w:t>增加</w:t>
      </w:r>
      <w:r>
        <w:rPr>
          <w:rFonts w:ascii="Times New Roman" w:eastAsia="仿宋_GB2312"/>
          <w:b w:val="false"/>
          <w:sz w:val="32"/>
          <w:szCs w:val="32"/>
        </w:rPr>
        <w:t>0.00</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0.0</w:t>
      </w:r>
      <w:r>
        <w:rPr>
          <w:rFonts w:ascii="Times New Roman" w:eastAsia="仿宋_GB2312"/>
          <w:b w:val="false"/>
          <w:sz w:val="32"/>
          <w:szCs w:val="32"/>
        </w:rPr>
        <w:t>%,主要原因是</w:t>
      </w:r>
      <w:r>
        <w:rPr>
          <w:rFonts w:ascii="Times New Roman" w:eastAsia="仿宋_GB2312"/>
          <w:b w:val="false"/>
          <w:sz w:val="32"/>
          <w:szCs w:val="32"/>
        </w:rPr>
        <w:t>2024年度我单位无公务用车购置预算</w:t>
      </w:r>
      <w:r>
        <w:rPr>
          <w:rFonts w:ascii="Times New Roman" w:eastAsia="仿宋_GB2312"/>
          <w:b w:val="false"/>
          <w:sz w:val="32"/>
          <w:szCs w:val="32"/>
        </w:rPr>
        <w:t>；较上年</w:t>
      </w:r>
      <w:r>
        <w:rPr>
          <w:rFonts w:ascii="Times New Roman" w:eastAsia="仿宋_GB2312"/>
          <w:b w:val="false"/>
          <w:sz w:val="32"/>
          <w:szCs w:val="32"/>
        </w:rPr>
        <w:t>增加</w:t>
      </w:r>
      <w:r>
        <w:rPr>
          <w:rFonts w:ascii="Times New Roman" w:eastAsia="仿宋_GB2312"/>
          <w:b w:val="false"/>
          <w:sz w:val="32"/>
          <w:szCs w:val="32"/>
        </w:rPr>
        <w:t>0.00</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0.00</w:t>
      </w:r>
      <w:r>
        <w:rPr>
          <w:rFonts w:ascii="Times New Roman" w:eastAsia="仿宋_GB2312"/>
          <w:b w:val="false"/>
          <w:sz w:val="32"/>
          <w:szCs w:val="32"/>
        </w:rPr>
        <w:t>%,主要原因是</w:t>
      </w:r>
      <w:r>
        <w:rPr>
          <w:rFonts w:ascii="Times New Roman" w:eastAsia="仿宋_GB2312"/>
          <w:b w:val="false"/>
          <w:sz w:val="32"/>
          <w:szCs w:val="32"/>
        </w:rPr>
        <w:t>2024年度我单位无公务用车购置预算</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公务用车运行维护费支出</w:t>
      </w:r>
      <w:r>
        <w:rPr>
          <w:rFonts w:ascii="Times New Roman" w:eastAsia="仿宋_GB2312"/>
          <w:b w:val="true"/>
          <w:sz w:val="32"/>
          <w:szCs w:val="32"/>
        </w:rPr>
        <w:t>5.40</w:t>
      </w:r>
      <w:r>
        <w:rPr>
          <w:rFonts w:ascii="Times New Roman" w:eastAsia="仿宋_GB2312"/>
          <w:b w:val="true"/>
          <w:sz w:val="32"/>
          <w:szCs w:val="32"/>
        </w:rPr>
        <w:t>万元：</w:t>
      </w:r>
      <w:r>
        <w:rPr>
          <w:rFonts w:ascii="Times New Roman" w:eastAsia="仿宋_GB2312"/>
          <w:b w:val="false"/>
          <w:sz w:val="32"/>
          <w:szCs w:val="32"/>
        </w:rPr>
        <w:t>本单位</w:t>
      </w:r>
      <w:r>
        <w:rPr>
          <w:rFonts w:ascii="Times New Roman" w:eastAsia="仿宋_GB2312"/>
          <w:b w:val="false"/>
          <w:sz w:val="32"/>
          <w:szCs w:val="32"/>
        </w:rPr>
        <w:t>2024年度单位公务用车保有量</w:t>
      </w:r>
      <w:r>
        <w:rPr>
          <w:rFonts w:ascii="Times New Roman" w:eastAsia="仿宋_GB2312"/>
          <w:b w:val="false"/>
          <w:sz w:val="32"/>
          <w:szCs w:val="32"/>
        </w:rPr>
        <w:t>2</w:t>
      </w:r>
      <w:r>
        <w:rPr>
          <w:rFonts w:ascii="Times New Roman" w:eastAsia="仿宋_GB2312"/>
          <w:b w:val="false"/>
          <w:sz w:val="32"/>
          <w:szCs w:val="32"/>
        </w:rPr>
        <w:t>辆，发生运行维护费支出</w:t>
      </w:r>
      <w:r>
        <w:rPr>
          <w:rFonts w:ascii="Times New Roman" w:eastAsia="仿宋_GB2312"/>
          <w:b w:val="false"/>
          <w:sz w:val="32"/>
          <w:szCs w:val="32"/>
        </w:rPr>
        <w:t>5.40</w:t>
      </w:r>
      <w:r>
        <w:rPr>
          <w:rFonts w:ascii="Times New Roman" w:eastAsia="仿宋_GB2312"/>
          <w:b w:val="false"/>
          <w:sz w:val="32"/>
          <w:szCs w:val="32"/>
        </w:rPr>
        <w:t>万元。公车运行维护费支出较预算</w:t>
      </w:r>
      <w:r>
        <w:rPr>
          <w:rFonts w:ascii="Times New Roman" w:eastAsia="仿宋_GB2312"/>
          <w:b w:val="false"/>
          <w:sz w:val="32"/>
          <w:szCs w:val="32"/>
        </w:rPr>
        <w:t>增加</w:t>
      </w:r>
      <w:r>
        <w:rPr>
          <w:rFonts w:ascii="Times New Roman" w:eastAsia="仿宋_GB2312"/>
          <w:b w:val="false"/>
          <w:sz w:val="32"/>
          <w:szCs w:val="32"/>
        </w:rPr>
        <w:t>0.00</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0.0</w:t>
      </w:r>
      <w:r>
        <w:rPr>
          <w:rFonts w:ascii="Times New Roman" w:eastAsia="仿宋_GB2312"/>
          <w:b w:val="false"/>
          <w:sz w:val="32"/>
          <w:szCs w:val="32"/>
        </w:rPr>
        <w:t>%,主要原因是</w:t>
      </w:r>
      <w:r>
        <w:rPr>
          <w:rFonts w:ascii="Times New Roman" w:eastAsia="仿宋_GB2312"/>
          <w:b w:val="false"/>
          <w:sz w:val="32"/>
          <w:szCs w:val="32"/>
        </w:rPr>
        <w:t>2024年度我单位公车数量未发生变化</w:t>
      </w:r>
      <w:r>
        <w:rPr>
          <w:rFonts w:ascii="Times New Roman" w:eastAsia="仿宋_GB2312"/>
          <w:b w:val="false"/>
          <w:sz w:val="32"/>
          <w:szCs w:val="32"/>
        </w:rPr>
        <w:t>；较上年</w:t>
      </w:r>
      <w:r>
        <w:rPr>
          <w:rFonts w:ascii="Times New Roman" w:eastAsia="仿宋_GB2312"/>
          <w:b w:val="false"/>
          <w:sz w:val="32"/>
          <w:szCs w:val="32"/>
        </w:rPr>
        <w:t>增加</w:t>
      </w:r>
      <w:r>
        <w:rPr>
          <w:rFonts w:ascii="Times New Roman" w:eastAsia="仿宋_GB2312"/>
          <w:b w:val="false"/>
          <w:sz w:val="32"/>
          <w:szCs w:val="32"/>
        </w:rPr>
        <w:t>0.04</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0.7</w:t>
      </w:r>
      <w:r>
        <w:rPr>
          <w:rFonts w:ascii="Times New Roman" w:eastAsia="仿宋_GB2312"/>
          <w:b w:val="false"/>
          <w:sz w:val="32"/>
          <w:szCs w:val="32"/>
        </w:rPr>
        <w:t>%，主要原因是</w:t>
      </w:r>
      <w:r>
        <w:rPr>
          <w:rFonts w:ascii="Times New Roman" w:eastAsia="仿宋_GB2312"/>
          <w:b w:val="false"/>
          <w:sz w:val="32"/>
          <w:szCs w:val="32"/>
        </w:rPr>
        <w:t>公车使用年限较长，维修及养护费增加</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楷体_GB2312"/>
          <w:b w:val="true"/>
          <w:sz w:val="32"/>
          <w:szCs w:val="32"/>
        </w:rPr>
        <w:t>3.公务接待费支出情况。</w:t>
      </w:r>
      <w:r>
        <w:rPr>
          <w:rFonts w:ascii="Times New Roman" w:eastAsia="仿宋_GB2312"/>
          <w:b w:val="false"/>
          <w:sz w:val="32"/>
          <w:szCs w:val="32"/>
        </w:rPr>
        <w:t>本单位</w:t>
      </w:r>
      <w:r>
        <w:rPr>
          <w:rFonts w:ascii="Times New Roman" w:eastAsia="仿宋_GB2312"/>
          <w:b w:val="false"/>
          <w:sz w:val="32"/>
          <w:szCs w:val="32"/>
        </w:rPr>
        <w:t>2024年度公务接待费支出预算为</w:t>
      </w:r>
      <w:r>
        <w:rPr>
          <w:rFonts w:ascii="Times New Roman" w:eastAsia="仿宋_GB2312"/>
          <w:b w:val="false"/>
          <w:sz w:val="32"/>
          <w:szCs w:val="32"/>
        </w:rPr>
        <w:t>0.00</w:t>
      </w:r>
      <w:r>
        <w:rPr>
          <w:rFonts w:ascii="Times New Roman" w:eastAsia="仿宋_GB2312"/>
          <w:b w:val="false"/>
          <w:sz w:val="32"/>
          <w:szCs w:val="32"/>
        </w:rPr>
        <w:t>万元，支出决算</w:t>
      </w:r>
      <w:r>
        <w:rPr>
          <w:rFonts w:ascii="Times New Roman" w:eastAsia="仿宋_GB2312"/>
          <w:b w:val="false"/>
          <w:sz w:val="32"/>
          <w:szCs w:val="32"/>
        </w:rPr>
        <w:t>0.00</w:t>
      </w:r>
      <w:r>
        <w:rPr>
          <w:rFonts w:ascii="Times New Roman" w:eastAsia="仿宋_GB2312"/>
          <w:b w:val="false"/>
          <w:sz w:val="32"/>
          <w:szCs w:val="32"/>
        </w:rPr>
        <w:t>万元，完成预算的</w:t>
      </w:r>
      <w:r>
        <w:rPr>
          <w:rFonts w:ascii="Times New Roman" w:eastAsia="仿宋_GB2312"/>
          <w:b w:val="false"/>
          <w:sz w:val="32"/>
          <w:szCs w:val="32"/>
        </w:rPr>
        <w:t>0.0</w:t>
      </w:r>
      <w:r>
        <w:rPr>
          <w:rFonts w:ascii="Times New Roman" w:eastAsia="仿宋_GB2312"/>
          <w:b w:val="false"/>
          <w:sz w:val="32"/>
          <w:szCs w:val="32"/>
        </w:rPr>
        <w:t>%。公务接待费支出较预算</w:t>
      </w:r>
      <w:r>
        <w:rPr>
          <w:rFonts w:ascii="Times New Roman" w:eastAsia="仿宋_GB2312"/>
          <w:b w:val="false"/>
          <w:sz w:val="32"/>
          <w:szCs w:val="32"/>
        </w:rPr>
        <w:t>增加</w:t>
      </w:r>
      <w:r>
        <w:rPr>
          <w:rFonts w:ascii="Times New Roman" w:eastAsia="仿宋_GB2312"/>
          <w:b w:val="false"/>
          <w:sz w:val="32"/>
          <w:szCs w:val="32"/>
        </w:rPr>
        <w:t>0.00</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0.0</w:t>
      </w:r>
      <w:r>
        <w:rPr>
          <w:rFonts w:ascii="Times New Roman" w:eastAsia="仿宋_GB2312"/>
          <w:b w:val="false"/>
          <w:sz w:val="32"/>
          <w:szCs w:val="32"/>
        </w:rPr>
        <w:t>%,主要原因是</w:t>
      </w:r>
      <w:r>
        <w:rPr>
          <w:rFonts w:ascii="Times New Roman" w:eastAsia="仿宋_GB2312"/>
          <w:b w:val="false"/>
          <w:sz w:val="32"/>
          <w:szCs w:val="32"/>
        </w:rPr>
        <w:t>本单位2024年度未发生公务接待</w:t>
      </w:r>
      <w:r>
        <w:rPr>
          <w:rFonts w:ascii="Times New Roman" w:eastAsia="仿宋_GB2312"/>
          <w:b w:val="false"/>
          <w:sz w:val="32"/>
          <w:szCs w:val="32"/>
        </w:rPr>
        <w:t>；较上年度</w:t>
      </w:r>
      <w:r>
        <w:rPr>
          <w:rFonts w:ascii="Times New Roman" w:eastAsia="仿宋_GB2312"/>
          <w:b w:val="false"/>
          <w:sz w:val="32"/>
          <w:szCs w:val="32"/>
        </w:rPr>
        <w:t>增加</w:t>
      </w:r>
      <w:r>
        <w:rPr>
          <w:rFonts w:ascii="Times New Roman" w:eastAsia="仿宋_GB2312"/>
          <w:b w:val="false"/>
          <w:sz w:val="32"/>
          <w:szCs w:val="32"/>
        </w:rPr>
        <w:t>0.00</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0.00</w:t>
      </w:r>
      <w:r>
        <w:rPr>
          <w:rFonts w:ascii="Times New Roman" w:eastAsia="仿宋_GB2312"/>
          <w:b w:val="false"/>
          <w:sz w:val="32"/>
          <w:szCs w:val="32"/>
        </w:rPr>
        <w:t>%,主要原因是</w:t>
      </w:r>
      <w:r>
        <w:rPr>
          <w:rFonts w:ascii="Times New Roman" w:eastAsia="仿宋_GB2312"/>
          <w:b w:val="false"/>
          <w:sz w:val="32"/>
          <w:szCs w:val="32"/>
        </w:rPr>
        <w:t>本单位2023年度、2024年度未发生公务接待</w:t>
      </w:r>
      <w:r>
        <w:rPr>
          <w:rFonts w:ascii="Times New Roman" w:eastAsia="仿宋_GB2312"/>
          <w:b w:val="false"/>
          <w:sz w:val="32"/>
          <w:szCs w:val="32"/>
        </w:rPr>
        <w:t>。本年度共发生公务接待</w:t>
      </w:r>
      <w:r>
        <w:rPr>
          <w:rFonts w:ascii="Times New Roman" w:eastAsia="仿宋_GB2312"/>
          <w:b w:val="false"/>
          <w:sz w:val="32"/>
          <w:szCs w:val="32"/>
        </w:rPr>
        <w:t>0</w:t>
      </w:r>
      <w:r>
        <w:rPr>
          <w:rFonts w:ascii="Times New Roman" w:eastAsia="仿宋_GB2312"/>
          <w:b w:val="false"/>
          <w:sz w:val="32"/>
          <w:szCs w:val="32"/>
        </w:rPr>
        <w:t>批次、</w:t>
      </w:r>
      <w:r>
        <w:rPr>
          <w:rFonts w:ascii="Times New Roman" w:eastAsia="仿宋_GB2312"/>
          <w:b w:val="false"/>
          <w:sz w:val="32"/>
          <w:szCs w:val="32"/>
        </w:rPr>
        <w:t>0</w:t>
      </w:r>
      <w:r>
        <w:rPr>
          <w:rFonts w:ascii="Times New Roman" w:eastAsia="仿宋_GB2312"/>
          <w:b w:val="false"/>
          <w:sz w:val="32"/>
          <w:szCs w:val="32"/>
        </w:rPr>
        <w:t>人次。</w:t>
      </w:r>
    </w:p>
    <w:p>
      <w:pPr>
        <w:widowControl w:val="true"/>
        <w:spacing w:before="0" w:beforeLines="0" w:beforeAutospacing="false" w:after="0" w:afterLines="0" w:afterAutospacing="false" w:line="360" w:lineRule="auto"/>
        <w:ind w:firstLine="200" w:firstLineChars="200"/>
        <w:jc w:val="left"/>
        <w:outlineLvl w:val="1"/>
        <w:rPr>
          <w:rFonts w:ascii="Times New Roman" w:eastAsia="黑体"/>
          <w:sz w:val="32"/>
          <w:szCs w:val="32"/>
        </w:rPr>
      </w:pPr>
      <w:r>
        <w:rPr>
          <w:rFonts w:ascii="Times New Roman" w:eastAsia="黑体"/>
          <w:b w:val="false"/>
          <w:sz w:val="32"/>
          <w:szCs w:val="32"/>
        </w:rPr>
        <w:t>六、机关运行经费支出说明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本单位</w:t>
      </w:r>
      <w:r>
        <w:rPr>
          <w:rFonts w:ascii="Times New Roman" w:eastAsia="仿宋_GB2312"/>
          <w:b w:val="false"/>
          <w:sz w:val="32"/>
          <w:szCs w:val="32"/>
        </w:rPr>
        <w:t>2024年度机关运行经费支出</w:t>
      </w:r>
      <w:r>
        <w:rPr>
          <w:rFonts w:ascii="Times New Roman" w:eastAsia="仿宋_GB2312"/>
          <w:b w:val="false"/>
          <w:sz w:val="32"/>
          <w:szCs w:val="32"/>
        </w:rPr>
        <w:t>185.70</w:t>
      </w:r>
      <w:r>
        <w:rPr>
          <w:rFonts w:ascii="Times New Roman" w:eastAsia="仿宋_GB2312"/>
          <w:b w:val="false"/>
          <w:sz w:val="32"/>
          <w:szCs w:val="32"/>
        </w:rPr>
        <w:t>万元，较2023年度</w:t>
      </w:r>
      <w:r>
        <w:rPr>
          <w:rFonts w:ascii="Times New Roman" w:eastAsia="仿宋_GB2312"/>
          <w:b w:val="false"/>
          <w:sz w:val="32"/>
          <w:szCs w:val="32"/>
        </w:rPr>
        <w:t>增加</w:t>
      </w:r>
      <w:r>
        <w:rPr>
          <w:rFonts w:ascii="Times New Roman" w:eastAsia="仿宋_GB2312"/>
          <w:b w:val="false"/>
          <w:sz w:val="32"/>
          <w:szCs w:val="32"/>
        </w:rPr>
        <w:t>8.66</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4.9</w:t>
      </w:r>
      <w:r>
        <w:rPr>
          <w:rFonts w:ascii="Times New Roman" w:eastAsia="仿宋_GB2312"/>
          <w:b w:val="false"/>
          <w:sz w:val="32"/>
          <w:szCs w:val="32"/>
        </w:rPr>
        <w:t>%。主要原因是</w:t>
      </w:r>
      <w:r>
        <w:rPr>
          <w:rFonts w:ascii="Times New Roman" w:eastAsia="仿宋_GB2312"/>
          <w:b w:val="false"/>
          <w:sz w:val="32"/>
          <w:szCs w:val="32"/>
        </w:rPr>
        <w:t>2024年度我单位调入人员增加</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outlineLvl w:val="1"/>
        <w:rPr>
          <w:rFonts w:ascii="Times New Roman" w:eastAsia="黑体"/>
          <w:sz w:val="32"/>
          <w:szCs w:val="32"/>
        </w:rPr>
      </w:pPr>
      <w:r>
        <w:rPr>
          <w:rFonts w:ascii="Times New Roman" w:eastAsia="黑体"/>
          <w:b w:val="false"/>
          <w:sz w:val="32"/>
          <w:szCs w:val="32"/>
        </w:rPr>
        <w:t>七、政府采购支出说明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本单位</w:t>
      </w:r>
      <w:r>
        <w:rPr>
          <w:rFonts w:ascii="Times New Roman" w:eastAsia="仿宋_GB2312"/>
          <w:b w:val="false"/>
          <w:sz w:val="32"/>
          <w:szCs w:val="32"/>
        </w:rPr>
        <w:t>2024年度政府采购支出总额</w:t>
      </w:r>
      <w:r>
        <w:rPr>
          <w:rFonts w:ascii="Times New Roman" w:eastAsia="仿宋_GB2312"/>
          <w:b w:val="false"/>
          <w:sz w:val="32"/>
          <w:szCs w:val="32"/>
        </w:rPr>
        <w:t>7.47</w:t>
      </w:r>
      <w:r>
        <w:rPr>
          <w:rFonts w:ascii="Times New Roman" w:eastAsia="仿宋_GB2312"/>
          <w:b w:val="false"/>
          <w:sz w:val="32"/>
          <w:szCs w:val="32"/>
        </w:rPr>
        <w:t>万元，从采购类型来看，政府采购货物支出</w:t>
      </w:r>
      <w:r>
        <w:rPr>
          <w:rFonts w:ascii="Times New Roman" w:eastAsia="仿宋_GB2312"/>
          <w:b w:val="false"/>
          <w:sz w:val="32"/>
          <w:szCs w:val="32"/>
        </w:rPr>
        <w:t>1.80</w:t>
      </w:r>
      <w:r>
        <w:rPr>
          <w:rFonts w:ascii="Times New Roman" w:eastAsia="仿宋_GB2312"/>
          <w:b w:val="false"/>
          <w:sz w:val="32"/>
          <w:szCs w:val="32"/>
        </w:rPr>
        <w:t>万元、政府采购工程支出</w:t>
      </w:r>
      <w:r>
        <w:rPr>
          <w:rFonts w:ascii="Times New Roman" w:eastAsia="仿宋_GB2312"/>
          <w:b w:val="false"/>
          <w:sz w:val="32"/>
          <w:szCs w:val="32"/>
        </w:rPr>
        <w:t>0.00</w:t>
      </w:r>
      <w:r>
        <w:rPr>
          <w:rFonts w:ascii="Times New Roman" w:eastAsia="仿宋_GB2312"/>
          <w:b w:val="false"/>
          <w:sz w:val="32"/>
          <w:szCs w:val="32"/>
        </w:rPr>
        <w:t>万元、政府采购服务支出</w:t>
      </w:r>
      <w:r>
        <w:rPr>
          <w:rFonts w:ascii="Times New Roman" w:eastAsia="仿宋_GB2312"/>
          <w:b w:val="false"/>
          <w:sz w:val="32"/>
          <w:szCs w:val="32"/>
        </w:rPr>
        <w:t>5.67</w:t>
      </w:r>
      <w:r>
        <w:rPr>
          <w:rFonts w:ascii="Times New Roman" w:eastAsia="仿宋_GB2312"/>
          <w:b w:val="false"/>
          <w:sz w:val="32"/>
          <w:szCs w:val="32"/>
        </w:rPr>
        <w:t>万元。授予中小企业合同金额</w:t>
      </w:r>
      <w:r>
        <w:rPr>
          <w:rFonts w:ascii="Times New Roman" w:eastAsia="仿宋_GB2312"/>
          <w:b w:val="false"/>
          <w:sz w:val="32"/>
          <w:szCs w:val="32"/>
        </w:rPr>
        <w:t>7.47</w:t>
      </w:r>
      <w:r>
        <w:rPr>
          <w:rFonts w:ascii="Times New Roman" w:eastAsia="仿宋_GB2312"/>
          <w:b w:val="false"/>
          <w:sz w:val="32"/>
          <w:szCs w:val="32"/>
        </w:rPr>
        <w:t>万元，占政府采购支出总额的</w:t>
      </w:r>
      <w:r>
        <w:rPr>
          <w:rFonts w:ascii="Times New Roman" w:eastAsia="仿宋_GB2312"/>
          <w:b w:val="false"/>
          <w:sz w:val="32"/>
          <w:szCs w:val="32"/>
        </w:rPr>
        <w:t>100.0</w:t>
      </w:r>
      <w:r>
        <w:rPr>
          <w:rFonts w:ascii="Times New Roman" w:eastAsia="仿宋_GB2312"/>
          <w:b w:val="false"/>
          <w:sz w:val="32"/>
          <w:szCs w:val="32"/>
        </w:rPr>
        <w:t>%，其中授予小微企业合同金额</w:t>
      </w:r>
      <w:r>
        <w:rPr>
          <w:rFonts w:ascii="Times New Roman" w:eastAsia="仿宋_GB2312"/>
          <w:b w:val="false"/>
          <w:sz w:val="32"/>
          <w:szCs w:val="32"/>
        </w:rPr>
        <w:t>7.47</w:t>
      </w:r>
      <w:r>
        <w:rPr>
          <w:rFonts w:ascii="Times New Roman" w:eastAsia="仿宋_GB2312"/>
          <w:b w:val="false"/>
          <w:sz w:val="32"/>
          <w:szCs w:val="32"/>
        </w:rPr>
        <w:t>万元，占政府采购支出总额的</w:t>
      </w:r>
      <w:r>
        <w:rPr>
          <w:rFonts w:ascii="Times New Roman" w:eastAsia="仿宋_GB2312"/>
          <w:b w:val="false"/>
          <w:sz w:val="32"/>
          <w:szCs w:val="32"/>
        </w:rPr>
        <w:t>100.0</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outlineLvl w:val="1"/>
        <w:rPr>
          <w:rFonts w:ascii="Times New Roman" w:eastAsia="黑体"/>
          <w:sz w:val="32"/>
          <w:szCs w:val="32"/>
        </w:rPr>
      </w:pPr>
      <w:r>
        <w:rPr>
          <w:rFonts w:ascii="Times New Roman" w:eastAsia="黑体"/>
          <w:b w:val="false"/>
          <w:sz w:val="32"/>
          <w:szCs w:val="32"/>
        </w:rPr>
        <w:t>八、国有资产占用情况说明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 截至2024年12月31日，</w:t>
      </w:r>
      <w:r>
        <w:rPr>
          <w:rFonts w:ascii="Times New Roman" w:eastAsia="仿宋_GB2312"/>
          <w:b w:val="false"/>
          <w:sz w:val="32"/>
          <w:szCs w:val="32"/>
        </w:rPr>
        <w:t>本单位共有车辆</w:t>
      </w:r>
      <w:r>
        <w:rPr>
          <w:rFonts w:ascii="Times New Roman" w:eastAsia="仿宋_GB2312"/>
          <w:b w:val="false"/>
          <w:sz w:val="32"/>
          <w:szCs w:val="32"/>
        </w:rPr>
        <w:t>4</w:t>
      </w:r>
      <w:r>
        <w:rPr>
          <w:rFonts w:ascii="Times New Roman" w:eastAsia="仿宋_GB2312"/>
          <w:b w:val="false"/>
          <w:sz w:val="32"/>
          <w:szCs w:val="32"/>
        </w:rPr>
        <w:t>辆，比上年</w:t>
      </w:r>
      <w:r>
        <w:rPr>
          <w:rFonts w:ascii="Times New Roman" w:eastAsia="仿宋_GB2312"/>
          <w:b w:val="false"/>
          <w:sz w:val="32"/>
          <w:szCs w:val="32"/>
        </w:rPr>
        <w:t>增加</w:t>
      </w:r>
      <w:r>
        <w:rPr>
          <w:rFonts w:ascii="Times New Roman" w:eastAsia="仿宋_GB2312"/>
          <w:b w:val="false"/>
          <w:sz w:val="32"/>
          <w:szCs w:val="32"/>
        </w:rPr>
        <w:t>0</w:t>
      </w:r>
      <w:r>
        <w:rPr>
          <w:rFonts w:ascii="Times New Roman" w:eastAsia="仿宋_GB2312"/>
          <w:b w:val="false"/>
          <w:sz w:val="32"/>
          <w:szCs w:val="32"/>
        </w:rPr>
        <w:t>辆，主要是</w:t>
      </w:r>
      <w:r>
        <w:rPr>
          <w:rFonts w:ascii="Times New Roman" w:eastAsia="仿宋_GB2312"/>
          <w:b w:val="false"/>
          <w:sz w:val="32"/>
          <w:szCs w:val="32"/>
        </w:rPr>
        <w:t>未发生车辆购置、调入、调出等业务</w:t>
      </w:r>
      <w:r>
        <w:rPr>
          <w:rFonts w:ascii="Times New Roman" w:eastAsia="仿宋_GB2312"/>
          <w:b w:val="false"/>
          <w:sz w:val="32"/>
          <w:szCs w:val="32"/>
        </w:rPr>
        <w:t>。其中，副部（省）级及以上领导用车</w:t>
      </w:r>
      <w:r>
        <w:rPr>
          <w:rFonts w:ascii="Times New Roman" w:eastAsia="仿宋_GB2312"/>
          <w:b w:val="false"/>
          <w:sz w:val="32"/>
          <w:szCs w:val="32"/>
        </w:rPr>
        <w:t>0</w:t>
      </w:r>
      <w:r>
        <w:rPr>
          <w:rFonts w:ascii="Times New Roman" w:eastAsia="仿宋_GB2312"/>
          <w:b w:val="false"/>
          <w:sz w:val="32"/>
          <w:szCs w:val="32"/>
        </w:rPr>
        <w:t>辆，主要负责人用车</w:t>
      </w:r>
      <w:r>
        <w:rPr>
          <w:rFonts w:ascii="Times New Roman" w:eastAsia="仿宋_GB2312"/>
          <w:b w:val="false"/>
          <w:sz w:val="32"/>
          <w:szCs w:val="32"/>
        </w:rPr>
        <w:t>0</w:t>
      </w:r>
      <w:r>
        <w:rPr>
          <w:rFonts w:ascii="Times New Roman" w:eastAsia="仿宋_GB2312"/>
          <w:b w:val="false"/>
          <w:sz w:val="32"/>
          <w:szCs w:val="32"/>
        </w:rPr>
        <w:t>辆，机要通信用车</w:t>
      </w:r>
      <w:r>
        <w:rPr>
          <w:rFonts w:ascii="Times New Roman" w:eastAsia="仿宋_GB2312"/>
          <w:b w:val="false"/>
          <w:sz w:val="32"/>
          <w:szCs w:val="32"/>
        </w:rPr>
        <w:t>0</w:t>
      </w:r>
      <w:r>
        <w:rPr>
          <w:rFonts w:ascii="Times New Roman" w:eastAsia="仿宋_GB2312"/>
          <w:b w:val="false"/>
          <w:sz w:val="32"/>
          <w:szCs w:val="32"/>
        </w:rPr>
        <w:t>辆，应急保障用车</w:t>
      </w:r>
      <w:r>
        <w:rPr>
          <w:rFonts w:ascii="Times New Roman" w:eastAsia="仿宋_GB2312"/>
          <w:b w:val="false"/>
          <w:sz w:val="32"/>
          <w:szCs w:val="32"/>
        </w:rPr>
        <w:t>2</w:t>
      </w:r>
      <w:r>
        <w:rPr>
          <w:rFonts w:ascii="Times New Roman" w:eastAsia="仿宋_GB2312"/>
          <w:b w:val="false"/>
          <w:sz w:val="32"/>
          <w:szCs w:val="32"/>
        </w:rPr>
        <w:t>辆，执法执勤用车</w:t>
      </w:r>
      <w:r>
        <w:rPr>
          <w:rFonts w:ascii="Times New Roman" w:eastAsia="仿宋_GB2312"/>
          <w:b w:val="false"/>
          <w:sz w:val="32"/>
          <w:szCs w:val="32"/>
        </w:rPr>
        <w:t>0</w:t>
      </w:r>
      <w:r>
        <w:rPr>
          <w:rFonts w:ascii="Times New Roman" w:eastAsia="仿宋_GB2312"/>
          <w:b w:val="false"/>
          <w:sz w:val="32"/>
          <w:szCs w:val="32"/>
        </w:rPr>
        <w:t>辆，特种专业技术用车</w:t>
      </w:r>
      <w:r>
        <w:rPr>
          <w:rFonts w:ascii="Times New Roman" w:eastAsia="仿宋_GB2312"/>
          <w:b w:val="false"/>
          <w:sz w:val="32"/>
          <w:szCs w:val="32"/>
        </w:rPr>
        <w:t>0</w:t>
      </w:r>
      <w:r>
        <w:rPr>
          <w:rFonts w:ascii="Times New Roman" w:eastAsia="仿宋_GB2312"/>
          <w:b w:val="false"/>
          <w:sz w:val="32"/>
          <w:szCs w:val="32"/>
        </w:rPr>
        <w:t>辆，离退休干部用车</w:t>
      </w:r>
      <w:r>
        <w:rPr>
          <w:rFonts w:ascii="Times New Roman" w:eastAsia="仿宋_GB2312"/>
          <w:b w:val="false"/>
          <w:sz w:val="32"/>
          <w:szCs w:val="32"/>
        </w:rPr>
        <w:t>0</w:t>
      </w:r>
      <w:r>
        <w:rPr>
          <w:rFonts w:ascii="Times New Roman" w:eastAsia="仿宋_GB2312"/>
          <w:b w:val="false"/>
          <w:sz w:val="32"/>
          <w:szCs w:val="32"/>
        </w:rPr>
        <w:t>辆，其他用车</w:t>
      </w:r>
      <w:r>
        <w:rPr>
          <w:rFonts w:ascii="Times New Roman" w:eastAsia="仿宋_GB2312"/>
          <w:b w:val="false"/>
          <w:sz w:val="32"/>
          <w:szCs w:val="32"/>
        </w:rPr>
        <w:t>2</w:t>
      </w:r>
      <w:r>
        <w:rPr>
          <w:rFonts w:ascii="Times New Roman" w:eastAsia="仿宋_GB2312"/>
          <w:b w:val="false"/>
          <w:sz w:val="32"/>
          <w:szCs w:val="32"/>
        </w:rPr>
        <w:t>辆，其他用车主要是</w:t>
      </w:r>
      <w:r>
        <w:rPr>
          <w:rFonts w:ascii="Times New Roman" w:eastAsia="仿宋_GB2312"/>
          <w:b w:val="false"/>
          <w:sz w:val="32"/>
          <w:szCs w:val="32"/>
        </w:rPr>
        <w:t>清洁用车</w:t>
      </w:r>
      <w:r>
        <w:rPr>
          <w:rFonts w:ascii="Times New Roman" w:eastAsia="仿宋_GB2312"/>
          <w:b w:val="false"/>
          <w:sz w:val="32"/>
          <w:szCs w:val="32"/>
        </w:rPr>
        <w:t>。单位价值100万元（含）以上设备（不含车辆）</w:t>
      </w:r>
      <w:r>
        <w:rPr>
          <w:rFonts w:ascii="Times New Roman" w:eastAsia="仿宋_GB2312"/>
          <w:b w:val="false"/>
          <w:sz w:val="32"/>
          <w:szCs w:val="32"/>
        </w:rPr>
        <w:t>0</w:t>
      </w:r>
      <w:r>
        <w:rPr>
          <w:rFonts w:ascii="Times New Roman" w:eastAsia="仿宋_GB2312"/>
          <w:b w:val="false"/>
          <w:sz w:val="32"/>
          <w:szCs w:val="32"/>
        </w:rPr>
        <w:t>台（套）。</w:t>
      </w:r>
    </w:p>
    <w:p>
      <w:pPr>
        <w:widowControl w:val="true"/>
        <w:spacing w:before="0" w:beforeLines="0" w:beforeAutospacing="false" w:after="0" w:afterLines="0" w:afterAutospacing="false" w:line="360" w:lineRule="auto"/>
        <w:ind w:firstLine="200" w:firstLineChars="200"/>
        <w:jc w:val="left"/>
        <w:outlineLvl w:val="1"/>
        <w:rPr>
          <w:rFonts w:ascii="Times New Roman" w:eastAsia="黑体"/>
          <w:sz w:val="32"/>
          <w:szCs w:val="32"/>
        </w:rPr>
      </w:pPr>
      <w:r>
        <w:rPr>
          <w:rFonts w:ascii="Times New Roman" w:eastAsia="黑体"/>
          <w:b w:val="false"/>
          <w:sz w:val="32"/>
          <w:szCs w:val="32"/>
        </w:rPr>
        <w:t>九、关于2024年度绩效评价情况的说明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（一）绩效评价工作开展情况</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 根据预算绩效管理要求，</w:t>
      </w:r>
      <w:r>
        <w:rPr>
          <w:rFonts w:ascii="Times New Roman" w:eastAsia="仿宋_GB2312"/>
          <w:b w:val="false"/>
          <w:sz w:val="32"/>
          <w:szCs w:val="32"/>
        </w:rPr>
        <w:t>本单位</w:t>
      </w:r>
      <w:r>
        <w:rPr>
          <w:rFonts w:ascii="Times New Roman" w:eastAsia="仿宋_GB2312"/>
          <w:b w:val="false"/>
          <w:sz w:val="32"/>
          <w:szCs w:val="32"/>
        </w:rPr>
        <w:t>组织对2024年度本级预算项目支出全面开展绩效自评，共涉及资金</w:t>
      </w:r>
      <w:r>
        <w:rPr>
          <w:rFonts w:ascii="Times New Roman" w:eastAsia="仿宋_GB2312"/>
          <w:b w:val="false"/>
          <w:sz w:val="32"/>
          <w:szCs w:val="32"/>
        </w:rPr>
        <w:t>1,079.55</w:t>
      </w:r>
      <w:r>
        <w:rPr>
          <w:rFonts w:ascii="Times New Roman" w:eastAsia="仿宋_GB2312"/>
          <w:b w:val="false"/>
          <w:sz w:val="32"/>
          <w:szCs w:val="32"/>
        </w:rPr>
        <w:t>万元（决算金额）。其中，一般公共预算项目</w:t>
      </w:r>
      <w:r>
        <w:rPr>
          <w:rFonts w:ascii="Times New Roman" w:eastAsia="仿宋_GB2312"/>
          <w:b w:val="false"/>
          <w:sz w:val="32"/>
          <w:szCs w:val="32"/>
        </w:rPr>
        <w:t>21</w:t>
      </w:r>
      <w:r>
        <w:rPr>
          <w:rFonts w:ascii="Times New Roman" w:eastAsia="仿宋_GB2312"/>
          <w:b w:val="false"/>
          <w:sz w:val="32"/>
          <w:szCs w:val="32"/>
        </w:rPr>
        <w:t>个，涉及资金</w:t>
      </w:r>
      <w:r>
        <w:rPr>
          <w:rFonts w:ascii="Times New Roman" w:eastAsia="仿宋_GB2312"/>
          <w:b w:val="false"/>
          <w:sz w:val="32"/>
          <w:szCs w:val="32"/>
        </w:rPr>
        <w:t>1,079.55</w:t>
      </w:r>
      <w:r>
        <w:rPr>
          <w:rFonts w:ascii="Times New Roman" w:eastAsia="仿宋_GB2312"/>
          <w:b w:val="false"/>
          <w:sz w:val="32"/>
          <w:szCs w:val="32"/>
        </w:rPr>
        <w:t>万元，占一般公共预算项目支出总额的</w:t>
      </w:r>
      <w:r>
        <w:rPr>
          <w:rFonts w:ascii="Times New Roman" w:eastAsia="仿宋_GB2312"/>
          <w:b w:val="false"/>
          <w:sz w:val="32"/>
          <w:szCs w:val="32"/>
        </w:rPr>
        <w:t>100</w:t>
      </w:r>
      <w:r>
        <w:rPr>
          <w:rFonts w:ascii="Times New Roman" w:eastAsia="仿宋_GB2312"/>
          <w:b w:val="false"/>
          <w:sz w:val="32"/>
          <w:szCs w:val="32"/>
        </w:rPr>
        <w:t>%；政府性基金预算项目</w:t>
      </w:r>
      <w:r>
        <w:rPr>
          <w:rFonts w:ascii="Times New Roman" w:eastAsia="仿宋_GB2312"/>
          <w:b w:val="false"/>
          <w:sz w:val="32"/>
          <w:szCs w:val="32"/>
        </w:rPr>
        <w:t>0</w:t>
      </w:r>
      <w:r>
        <w:rPr>
          <w:rFonts w:ascii="Times New Roman" w:eastAsia="仿宋_GB2312"/>
          <w:b w:val="false"/>
          <w:sz w:val="32"/>
          <w:szCs w:val="32"/>
        </w:rPr>
        <w:t>个，涉及资金</w:t>
      </w:r>
      <w:r>
        <w:rPr>
          <w:rFonts w:ascii="Times New Roman" w:eastAsia="仿宋_GB2312"/>
          <w:b w:val="false"/>
          <w:sz w:val="32"/>
          <w:szCs w:val="32"/>
        </w:rPr>
        <w:t>0</w:t>
      </w:r>
      <w:r>
        <w:rPr>
          <w:rFonts w:ascii="Times New Roman" w:eastAsia="仿宋_GB2312"/>
          <w:b w:val="false"/>
          <w:sz w:val="32"/>
          <w:szCs w:val="32"/>
        </w:rPr>
        <w:t>万元，占政府性基金预算项目支出总额的</w:t>
      </w:r>
      <w:r>
        <w:rPr>
          <w:rFonts w:ascii="Times New Roman" w:eastAsia="仿宋_GB2312"/>
          <w:b w:val="false"/>
          <w:sz w:val="32"/>
          <w:szCs w:val="32"/>
        </w:rPr>
        <w:t>0</w:t>
      </w:r>
      <w:r>
        <w:rPr>
          <w:rFonts w:ascii="Times New Roman" w:eastAsia="仿宋_GB2312"/>
          <w:b w:val="false"/>
          <w:sz w:val="32"/>
          <w:szCs w:val="32"/>
        </w:rPr>
        <w:t>%；国有资本经营预算项目</w:t>
      </w:r>
      <w:r>
        <w:rPr>
          <w:rFonts w:ascii="Times New Roman" w:eastAsia="仿宋_GB2312"/>
          <w:b w:val="false"/>
          <w:sz w:val="32"/>
          <w:szCs w:val="32"/>
        </w:rPr>
        <w:t>0</w:t>
      </w:r>
      <w:r>
        <w:rPr>
          <w:rFonts w:ascii="Times New Roman" w:eastAsia="仿宋_GB2312"/>
          <w:b w:val="false"/>
          <w:sz w:val="32"/>
          <w:szCs w:val="32"/>
        </w:rPr>
        <w:t>个，涉及资金</w:t>
      </w:r>
      <w:r>
        <w:rPr>
          <w:rFonts w:ascii="Times New Roman" w:eastAsia="仿宋_GB2312"/>
          <w:b w:val="false"/>
          <w:sz w:val="32"/>
          <w:szCs w:val="32"/>
        </w:rPr>
        <w:t>0</w:t>
      </w:r>
      <w:r>
        <w:rPr>
          <w:rFonts w:ascii="Times New Roman" w:eastAsia="仿宋_GB2312"/>
          <w:b w:val="false"/>
          <w:sz w:val="32"/>
          <w:szCs w:val="32"/>
        </w:rPr>
        <w:t>万元，占国有资本经营预算项目支出总额的</w:t>
      </w:r>
      <w:r>
        <w:rPr>
          <w:rFonts w:ascii="Times New Roman" w:eastAsia="仿宋_GB2312"/>
          <w:b w:val="false"/>
          <w:sz w:val="32"/>
          <w:szCs w:val="32"/>
        </w:rPr>
        <w:t>0</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组织对</w:t>
      </w:r>
      <w:r>
        <w:rPr>
          <w:rFonts w:ascii="Times New Roman" w:eastAsia="仿宋_GB2312"/>
          <w:b w:val="false"/>
          <w:sz w:val="32"/>
          <w:szCs w:val="32"/>
        </w:rPr>
        <w:t>2024年区级衡井线北寨段两侧绿化、环乡路南寨及梁庄绿化、山前大道南延两侧绿化占地租金、2024你上半年上寨乡大气污染防治奖励资金、2024年区级退役军人公益岗位劳务派遣工资及保险</w:t>
      </w:r>
      <w:r>
        <w:rPr>
          <w:rFonts w:ascii="Times New Roman" w:eastAsia="仿宋_GB2312"/>
          <w:b w:val="false"/>
          <w:sz w:val="32"/>
          <w:szCs w:val="32"/>
        </w:rPr>
        <w:t>等</w:t>
      </w:r>
      <w:r>
        <w:rPr>
          <w:rFonts w:ascii="Times New Roman" w:eastAsia="仿宋_GB2312"/>
          <w:b w:val="false"/>
          <w:sz w:val="32"/>
          <w:szCs w:val="32"/>
        </w:rPr>
        <w:t>21</w:t>
      </w:r>
      <w:r>
        <w:rPr>
          <w:rFonts w:ascii="Times New Roman" w:eastAsia="仿宋_GB2312"/>
          <w:b w:val="false"/>
          <w:sz w:val="32"/>
          <w:szCs w:val="32"/>
        </w:rPr>
        <w:t>个项目开展了部门重点评价，涉及一般公共预算支出</w:t>
      </w:r>
      <w:r>
        <w:rPr>
          <w:rFonts w:ascii="Times New Roman" w:eastAsia="仿宋_GB2312"/>
          <w:b w:val="false"/>
          <w:sz w:val="32"/>
          <w:szCs w:val="32"/>
        </w:rPr>
        <w:t>1,079.55</w:t>
      </w:r>
      <w:r>
        <w:rPr>
          <w:rFonts w:ascii="Times New Roman" w:eastAsia="仿宋_GB2312"/>
          <w:b w:val="false"/>
          <w:sz w:val="32"/>
          <w:szCs w:val="32"/>
        </w:rPr>
        <w:t>万元，政府性基金预算支出</w:t>
      </w:r>
      <w:r>
        <w:rPr>
          <w:rFonts w:ascii="Times New Roman" w:eastAsia="仿宋_GB2312"/>
          <w:b w:val="false"/>
          <w:sz w:val="32"/>
          <w:szCs w:val="32"/>
        </w:rPr>
        <w:t>0</w:t>
      </w:r>
      <w:r>
        <w:rPr>
          <w:rFonts w:ascii="Times New Roman" w:eastAsia="仿宋_GB2312"/>
          <w:b w:val="false"/>
          <w:sz w:val="32"/>
          <w:szCs w:val="32"/>
        </w:rPr>
        <w:t>万元，国有资本经营预算支出</w:t>
      </w:r>
      <w:r>
        <w:rPr>
          <w:rFonts w:ascii="Times New Roman" w:eastAsia="仿宋_GB2312"/>
          <w:b w:val="false"/>
          <w:sz w:val="32"/>
          <w:szCs w:val="32"/>
        </w:rPr>
        <w:t>0</w:t>
      </w:r>
      <w:r>
        <w:rPr>
          <w:rFonts w:ascii="Times New Roman" w:eastAsia="仿宋_GB2312"/>
          <w:b w:val="false"/>
          <w:sz w:val="32"/>
          <w:szCs w:val="32"/>
        </w:rPr>
        <w:t>万元，从评价情况来看，</w:t>
      </w:r>
      <w:r>
        <w:rPr>
          <w:rFonts w:ascii="Times New Roman" w:eastAsia="仿宋_GB2312"/>
          <w:b w:val="false"/>
          <w:sz w:val="32"/>
          <w:szCs w:val="32"/>
        </w:rPr>
        <w:t>项目资金能够发放到位，项目能较好完成。</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（二）部门决算中项目绩效自评结果</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本单位</w:t>
      </w:r>
      <w:r>
        <w:rPr>
          <w:rFonts w:ascii="Times New Roman" w:eastAsia="仿宋_GB2312"/>
          <w:b w:val="false"/>
          <w:sz w:val="32"/>
          <w:szCs w:val="32"/>
        </w:rPr>
        <w:t>在今年部门决算公开中反映 </w:t>
      </w:r>
      <w:r>
        <w:rPr>
          <w:rFonts w:ascii="Times New Roman" w:eastAsia="仿宋_GB2312"/>
          <w:b w:val="false"/>
          <w:sz w:val="32"/>
          <w:szCs w:val="32"/>
        </w:rPr>
        <w:t>2024年区级衡井线北寨段两侧绿化、环乡路南寨及梁庄绿化、山前大道南延两侧绿化占地租金</w:t>
      </w:r>
      <w:r>
        <w:rPr>
          <w:rFonts w:ascii="Times New Roman" w:eastAsia="仿宋_GB2312"/>
          <w:b w:val="false"/>
          <w:sz w:val="32"/>
          <w:szCs w:val="32"/>
        </w:rPr>
        <w:t>等</w:t>
      </w:r>
      <w:r>
        <w:rPr>
          <w:rFonts w:ascii="Times New Roman" w:eastAsia="仿宋_GB2312"/>
          <w:b w:val="false"/>
          <w:sz w:val="32"/>
          <w:szCs w:val="32"/>
        </w:rPr>
        <w:t>2</w:t>
      </w:r>
      <w:r>
        <w:rPr>
          <w:rFonts w:ascii="Times New Roman" w:eastAsia="仿宋_GB2312"/>
          <w:b w:val="false"/>
          <w:sz w:val="32"/>
          <w:szCs w:val="32"/>
        </w:rPr>
        <w:t>个项目绩效自评结果。</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2024年区级衡井线北寨段两侧绿化、环乡路南寨及梁庄绿化、山前大道南延两侧绿化占地租金</w:t>
      </w:r>
      <w:r>
        <w:rPr>
          <w:rFonts w:ascii="Times New Roman" w:eastAsia="仿宋_GB2312"/>
          <w:b w:val="false"/>
          <w:sz w:val="32"/>
          <w:szCs w:val="32"/>
        </w:rPr>
        <w:t>项目绩效自评情况：根据年初设定的绩效目标，​​​</w:t>
      </w:r>
      <w:r>
        <w:rPr>
          <w:rFonts w:ascii="Times New Roman" w:eastAsia="仿宋_GB2312"/>
          <w:b w:val="false"/>
          <w:sz w:val="32"/>
          <w:szCs w:val="32"/>
        </w:rPr>
        <w:t>2024年区级衡井线北寨段两侧绿化、环乡路南寨及梁庄绿化、山前大道南延两侧绿化占地租金</w:t>
      </w:r>
      <w:r>
        <w:rPr>
          <w:rFonts w:ascii="Times New Roman" w:eastAsia="仿宋_GB2312"/>
          <w:b w:val="false"/>
          <w:sz w:val="32"/>
          <w:szCs w:val="32"/>
        </w:rPr>
        <w:t>项目绩效自评得分为​​​</w:t>
      </w:r>
      <w:r>
        <w:rPr>
          <w:rFonts w:ascii="Times New Roman" w:eastAsia="仿宋_GB2312"/>
          <w:b w:val="false"/>
          <w:sz w:val="32"/>
          <w:szCs w:val="32"/>
        </w:rPr>
        <w:t>98</w:t>
      </w:r>
      <w:r>
        <w:rPr>
          <w:rFonts w:ascii="Times New Roman" w:eastAsia="仿宋_GB2312"/>
          <w:b w:val="false"/>
          <w:sz w:val="32"/>
          <w:szCs w:val="32"/>
        </w:rPr>
        <w:t>分（绩效自评表附后）。全年预算数为​​​</w:t>
      </w:r>
      <w:r>
        <w:rPr>
          <w:rFonts w:ascii="Times New Roman" w:eastAsia="仿宋_GB2312"/>
          <w:b w:val="false"/>
          <w:sz w:val="32"/>
          <w:szCs w:val="32"/>
        </w:rPr>
        <w:t>33.95</w:t>
      </w:r>
      <w:r>
        <w:rPr>
          <w:rFonts w:ascii="Times New Roman" w:eastAsia="仿宋_GB2312"/>
          <w:b w:val="false"/>
          <w:sz w:val="32"/>
          <w:szCs w:val="32"/>
        </w:rPr>
        <w:t>万元，执行数为</w:t>
      </w:r>
      <w:r>
        <w:rPr>
          <w:rFonts w:ascii="Times New Roman" w:eastAsia="仿宋_GB2312"/>
          <w:b w:val="false"/>
          <w:sz w:val="32"/>
          <w:szCs w:val="32"/>
        </w:rPr>
        <w:t>33.95</w:t>
      </w:r>
      <w:r>
        <w:rPr>
          <w:rFonts w:ascii="Times New Roman" w:eastAsia="仿宋_GB2312"/>
          <w:b w:val="false"/>
          <w:sz w:val="32"/>
          <w:szCs w:val="32"/>
        </w:rPr>
        <w:t>​​​万元，完成预算的​​​</w:t>
      </w:r>
      <w:r>
        <w:rPr>
          <w:rFonts w:ascii="Times New Roman" w:eastAsia="仿宋_GB2312"/>
          <w:b w:val="false"/>
          <w:sz w:val="32"/>
          <w:szCs w:val="32"/>
        </w:rPr>
        <w:t>100</w:t>
      </w:r>
      <w:r>
        <w:rPr>
          <w:rFonts w:ascii="Times New Roman" w:eastAsia="仿宋_GB2312"/>
          <w:b w:val="false"/>
          <w:sz w:val="32"/>
          <w:szCs w:val="32"/>
        </w:rPr>
        <w:t>%。项目绩效目标完成情况：一是</w:t>
      </w:r>
      <w:r>
        <w:rPr>
          <w:rFonts w:ascii="Times New Roman" w:eastAsia="仿宋_GB2312"/>
          <w:b w:val="false"/>
          <w:sz w:val="32"/>
          <w:szCs w:val="32"/>
        </w:rPr>
        <w:t>项目资金能够足额发放</w:t>
      </w:r>
      <w:r>
        <w:rPr>
          <w:rFonts w:ascii="Times New Roman" w:eastAsia="仿宋_GB2312"/>
          <w:b w:val="false"/>
          <w:sz w:val="32"/>
          <w:szCs w:val="32"/>
        </w:rPr>
        <w:t>​​​；二是</w:t>
      </w:r>
      <w:r>
        <w:rPr>
          <w:rFonts w:ascii="Times New Roman" w:eastAsia="仿宋_GB2312"/>
          <w:b w:val="false"/>
          <w:sz w:val="32"/>
          <w:szCs w:val="32"/>
        </w:rPr>
        <w:t>项目资金在规定时间内发放</w:t>
      </w:r>
      <w:r>
        <w:rPr>
          <w:rFonts w:ascii="Times New Roman" w:eastAsia="仿宋_GB2312"/>
          <w:b w:val="false"/>
          <w:sz w:val="32"/>
          <w:szCs w:val="32"/>
        </w:rPr>
        <w:t>​​​。发现的主要问题及原因是：一是</w:t>
      </w:r>
      <w:r>
        <w:rPr>
          <w:rFonts w:ascii="Times New Roman" w:eastAsia="仿宋_GB2312"/>
          <w:b w:val="false"/>
          <w:sz w:val="32"/>
          <w:szCs w:val="32"/>
        </w:rPr>
        <w:t>资金发放有一定延迟，原因是该项目涉及三个项目租金，资金申请有一定延迟性</w:t>
      </w:r>
      <w:r>
        <w:rPr>
          <w:rFonts w:ascii="Times New Roman" w:eastAsia="仿宋_GB2312"/>
          <w:b w:val="false"/>
          <w:sz w:val="32"/>
          <w:szCs w:val="32"/>
        </w:rPr>
        <w:t>​​​；二是</w:t>
      </w:r>
      <w:r>
        <w:rPr>
          <w:rFonts w:ascii="Times New Roman" w:eastAsia="仿宋_GB2312"/>
          <w:b w:val="false"/>
          <w:sz w:val="32"/>
          <w:szCs w:val="32"/>
        </w:rPr>
        <w:t>该项目资金由乡财政拨入村级代管户村级代管户代发至农户</w:t>
      </w:r>
      <w:r>
        <w:rPr>
          <w:rFonts w:ascii="Times New Roman" w:eastAsia="仿宋_GB2312"/>
          <w:b w:val="false"/>
          <w:sz w:val="32"/>
          <w:szCs w:val="32"/>
        </w:rPr>
        <w:t>​​​。下一步改进措施：一是</w:t>
      </w:r>
      <w:r>
        <w:rPr>
          <w:rFonts w:ascii="Times New Roman" w:eastAsia="仿宋_GB2312"/>
          <w:b w:val="false"/>
          <w:sz w:val="32"/>
          <w:szCs w:val="32"/>
        </w:rPr>
        <w:t>及时申请财政资金</w:t>
      </w:r>
      <w:r>
        <w:rPr>
          <w:rFonts w:ascii="Times New Roman" w:eastAsia="仿宋_GB2312"/>
          <w:b w:val="false"/>
          <w:sz w:val="32"/>
          <w:szCs w:val="32"/>
        </w:rPr>
        <w:t>​​​；二是</w:t>
      </w:r>
      <w:r>
        <w:rPr>
          <w:rFonts w:ascii="Times New Roman" w:eastAsia="仿宋_GB2312"/>
          <w:b w:val="false"/>
          <w:sz w:val="32"/>
          <w:szCs w:val="32"/>
        </w:rPr>
        <w:t>督促村级代管户及时代发</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（三）部门评价项目绩效评价结果（如有）</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作为绩效运行监管主体，我乡党委、政府认真落实主体责任，定期对绩效监控信息进行收集、汇总、分析，并将结果上报乡党委、政府。各责任部门加强监督，及时审核、汇总、报告本部门涉及的项目跟踪监控情况。坚持“全覆盖、零容忍、重实效 ”的原则，对2024年度项目开展绩效监控，并对项目管理及目标调整依据项目的实际情况进行分析，及时反映预算执行过程中项目绩效目标的运行情况和实现程度；进一步明确预算管理目标，实行垂直管理和上下联动机制，根据每月预算支出进度，对项目运行较慢、落实不到位情况进行纠正和修改绩效目标和指标，分析问题原因，提出意见建议并进行整改，切实提高我乡预算资金的使用率。</w:t>
      </w:r>
    </w:p>
    <w:p>
      <w:pPr>
        <w:widowControl w:val="true"/>
        <w:spacing w:before="0" w:beforeLines="0" w:beforeAutospacing="false" w:after="0" w:afterLines="0" w:afterAutospacing="false" w:line="360" w:lineRule="auto"/>
        <w:ind w:firstLine="200" w:firstLineChars="200"/>
        <w:jc w:val="left"/>
        <w:rPr>
          <w:rFonts w:ascii="Times New Roman" w:eastAsia="黑体"/>
          <w:sz w:val="32"/>
          <w:szCs w:val="32"/>
        </w:rPr>
      </w:pPr>
      <w:r>
        <w:rPr>
          <w:rFonts w:ascii="Times New Roman" w:eastAsia="黑体"/>
          <w:b w:val="false"/>
          <w:sz w:val="32"/>
          <w:szCs w:val="32"/>
        </w:rPr>
        <w:t>十、其他需要说明的情况</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 1. </w:t>
      </w:r>
      <w:r>
        <w:rPr>
          <w:rFonts w:ascii="Times New Roman" w:eastAsia="仿宋_GB2312"/>
          <w:b w:val="false"/>
          <w:sz w:val="32"/>
          <w:szCs w:val="32"/>
        </w:rPr>
        <w:t>本单位</w:t>
      </w:r>
      <w:r>
        <w:rPr>
          <w:rFonts w:ascii="Times New Roman" w:eastAsia="仿宋_GB2312"/>
          <w:b w:val="false"/>
          <w:sz w:val="32"/>
          <w:szCs w:val="32"/>
        </w:rPr>
        <w:t>2024年度</w:t>
      </w:r>
      <w:r>
        <w:rPr>
          <w:rFonts w:ascii="Times New Roman" w:eastAsia="仿宋_GB2312"/>
          <w:b w:val="false"/>
          <w:sz w:val="32"/>
          <w:szCs w:val="32"/>
        </w:rPr>
        <w:t>政府性基金预算财政拨款收入支出决算表（公开07表）、国有资本经营预算财政拨款支出决算表（公开08表）</w:t>
      </w:r>
      <w:r>
        <w:rPr>
          <w:rFonts w:ascii="Times New Roman" w:eastAsia="仿宋_GB2312"/>
          <w:b w:val="false"/>
          <w:sz w:val="32"/>
          <w:szCs w:val="32"/>
        </w:rPr>
        <w:t>无相应收支，故空表列示。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2. 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val="true"/>
        <w:spacing w:before="0" w:beforeLines="0" w:beforeAutospacing="false" w:after="0" w:afterLines="0" w:afterAutospacing="false" w:line="360" w:lineRule="auto"/>
        <w:ind/>
        <w:jc w:val="center"/>
        <w:outlineLvl w:val="0"/>
        <w:rPr>
          <w:rFonts w:ascii="Times New Roman" w:eastAsia="黑体"/>
          <w:sz w:val="44"/>
          <w:szCs w:val="44"/>
        </w:rPr>
      </w:pPr>
      <w:r>
        <w:rPr>
          <w:rFonts w:ascii="Times New Roman" w:eastAsia="黑体"/>
          <w:b w:val="false"/>
          <w:sz w:val="44"/>
          <w:szCs w:val="44"/>
        </w:rPr>
        <w:t>第四部分   名词解释</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一、财政拨款收入：</w:t>
      </w:r>
      <w:r>
        <w:rPr>
          <w:rFonts w:ascii="Times New Roman" w:eastAsia="仿宋_GB2312"/>
          <w:b w:val="false"/>
          <w:sz w:val="32"/>
          <w:szCs w:val="32"/>
        </w:rPr>
        <w:t>指单位从同级财政部门取得的财政预算资金。</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二、事业收入：</w:t>
      </w:r>
      <w:r>
        <w:rPr>
          <w:rFonts w:ascii="Times New Roman" w:eastAsia="仿宋_GB2312"/>
          <w:b w:val="false"/>
          <w:sz w:val="32"/>
          <w:szCs w:val="32"/>
        </w:rPr>
        <w:t>指事业单位开展专业业务活动及辅助活动取得的收入。</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三、经营收入：</w:t>
      </w:r>
      <w:r>
        <w:rPr>
          <w:rFonts w:ascii="Times New Roman" w:eastAsia="仿宋_GB2312"/>
          <w:b w:val="false"/>
          <w:sz w:val="32"/>
          <w:szCs w:val="32"/>
        </w:rPr>
        <w:t>指事业单位在专业业务活动及其辅助活动之外开展非独立核算经营活动取得的收入。</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四、其他收入：</w:t>
      </w:r>
      <w:r>
        <w:rPr>
          <w:rFonts w:ascii="Times New Roman" w:eastAsia="仿宋_GB2312"/>
          <w:b w:val="false"/>
          <w:sz w:val="32"/>
          <w:szCs w:val="32"/>
        </w:rPr>
        <w:t>指单位取得的除上述收入以外的各项收入。主要是事业单位固定资产出租收入、存款利息收入等。</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五、使用非财政拨款结余（含专用结余）：</w:t>
      </w:r>
      <w:r>
        <w:rPr>
          <w:rFonts w:ascii="Times New Roman" w:eastAsia="仿宋_GB2312"/>
          <w:b w:val="false"/>
          <w:sz w:val="32"/>
          <w:szCs w:val="32"/>
        </w:rPr>
        <w:t>指事业单位按照预算管理要求使用非财政拨款结余弥补收支差额的金额，以及使用专用结余安排支出的金额。</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六、年初结转和结余：</w:t>
      </w:r>
      <w:r>
        <w:rPr>
          <w:rFonts w:ascii="Times New Roman" w:eastAsia="仿宋_GB2312"/>
          <w:b w:val="false"/>
          <w:sz w:val="32"/>
          <w:szCs w:val="32"/>
        </w:rPr>
        <w:t>指单位以前年度尚未完成、结转到本年仍按原规定用途继续使用的资金，或项目已完成等产生的结余资金。</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七、结余分配：</w:t>
      </w:r>
      <w:r>
        <w:rPr>
          <w:rFonts w:ascii="Times New Roman" w:eastAsia="仿宋_GB2312"/>
          <w:b w:val="false"/>
          <w:sz w:val="32"/>
          <w:szCs w:val="32"/>
        </w:rPr>
        <w:t>指事业单位按照会计制度规定缴纳的所得税、提取的专用结余以及转入非财政拨款结余的金额等。</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八、年末结转和结余：</w:t>
      </w:r>
      <w:r>
        <w:rPr>
          <w:rFonts w:ascii="Times New Roman" w:eastAsia="仿宋_GB2312"/>
          <w:b w:val="false"/>
          <w:sz w:val="32"/>
          <w:szCs w:val="32"/>
        </w:rPr>
        <w:t>指单位按有关规定结转到下年或以后年度继续使用的资金，或项目已完成等产生的结余资金。</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九、基本支出：</w:t>
      </w:r>
      <w:r>
        <w:rPr>
          <w:rFonts w:ascii="Times New Roman" w:eastAsia="仿宋_GB2312"/>
          <w:b w:val="false"/>
          <w:sz w:val="32"/>
          <w:szCs w:val="32"/>
        </w:rPr>
        <w:t>指为保障机构正常运转、完成日常工作任务而发生的人员支出和公用支出。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十、项目支出：</w:t>
      </w:r>
      <w:r>
        <w:rPr>
          <w:rFonts w:ascii="Times New Roman" w:eastAsia="仿宋_GB2312"/>
          <w:b w:val="false"/>
          <w:sz w:val="32"/>
          <w:szCs w:val="32"/>
        </w:rPr>
        <w:t>指在基本支出之外为完成特定行政任务和事业发展目标所发生的支出。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十一、经营支出 ：</w:t>
      </w:r>
      <w:r>
        <w:rPr>
          <w:rFonts w:ascii="Times New Roman" w:eastAsia="仿宋_GB2312"/>
          <w:b w:val="false"/>
          <w:sz w:val="32"/>
          <w:szCs w:val="32"/>
        </w:rPr>
        <w:t>指事业单位在专业业务活动及其辅助活动之外开展非独立核算经营活动发生的支出。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十二、基本建设支出：</w:t>
      </w:r>
      <w:r>
        <w:rPr>
          <w:rFonts w:ascii="Times New Roman" w:eastAsia="仿宋_GB2312"/>
          <w:b w:val="false"/>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十三、其他资本性支出：</w:t>
      </w:r>
      <w:r>
        <w:rPr>
          <w:rFonts w:ascii="Times New Roman" w:eastAsia="仿宋_GB2312"/>
          <w:b w:val="false"/>
          <w:sz w:val="32"/>
          <w:szCs w:val="32"/>
        </w:rPr>
        <w:t>填列由各级非发展与改革部门集中安排的用于购置固定资产、战备性和应急性储备、土地和无形资产，以及购建基础设施、大型修缮和财政支持企业更新改造所发生的支出。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十四、“三公”经费：</w:t>
      </w:r>
      <w:r>
        <w:rPr>
          <w:rFonts w:ascii="Times New Roman" w:eastAsia="仿宋_GB2312"/>
          <w:b w:val="false"/>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十五、其他交通费用：</w:t>
      </w:r>
      <w:r>
        <w:rPr>
          <w:rFonts w:ascii="Times New Roman" w:eastAsia="仿宋_GB2312"/>
          <w:b w:val="false"/>
          <w:sz w:val="32"/>
          <w:szCs w:val="32"/>
        </w:rPr>
        <w:t>填列单位除公务用车运行维护费以外的其他交通费用。如公务交通补贴、租车费用、出租车费用，飞机、船舶等燃料费、维修费、保险费等。</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十六、公务用车购置：</w:t>
      </w:r>
      <w:r>
        <w:rPr>
          <w:rFonts w:ascii="Times New Roman" w:eastAsia="仿宋_GB2312"/>
          <w:b w:val="false"/>
          <w:sz w:val="32"/>
          <w:szCs w:val="32"/>
        </w:rPr>
        <w:t>填列单位公务用车车辆购置支出（含车辆购置税、牌照费）。</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十七、其他交通工具购置：</w:t>
      </w:r>
      <w:r>
        <w:rPr>
          <w:rFonts w:ascii="Times New Roman" w:eastAsia="仿宋_GB2312"/>
          <w:b w:val="false"/>
          <w:sz w:val="32"/>
          <w:szCs w:val="32"/>
        </w:rPr>
        <w:t>填列单位除公务用车外的其他各类交通工具（如船舶、飞机等）购置支出（含车辆购置税、牌照费）。</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十八、机关运行经费：</w:t>
      </w:r>
      <w:r>
        <w:rPr>
          <w:rFonts w:ascii="Times New Roman" w:eastAsia="仿宋_GB2312"/>
          <w:b w:val="false"/>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false"/>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206925B3-B179-4DA5-825D-49BCB09F6F46}"/>
  </w:font>
  <w:font w:name="黑体">
    <w:panose1 w:val="02010609060101010101"/>
    <w:charset w:val="86"/>
    <w:family w:val="auto"/>
    <w:pitch w:val="default"/>
    <w:sig w:usb0="800002BF" w:usb1="38CF7CFA" w:usb2="00000016" w:usb3="00000000" w:csb0="00040001" w:csb1="00000000"/>
    <w:embedRegular r:id="rId2" w:fontKey="{A968838E-1B01-4BC3-AD63-F010CC58ED2A}"/>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3" w:fontKey="{52A8052E-AFFB-49B9-8B5F-33DAA7781B67}"/>
  </w:font>
  <w:font w:name="仿宋">
    <w:panose1 w:val="02010609060101010101"/>
    <w:charset w:val="86"/>
    <w:family w:val="modern"/>
    <w:pitch w:val="default"/>
    <w:sig w:usb0="800002BF" w:usb1="38CF7CFA" w:usb2="00000016" w:usb3="00000000" w:csb0="00040001" w:csb1="00000000"/>
    <w:embedRegular r:id="rId4" w:fontKey="{5969C809-C1DD-495C-BE9A-21B314E2BF7B}"/>
  </w:font>
  <w:font w:name="Calibri Light">
    <w:panose1 w:val="020F0302020204030204"/>
    <w:charset w:val="00"/>
    <w:family w:val="auto"/>
    <w:pitch w:val="default"/>
    <w:sig w:usb0="E4002EFF" w:usb1="C2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B37DE4FC-AE24-4FEF-8457-2595C4A750B4}"/>
  </w:font>
  <w:font w:name="方正小标宋_GBK">
    <w:panose1 w:val="02000000000000000000"/>
    <w:charset w:val="86"/>
    <w:family w:val="script"/>
    <w:pitch w:val="default"/>
    <w:sig w:usb0="A00002BF" w:usb1="38CF7CFA" w:usb2="00082016" w:usb3="00000000" w:csb0="00040001" w:csb1="00000000"/>
    <w:embedRegular r:id="rId6" w:fontKey="{9D819AA7-BA24-4AA5-A309-5DE1B19D90F0}"/>
  </w:font>
  <w:font w:name="仿宋_GB2312">
    <w:panose1 w:val="02010609030101010101"/>
    <w:charset w:val="86"/>
    <w:family w:val="auto"/>
    <w:pitch w:val="default"/>
    <w:sig w:usb0="00000001" w:usb1="080E0000" w:usb2="00000000" w:usb3="00000000" w:csb0="00040000" w:csb1="00000000"/>
    <w:embedRegular r:id="rId7" w:fontKey="{A0616CF8-7A5D-4A9A-9979-81D77F1DC34A}"/>
  </w:font>
  <w:font w:name="ArialUnicodeMS">
    <w:altName w:val="Malgun Gothic"/>
    <w:panose1 w:val="00000000000000000000"/>
    <w:charset w:val="81"/>
    <w:family w:val="auto"/>
    <w:pitch w:val="default"/>
    <w:sig w:usb0="00000000" w:usb1="00000000" w:usb2="00000010" w:usb3="00000000" w:csb0="00080001" w:csb1="00000000"/>
    <w:embedRegular r:id="rId8" w:fontKey="{7884C9CE-BAB3-4815-9418-43872C0EAE6E}"/>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4F3F0362-44EC-43DE-A0EB-311B750065F0}"/>
  </w:font>
</w:fonts>
</file>

<file path=word/footer.xml><?xml version="1.0" encoding="utf-8"?>
<w:ftr xmlns:w="http://schemas.openxmlformats.org/wordprocessingml/2006/main" xmlns:m="http://schemas.openxmlformats.org/officeDocument/2006/math" xmlns:w14="http://schemas.microsoft.com/office/word/2010/wordml" xmlns:r="http://schemas.openxmlformats.org/officeDocument/2006/relationships" xmlns:wp="http://schemas.openxmlformats.org/drawingml/2006/wordprocessingDrawing" xmlns:a="http://schemas.openxmlformats.org/drawingml/2006/main" xmlns:wp14="http://schemas.microsoft.com/office/word/2010/wordprocessingDrawing" xmlns:w15="http://schemas.microsoft.com/office/word/2012/wordml"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xvml="urn:schemas-microsoft-com:office:excel" xmlns:w10="urn:schemas-microsoft-com:office:word" xmlns:v="urn:schemas-microsoft-com:vml"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p>
    <w:pPr>
      <w:jc w:val="center"/>
    </w:pPr>
    <w:r>
      <w:fldChar w:fldCharType="begin"/>
    </w:r>
    <w:r>
      <w:t xml:space="preserve">PAGE</w:t>
    </w:r>
    <w:r>
      <w:fldChar w:fldCharType="separate"/>
    </w:r>
    <w:r>
      <w:t>1</w:t>
    </w:r>
    <w:r>
      <w:fldChar w:fldCharType="end"/>
    </w:r>
  </w:p>
</w:ftr>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48978A">
    <w:pPr>
      <w:pStyle w:val="8"/>
      <w:jc w:val="center"/>
    </w:pPr>
  </w:p>
  <w:p w14:paraId="7AD7F6BA">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AB46A3">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8"/>
    </w:pPr>
  </w:p>
</w:ftr>
</file>

<file path=word/header.xml><?xml version="1.0" encoding="utf-8"?>
<w:hdr xmlns:w="http://schemas.openxmlformats.org/wordprocessingml/2006/main" xmlns:m="http://schemas.openxmlformats.org/officeDocument/2006/math" xmlns:w14="http://schemas.microsoft.com/office/word/2010/wordml" xmlns:r="http://schemas.openxmlformats.org/officeDocument/2006/relationships" xmlns:wp="http://schemas.openxmlformats.org/drawingml/2006/wordprocessingDrawing" xmlns:a="http://schemas.openxmlformats.org/drawingml/2006/main" xmlns:wp14="http://schemas.microsoft.com/office/word/2010/wordprocessingDrawing" xmlns:w15="http://schemas.microsoft.com/office/word/2012/wordml"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xvml="urn:schemas-microsoft-com:office:excel" xmlns:w10="urn:schemas-microsoft-com:office:word" xmlns:v="urn:schemas-microsoft-com:vml"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p/>
</w:hd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10" Target="media/image1.jpeg" Type="http://schemas.openxmlformats.org/officeDocument/2006/relationships/image"/><Relationship Id="rId11" Target="charts/chart1.xml" Type="http://schemas.openxmlformats.org/officeDocument/2006/relationships/chart"/><Relationship Id="rId12" Target="charts/chart2.xml" Type="http://schemas.openxmlformats.org/officeDocument/2006/relationships/chart"/><Relationship Id="rId13" Target="charts/chart3.xml" Type="http://schemas.openxmlformats.org/officeDocument/2006/relationships/chart"/><Relationship Id="rId14" Target="charts/chart4.xml" Type="http://schemas.openxmlformats.org/officeDocument/2006/relationships/chart"/><Relationship Id="rId15" Target="charts/chart5.xml" Type="http://schemas.openxmlformats.org/officeDocument/2006/relationships/chart"/><Relationship Id="rId16" Target="charts/chart6.xml" Type="http://schemas.openxmlformats.org/officeDocument/2006/relationships/chart"/><Relationship Id="rId17" Target="../customXml/item1.xml" Type="http://schemas.openxmlformats.org/officeDocument/2006/relationships/customXml"/><Relationship Id="rId18" Target="numbering.xml" Type="http://schemas.openxmlformats.org/officeDocument/2006/relationships/numbering"/><Relationship Id="rId19" Target="fontTable.xml" Type="http://schemas.openxmlformats.org/officeDocument/2006/relationships/fontTable"/><Relationship Id="rId2" Target="settings.xml" Type="http://schemas.openxmlformats.org/officeDocument/2006/relationships/settings"/><Relationship Id="rId20" Target="header.xml" Type="http://schemas.openxmlformats.org/officeDocument/2006/relationships/header"/><Relationship Id="rId21" Target="footer.xml" Type="http://schemas.openxmlformats.org/officeDocument/2006/relationships/footer"/><Relationship Id="rId3" Target="footer1.xml" Type="http://schemas.openxmlformats.org/officeDocument/2006/relationships/footer"/><Relationship Id="rId4" Target="header1.xml" Type="http://schemas.openxmlformats.org/officeDocument/2006/relationships/header"/><Relationship Id="rId5" Target="header2.xml" Type="http://schemas.openxmlformats.org/officeDocument/2006/relationships/header"/><Relationship Id="rId6" Target="footer2.xml" Type="http://schemas.openxmlformats.org/officeDocument/2006/relationships/footer"/><Relationship Id="rId7" Target="footer3.xml" Type="http://schemas.openxmlformats.org/officeDocument/2006/relationships/footer"/><Relationship Id="rId8" Target="header3.xml" Type="http://schemas.openxmlformats.org/officeDocument/2006/relationships/header"/><Relationship Id="rId9" Target="theme/theme1.xml" Type="http://schemas.openxmlformats.org/officeDocument/2006/relationships/theme"/></Relationships>
</file>

<file path=word/_rels/fontTable.xml.rels><?xml version="1.0" encoding="UTF-8" standalone="yes"?><Relationships xmlns="http://schemas.openxmlformats.org/package/2006/relationships"><Relationship Id="rId1" Target="fonts/font1.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 Id="rId4" Target="fonts/font4.odttf" Type="http://schemas.openxmlformats.org/officeDocument/2006/relationships/font"/><Relationship Id="rId5" Target="fonts/font5.odttf" Type="http://schemas.openxmlformats.org/officeDocument/2006/relationships/font"/><Relationship Id="rId6" Target="fonts/font6.odttf" Type="http://schemas.openxmlformats.org/officeDocument/2006/relationships/font"/><Relationship Id="rId7" Target="fonts/font7.odttf" Type="http://schemas.openxmlformats.org/officeDocument/2006/relationships/font"/><Relationship Id="rId8" Target="fonts/font8.odttf" Type="http://schemas.openxmlformats.org/officeDocument/2006/relationships/font"/><Relationship Id="rId9" Target="fonts/font9.odttf" Type="http://schemas.openxmlformats.org/officeDocument/2006/relationships/font"/></Relationships>
</file>

<file path=word/charts/_rels/chart1.xml.rels><?xml version="1.0" encoding="UTF-8" standalone="yes"?><Relationships xmlns="http://schemas.openxmlformats.org/package/2006/relationships"><Relationship Id="rId1" Target="../embeddings/Workbook4.xlsx" Type="http://schemas.openxmlformats.org/officeDocument/2006/relationships/package"/><Relationship Id="rId2" Target="style4.xml" Type="http://schemas.microsoft.com/office/2011/relationships/chartStyle"/><Relationship Id="rId3" Target="colors4.xml" Type="http://schemas.microsoft.com/office/2011/relationships/chartColorStyle"/></Relationships>
</file>

<file path=word/charts/_rels/chart2.xml.rels><?xml version="1.0" encoding="UTF-8" standalone="yes"?><Relationships xmlns="http://schemas.openxmlformats.org/package/2006/relationships"><Relationship Id="rId1" Target="../embeddings/Workbook6.xlsx" Type="http://schemas.openxmlformats.org/officeDocument/2006/relationships/package"/><Relationship Id="rId2" Target="style6.xml" Type="http://schemas.microsoft.com/office/2011/relationships/chartStyle"/><Relationship Id="rId3" Target="colors6.xml" Type="http://schemas.microsoft.com/office/2011/relationships/chartColorStyle"/></Relationships>
</file>

<file path=word/charts/_rels/chart3.xml.rels><?xml version="1.0" encoding="UTF-8" standalone="yes"?><Relationships xmlns="http://schemas.openxmlformats.org/package/2006/relationships"><Relationship Id="rId1" Target="../embeddings/Workbook3.xlsx" Type="http://schemas.openxmlformats.org/officeDocument/2006/relationships/package"/><Relationship Id="rId2" Target="style3.xml" Type="http://schemas.microsoft.com/office/2011/relationships/chartStyle"/><Relationship Id="rId3" Target="colors3.xml" Type="http://schemas.microsoft.com/office/2011/relationships/chartColorStyle"/></Relationships>
</file>

<file path=word/charts/_rels/chart4.xml.rels><?xml version="1.0" encoding="UTF-8" standalone="yes"?><Relationships xmlns="http://schemas.openxmlformats.org/package/2006/relationships"><Relationship Id="rId1" Target="../embeddings/Workbook5.xlsx" Type="http://schemas.openxmlformats.org/officeDocument/2006/relationships/package"/><Relationship Id="rId2" Target="style5.xml" Type="http://schemas.microsoft.com/office/2011/relationships/chartStyle"/><Relationship Id="rId3" Target="colors5.xml" Type="http://schemas.microsoft.com/office/2011/relationships/chartColorStyle"/></Relationships>
</file>

<file path=word/charts/_rels/chart5.xml.rels><?xml version="1.0" encoding="UTF-8" standalone="yes"?><Relationships xmlns="http://schemas.openxmlformats.org/package/2006/relationships"><Relationship Id="rId1" Target="../embeddings/Workbook2.xlsx" Type="http://schemas.openxmlformats.org/officeDocument/2006/relationships/package"/><Relationship Id="rId2" Target="style2.xml" Type="http://schemas.microsoft.com/office/2011/relationships/chartStyle"/><Relationship Id="rId3" Target="colors2.xml" Type="http://schemas.microsoft.com/office/2011/relationships/chartColorStyle"/></Relationships>
</file>

<file path=word/charts/_rels/chart6.xml.rels><?xml version="1.0" encoding="UTF-8" standalone="yes"?><Relationships xmlns="http://schemas.openxmlformats.org/package/2006/relationships"><Relationship Id="rId1" Target="../embeddings/Workbook1.xlsx" Type="http://schemas.openxmlformats.org/officeDocument/2006/relationships/package"/><Relationship Id="rId2" Target="style1.xml" Type="http://schemas.microsoft.com/office/2011/relationships/chartStyle"/><Relationship Id="rId3" Target="colors1.xml" Type="http://schemas.microsoft.com/office/2011/relationships/chartColorStyle"/></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ptCount val="2"/>
                <c:pt idx="0">
                  <c:v>1670.99</c:v>
                </c:pt>
                <c:pt idx="1">
                  <c:v>1995.35</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0.00_);[Red]\(0.0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ptCount val="6"/>
                <c:pt idx="0">
                  <c:v>1.995350785E7</c:v>
                </c:pt>
                <c:pt idx="1">
                  <c:v>0.0</c:v>
                </c:pt>
                <c:pt idx="2">
                  <c:v>0.0</c:v>
                </c:pt>
                <c:pt idx="3">
                  <c:v>0.0</c:v>
                </c:pt>
                <c:pt idx="4">
                  <c:v>0.0</c:v>
                </c:pt>
                <c:pt idx="5">
                  <c:v>0.0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ptCount val="5"/>
                <c:pt idx="0">
                  <c:v>9158053.81</c:v>
                </c:pt>
                <c:pt idx="1">
                  <c:v>1.079545404E7</c:v>
                </c:pt>
                <c:pt idx="2">
                  <c:v>0.0</c:v>
                </c:pt>
                <c:pt idx="3">
                  <c:v>0.0</c:v>
                </c:pt>
                <c:pt idx="4">
                  <c:v>0.0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ptCount val="8"/>
                <c:pt idx="0">
                  <c:v>1670.99</c:v>
                </c:pt>
                <c:pt idx="1">
                  <c:v>1670.99</c:v>
                </c:pt>
                <c:pt idx="2">
                  <c:v>1635.99</c:v>
                </c:pt>
                <c:pt idx="3">
                  <c:v>1635.99</c:v>
                </c:pt>
                <c:pt idx="4">
                  <c:v>35.0</c:v>
                </c:pt>
                <c:pt idx="5">
                  <c:v>35.0</c:v>
                </c:pt>
                <c:pt idx="6">
                  <c:v>0.0</c:v>
                </c:pt>
                <c:pt idx="7">
                  <c:v>0.0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ptCount val="8"/>
                <c:pt idx="0">
                  <c:v>1995.35</c:v>
                </c:pt>
                <c:pt idx="1">
                  <c:v>1995.35</c:v>
                </c:pt>
                <c:pt idx="2">
                  <c:v>1995.35</c:v>
                </c:pt>
                <c:pt idx="3">
                  <c:v>1995.35</c:v>
                </c:pt>
                <c:pt idx="4">
                  <c:v>0.0</c:v>
                </c:pt>
                <c:pt idx="5">
                  <c:v>0.0</c:v>
                </c:pt>
                <c:pt idx="6">
                  <c:v>0.0</c:v>
                </c:pt>
                <c:pt idx="7">
                  <c:v>0.0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ptCount val="8"/>
                <c:pt idx="0">
                  <c:v>1964.88</c:v>
                </c:pt>
                <c:pt idx="1">
                  <c:v>1964.88</c:v>
                </c:pt>
                <c:pt idx="2">
                  <c:v>1964.88</c:v>
                </c:pt>
                <c:pt idx="3">
                  <c:v>1964.88</c:v>
                </c:pt>
                <c:pt idx="4">
                  <c:v>0.0</c:v>
                </c:pt>
                <c:pt idx="5">
                  <c:v>0.0</c:v>
                </c:pt>
                <c:pt idx="6">
                  <c:v>0.0</c:v>
                </c:pt>
                <c:pt idx="7">
                  <c:v>0.0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ptCount val="8"/>
                <c:pt idx="0">
                  <c:v>1995.35</c:v>
                </c:pt>
                <c:pt idx="1">
                  <c:v>1995.35</c:v>
                </c:pt>
                <c:pt idx="2">
                  <c:v>1995.35</c:v>
                </c:pt>
                <c:pt idx="3">
                  <c:v>1995.35</c:v>
                </c:pt>
                <c:pt idx="4">
                  <c:v>0.0</c:v>
                </c:pt>
                <c:pt idx="5">
                  <c:v>0.0</c:v>
                </c:pt>
                <c:pt idx="6">
                  <c:v>0.0</c:v>
                </c:pt>
                <c:pt idx="7">
                  <c:v>0.0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ptCount val="26"/>
                <c:pt idx="0">
                  <c:v>880.73</c:v>
                </c:pt>
                <c:pt idx="1">
                  <c:v>0.0</c:v>
                </c:pt>
                <c:pt idx="2">
                  <c:v>0.0</c:v>
                </c:pt>
                <c:pt idx="3">
                  <c:v>0.0</c:v>
                </c:pt>
                <c:pt idx="4">
                  <c:v>76.56</c:v>
                </c:pt>
                <c:pt idx="5">
                  <c:v>0.0</c:v>
                </c:pt>
                <c:pt idx="6">
                  <c:v>1.0</c:v>
                </c:pt>
                <c:pt idx="7">
                  <c:v>75.37</c:v>
                </c:pt>
                <c:pt idx="8">
                  <c:v>44.9</c:v>
                </c:pt>
                <c:pt idx="9">
                  <c:v>10.0</c:v>
                </c:pt>
                <c:pt idx="10">
                  <c:v>779.95</c:v>
                </c:pt>
                <c:pt idx="11">
                  <c:v>60.0</c:v>
                </c:pt>
                <c:pt idx="12">
                  <c:v>0.0</c:v>
                </c:pt>
                <c:pt idx="13">
                  <c:v>0.0</c:v>
                </c:pt>
                <c:pt idx="14">
                  <c:v>0.0</c:v>
                </c:pt>
                <c:pt idx="15">
                  <c:v>0.0</c:v>
                </c:pt>
                <c:pt idx="16">
                  <c:v>0.0</c:v>
                </c:pt>
                <c:pt idx="17">
                  <c:v>0.0</c:v>
                </c:pt>
                <c:pt idx="18">
                  <c:v>66.84</c:v>
                </c:pt>
                <c:pt idx="19">
                  <c:v>0.0</c:v>
                </c:pt>
                <c:pt idx="20">
                  <c:v>0.0</c:v>
                </c:pt>
                <c:pt idx="21">
                  <c:v>0.0</c:v>
                </c:pt>
                <c:pt idx="22">
                  <c:v>0.0</c:v>
                </c:pt>
                <c:pt idx="23">
                  <c:v>0.0</c:v>
                </c:pt>
                <c:pt idx="24">
                  <c:v>0.0</c:v>
                </c:pt>
                <c:pt idx="25">
                  <c:v>0.0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s="http://www.wps.cn/officeDocument/2013/wpsCustomData" xmln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25</Pages>
  <Words>611</Words>
  <Characters>2169</Characters>
  <Lines>86</Lines>
  <Paragraphs>24</Paragraphs>
  <TotalTime>16</TotalTime>
  <ScaleCrop>false</ScaleCrop>
  <LinksUpToDate>false</LinksUpToDate>
  <CharactersWithSpaces>2170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2023-08-04T07:55:00Z</dcterms:created>
  <dc:creator>王明新TIAD</dc:creator>
  <cp:lastModifiedBy>柠檬哒</cp:lastModifiedBy>
  <cp:lastPrinted>2023-08-04T01:00:00Z</cp:lastPrinted>
  <dcterms:modified xsi:type="dcterms:W3CDTF">2025-08-18T08:34:38Z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