
<file path=[Content_Types].xml><?xml version="1.0" encoding="utf-8"?>
<Types xmlns="http://schemas.openxmlformats.org/package/2006/content-types">
  <Default Extension="xml" ContentType="application/xml"/>
  <Default Extension="xlsx" ContentType="application/vnd.openxmlformats-officedocument.spreadsheetml.shee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colors3.xml" ContentType="application/vnd.ms-office.chartcolorstyle+xml"/>
  <Override PartName="/word/charts/colors4.xml" ContentType="application/vnd.ms-office.chartcolorstyle+xml"/>
  <Override PartName="/word/charts/colors5.xml" ContentType="application/vnd.ms-office.chartcolorstyle+xml"/>
  <Override PartName="/word/charts/colors6.xml" ContentType="application/vnd.ms-office.chartcolorstyle+xml"/>
  <Override PartName="/word/charts/style1.xml" ContentType="application/vnd.ms-office.chartstyle+xml"/>
  <Override PartName="/word/charts/style2.xml" ContentType="application/vnd.ms-office.chartstyle+xml"/>
  <Override PartName="/word/charts/style3.xml" ContentType="application/vnd.ms-office.chartstyle+xml"/>
  <Override PartName="/word/charts/style4.xml" ContentType="application/vnd.ms-office.chartstyle+xml"/>
  <Override PartName="/word/charts/style5.xml" ContentType="application/vnd.ms-office.chartstyle+xml"/>
  <Override PartName="/word/charts/style6.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auto"/>
        <w:jc w:val="both"/>
        <w:rPr>
          <w:rFonts w:hint="eastAsia" w:ascii="楷体_GB2312" w:hAnsi="楷体_GB2312" w:eastAsia="楷体_GB2312" w:cs="楷体_GB2312"/>
          <w:color w:val="000000"/>
          <w:sz w:val="40"/>
          <w:szCs w:val="40"/>
        </w:rPr>
      </w:pPr>
      <w:r>
        <w:drawing>
          <wp:anchor distT="0" distB="0" distL="114300" distR="114300" simplePos="0" relativeHeight="251659264" behindDoc="1" locked="0" layoutInCell="1" allowOverlap="1">
            <wp:simplePos x="0" y="0"/>
            <wp:positionH relativeFrom="column">
              <wp:posOffset>-1692910</wp:posOffset>
            </wp:positionH>
            <wp:positionV relativeFrom="paragraph">
              <wp:posOffset>-1319530</wp:posOffset>
            </wp:positionV>
            <wp:extent cx="8646795" cy="11107420"/>
            <wp:effectExtent l="0" t="0" r="1905" b="5080"/>
            <wp:wrapNone/>
            <wp:docPr id="15" name="图片 15" descr="7b0a202020202266696c746572223a202230220a7d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7b0a202020202266696c746572223a202230220a7d0a"/>
                    <pic:cNvPicPr>
                      <a:picLocks noChangeAspect="1"/>
                    </pic:cNvPicPr>
                  </pic:nvPicPr>
                  <pic:blipFill>
                    <a:blip r:embed="rId12">
                      <a:lum bright="6000"/>
                    </a:blip>
                    <a:srcRect t="559" b="3637"/>
                    <a:stretch>
                      <a:fillRect/>
                    </a:stretch>
                  </pic:blipFill>
                  <pic:spPr>
                    <a:xfrm>
                      <a:off x="0" y="0"/>
                      <a:ext cx="8646795" cy="11107420"/>
                    </a:xfrm>
                    <a:prstGeom prst="rect">
                      <a:avLst/>
                    </a:prstGeom>
                  </pic:spPr>
                </pic:pic>
              </a:graphicData>
            </a:graphic>
          </wp:anchor>
        </w:drawing>
      </w:r>
      <w:r>
        <mc:AlternateContent>
          <mc:Choice Requires="wps">
            <w:drawing>
              <wp:anchor distT="0" distB="0" distL="114300" distR="114300" simplePos="0" relativeHeight="251660288" behindDoc="0" locked="0" layoutInCell="1" allowOverlap="1">
                <wp:simplePos x="0" y="0"/>
                <wp:positionH relativeFrom="column">
                  <wp:posOffset>-546735</wp:posOffset>
                </wp:positionH>
                <wp:positionV relativeFrom="paragraph">
                  <wp:posOffset>253365</wp:posOffset>
                </wp:positionV>
                <wp:extent cx="6431280" cy="2862580"/>
                <wp:effectExtent l="0" t="0" r="0" b="0"/>
                <wp:wrapNone/>
                <wp:docPr id="1" name="文本框 1" descr="7b0a2020202022776f7264617274223a20227b5c2269645c223a32353030323136362c5c227469645c223a5c225c227d220a7d0a"/>
                <wp:cNvGraphicFramePr/>
                <a:graphic xmlns:a="http://schemas.openxmlformats.org/drawingml/2006/main">
                  <a:graphicData uri="http://schemas.microsoft.com/office/word/2010/wordprocessingShape">
                    <wps:wsp>
                      <wps:cNvSpPr txBox="1"/>
                      <wps:spPr>
                        <a:xfrm>
                          <a:off x="0" y="0"/>
                          <a:ext cx="6431280" cy="2862580"/>
                        </a:xfrm>
                        <a:prstGeom prst="rect">
                          <a:avLst/>
                        </a:prstGeom>
                        <a:noFill/>
                        <a:ln>
                          <a:noFill/>
                        </a:ln>
                        <a:effectLst/>
                      </wps:spPr>
                      <wps:txb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wps:txbx>
                      <wps:bodyPr upright="1"/>
                    </wps:wsp>
                  </a:graphicData>
                </a:graphic>
              </wp:anchor>
            </w:drawing>
          </mc:Choice>
          <mc:Fallback>
            <w:pict>
              <v:shape id="_x0000_s1026" o:spid="_x0000_s1026" o:spt="202" alt="7b0a2020202022776f7264617274223a20227b5c2269645c223a32353030323136362c5c227469645c223a5c225c227d220a7d0a" type="#_x0000_t202" style="position:absolute;left:0pt;margin-left:-43.05pt;margin-top:19.95pt;height:225.4pt;width:506.4pt;z-index:251660288;mso-width-relative:page;mso-height-relative:page;" filled="f" stroked="f" coordsize="21600,21600" o:gfxdata="UEsDBAoAAAAAAIdO4kAAAAAAAAAAAAAAAAAEAAAAZHJzL1BLAwQUAAAACACHTuJAXbLP3tgAAAAK&#10;AQAADwAAAGRycy9kb3ducmV2LnhtbE2Py07DMBBF90j8gzVI7Fo7paR1yKQLEFsQ5SGxc+NpEhGP&#10;o9htwt9jVrAc3aN7z5S72fXiTGPoPCNkSwWCuPa24wbh7fVxsQURomFres+E8E0BdtXlRWkK6yd+&#10;ofM+NiKVcCgMQhvjUEgZ6pacCUs/EKfs6EdnYjrHRtrRTKnc9XKlVC6d6TgttGag+5bqr/3JIbw/&#10;HT8/1uq5eXC3w+RnJdlpiXh9lak7EJHm+AfDr35Shyo5HfyJbRA9wmKbZwlFuNEaRAL0Kt+AOCCs&#10;tdqArEr5/4XqB1BLAwQUAAAACACHTuJAIFbv09oBAACAAwAADgAAAGRycy9lMm9Eb2MueG1srVPN&#10;jtMwEL4j8Q6W7zSJ0zolaroSWi0XBEi7PIBjO02k+Ee2t0lfAN6AExfuPFefg7EbugvcELLkeL4Z&#10;j79vZrK7mdWIjtL5wegGF6scI6m5EYM+NPjTw92rLUY+MC3YaLRs8El6fLN/+WI32VoS05tRSIcg&#10;ifb1ZBvch2DrLPO8l4r5lbFSg7MzTrEApjtkwrEJsqsxI3lOs8k4YZ3h0ntAby9OvE/5u07y8KHr&#10;vAxobDBwC2l3aW/jnu13rD44ZvuBLzTYP7BQbNDw6DXVLQsMPbrhr1Rq4M5404UVNyozXTdwmTSA&#10;miL/Q819z6xMWqA43l7L5P9fWv7++NGhQUDvMNJMQYvOX7+cv/04f/+MABLScyhX1eaM5MsiVUW7&#10;itA1LSpSrQkpo49U7YYTQl/TdfyWrCTlpsxhkbIoaUkJj3i1foqIdsIEITmrRM5iPybra6B1b4FY&#10;mN+YOXJbcA9gLPPcORW/UEAEfujs6dpNOQfEAaTrsiBbcHHwkS0lGzAgT/Z03Tof3kqjUDw02MG4&#10;pC6y4zsfLqG/QuJr2twN4wg4q0f9GwA5L4hMM7fcjkoujOMpzO28yGiNOIG6R+uGQw8PJ31ZDII2&#10;J4bLSMY5em7D+fmPs/8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SwQAAFtDb250ZW50X1R5cGVzXS54bWxQSwECFAAKAAAAAACHTuJAAAAAAAAA&#10;AAAAAAAABgAAAAAAAAAAABAAAAAtAwAAX3JlbHMvUEsBAhQAFAAAAAgAh07iQIoUZjzRAAAAlAEA&#10;AAsAAAAAAAAAAQAgAAAAUQMAAF9yZWxzLy5yZWxzUEsBAhQACgAAAAAAh07iQAAAAAAAAAAAAAAA&#10;AAQAAAAAAAAAAAAQAAAAAAAAAGRycy9QSwECFAAUAAAACACHTuJAXbLP3tgAAAAKAQAADwAAAAAA&#10;AAABACAAAAAiAAAAZHJzL2Rvd25yZXYueG1sUEsBAhQAFAAAAAgAh07iQCBW79PaAQAAgAMAAA4A&#10;AAAAAAAAAQAgAAAAJwEAAGRycy9lMm9Eb2MueG1sUEsFBgAAAAAGAAYAWQEAAHMFAAAAAA==&#10;">
                <v:fill on="f" focussize="0,0"/>
                <v:stroke on="f"/>
                <v:imagedata o:title=""/>
                <o:lock v:ext="edit" aspectratio="f"/>
                <v:textbox>
                  <w:txbxContent>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2024年度</w:t>
                      </w:r>
                    </w:p>
                    <w:p>
                      <w:pPr>
                        <w:spacing w:line="1400" w:lineRule="exact"/>
                        <w:jc w:val="left"/>
                        <w:rPr>
                          <w:rFonts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pPr>
                      <w:r>
                        <w:rPr>
                          <w:rFonts w:hint="eastAsia" w:ascii="方正小标宋_GBK" w:hAnsi="方正小标宋_GBK" w:eastAsia="方正小标宋_GBK" w:cs="方正小标宋_GBK"/>
                          <w:b/>
                          <w:bCs/>
                          <w:color w:val="0D0D0D" w:themeColor="text1" w:themeTint="F2"/>
                          <w:sz w:val="112"/>
                          <w:szCs w:val="112"/>
                          <w14:textFill>
                            <w14:solidFill>
                              <w14:schemeClr w14:val="tx1">
                                <w14:lumMod w14:val="95000"/>
                                <w14:lumOff w14:val="5000"/>
                              </w14:schemeClr>
                            </w14:solidFill>
                          </w14:textFill>
                        </w:rPr>
                        <w:t>部门决算公开文本</w:t>
                      </w:r>
                    </w:p>
                  </w:txbxContent>
                </v:textbox>
              </v:shape>
            </w:pict>
          </mc:Fallback>
        </mc:AlternateContent>
      </w: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both"/>
        <w:rPr>
          <w:rFonts w:hint="eastAsia" w:ascii="楷体_GB2312" w:hAnsi="楷体_GB2312" w:eastAsia="楷体_GB2312" w:cs="楷体_GB2312"/>
          <w:color w:val="000000"/>
          <w:sz w:val="40"/>
          <w:szCs w:val="40"/>
        </w:rPr>
      </w:pPr>
    </w:p>
    <w:p>
      <w:pPr>
        <w:spacing w:line="600" w:lineRule="auto"/>
        <w:jc w:val="left"/>
        <w:rPr>
          <w:rFonts w:hint="eastAsia" w:ascii="楷体_GB2312" w:hAnsi="楷体_GB2312" w:eastAsia="楷体_GB2312" w:cs="楷体_GB2312"/>
          <w:color w:val="000000"/>
          <w:sz w:val="40"/>
          <w:szCs w:val="40"/>
          <w:lang w:val="en-US" w:eastAsia="zh-CN"/>
        </w:rPr>
      </w:pPr>
      <w:r>
        <w:rPr>
          <w:rFonts w:hint="eastAsia" w:ascii="黑体" w:hAnsi="黑体" w:eastAsia="黑体" w:cs="黑体"/>
          <w:color w:val="000000"/>
          <w:sz w:val="40"/>
          <w:szCs w:val="40"/>
        </w:rPr>
        <w:t>预算代码</w:t>
      </w:r>
      <w:r>
        <w:rPr>
          <w:rFonts w:hint="eastAsia" w:ascii="楷体_GB2312" w:hAnsi="楷体_GB2312" w:eastAsia="楷体_GB2312" w:cs="楷体_GB2312"/>
          <w:color w:val="000000"/>
          <w:sz w:val="40"/>
          <w:szCs w:val="40"/>
        </w:rPr>
        <w:t>：</w:t>
      </w:r>
      <w:r>
        <w:rPr>
          <w:rFonts w:hint="eastAsia" w:ascii="楷体_GB2312" w:hAnsi="楷体_GB2312" w:eastAsia="楷体_GB2312" w:cs="楷体_GB2312"/>
          <w:color w:val="000000"/>
          <w:sz w:val="40"/>
          <w:szCs w:val="40"/>
          <w:lang w:val="en-US" w:eastAsia="zh-CN"/>
        </w:rPr>
        <w:t>289001</w:t>
      </w:r>
    </w:p>
    <w:p>
      <w:pPr>
        <w:spacing w:line="600" w:lineRule="auto"/>
        <w:jc w:val="left"/>
        <w:rPr>
          <w:rFonts w:hint="eastAsia" w:ascii="楷体_GB2312" w:hAnsi="楷体_GB2312" w:eastAsia="楷体_GB2312" w:cs="楷体_GB2312"/>
          <w:color w:val="000000"/>
          <w:sz w:val="40"/>
          <w:szCs w:val="40"/>
        </w:rPr>
      </w:pPr>
      <w:r>
        <w:rPr>
          <w:rFonts w:hint="eastAsia" w:ascii="黑体" w:hAnsi="黑体" w:eastAsia="黑体" w:cs="黑体"/>
          <w:color w:val="000000"/>
          <w:sz w:val="40"/>
          <w:szCs w:val="40"/>
        </w:rPr>
        <w:t>单位名称</w:t>
      </w:r>
      <w:r>
        <w:rPr>
          <w:rFonts w:hint="eastAsia" w:ascii="楷体_GB2312" w:hAnsi="楷体_GB2312" w:eastAsia="楷体_GB2312" w:cs="楷体_GB2312"/>
          <w:color w:val="000000"/>
          <w:sz w:val="40"/>
          <w:szCs w:val="40"/>
        </w:rPr>
        <w:t>：中共石家庄市鹿泉区委老干部局(本级)</w:t>
      </w:r>
    </w:p>
    <w:p>
      <w:pPr>
        <w:spacing w:line="600" w:lineRule="auto"/>
        <w:jc w:val="both"/>
        <w:rPr>
          <w:rFonts w:hint="eastAsia" w:ascii="楷体_GB2312" w:hAnsi="楷体_GB2312" w:eastAsia="楷体_GB2312" w:cs="楷体_GB2312"/>
          <w:color w:val="000000"/>
          <w:sz w:val="40"/>
          <w:szCs w:val="40"/>
        </w:rPr>
        <w:sectPr>
          <w:footerReference r:id="rId3" w:type="default"/>
          <w:pgSz w:w="11906" w:h="16838"/>
          <w:pgMar w:top="2098" w:right="1417" w:bottom="1871" w:left="1417" w:header="851" w:footer="992" w:gutter="0"/>
          <w:pgBorders>
            <w:top w:val="none" w:sz="0" w:space="0"/>
            <w:left w:val="none" w:sz="0" w:space="0"/>
            <w:bottom w:val="none" w:sz="0" w:space="0"/>
            <w:right w:val="none" w:sz="0" w:space="0"/>
          </w:pgBorders>
          <w:cols w:space="720" w:num="1"/>
          <w:docGrid w:type="lines" w:linePitch="312" w:charSpace="0"/>
        </w:sectPr>
      </w:pPr>
    </w:p>
    <w:p>
      <w:pPr>
        <w:spacing w:line="600" w:lineRule="auto"/>
        <w:jc w:val="center"/>
        <w:rPr>
          <w:rFonts w:hint="eastAsia" w:ascii="楷体_GB2312" w:hAnsi="楷体_GB2312" w:eastAsia="楷体_GB2312" w:cs="楷体_GB2312"/>
          <w:color w:val="000000"/>
          <w:sz w:val="40"/>
          <w:szCs w:val="40"/>
        </w:rPr>
      </w:pPr>
    </w:p>
    <w:p>
      <w:pPr>
        <w:rPr>
          <w:rFonts w:hint="eastAsia" w:ascii="黑体" w:hAnsi="黑体" w:eastAsia="黑体" w:cs="黑体"/>
          <w:b/>
          <w:bCs/>
          <w:sz w:val="32"/>
          <w:szCs w:val="36"/>
          <w:highlight w:val="yellow"/>
        </w:rPr>
      </w:pPr>
    </w:p>
    <w:p>
      <w:pPr>
        <w:widowControl/>
        <w:spacing w:before="0" w:beforeLines="0" w:beforeAutospacing="0" w:after="0" w:afterLines="0" w:afterAutospacing="0" w:line="360" w:lineRule="auto"/>
        <w:jc w:val="center"/>
        <w:rPr>
          <w:rFonts w:ascii="Times New Roman" w:eastAsia="方正小标宋_GBK"/>
          <w:sz w:val="72"/>
          <w:szCs w:val="72"/>
          <w:highlight w:val="none"/>
        </w:rPr>
      </w:pPr>
      <w:r>
        <w:rPr>
          <w:rFonts w:ascii="Times New Roman" w:eastAsia="方正小标宋_GBK"/>
          <w:b w:val="0"/>
          <w:sz w:val="72"/>
          <w:szCs w:val="72"/>
          <w:highlight w:val="none"/>
        </w:rPr>
        <w:t>中共石家庄市鹿泉区委老干部局(本级)</w:t>
      </w:r>
    </w:p>
    <w:p>
      <w:pPr>
        <w:widowControl/>
        <w:spacing w:before="0" w:beforeLines="0" w:beforeAutospacing="0" w:after="0" w:afterLines="0" w:afterAutospacing="0" w:line="360" w:lineRule="auto"/>
        <w:jc w:val="center"/>
        <w:rPr>
          <w:rFonts w:ascii="Times New Roman" w:eastAsia="方正小标宋_GBK"/>
          <w:sz w:val="72"/>
          <w:szCs w:val="72"/>
          <w:highlight w:val="none"/>
        </w:rPr>
      </w:pPr>
      <w:r>
        <w:rPr>
          <w:rFonts w:ascii="Times New Roman" w:eastAsia="仿宋_GB2312"/>
          <w:b w:val="0"/>
          <w:sz w:val="72"/>
          <w:szCs w:val="72"/>
          <w:highlight w:val="none"/>
        </w:rPr>
        <w:t>2024</w:t>
      </w:r>
      <w:r>
        <w:rPr>
          <w:rFonts w:ascii="Times New Roman" w:eastAsia="方正小标宋_GBK"/>
          <w:b w:val="0"/>
          <w:sz w:val="72"/>
          <w:szCs w:val="72"/>
          <w:highlight w:val="none"/>
        </w:rPr>
        <w:t>年度部门决算公开文本</w:t>
      </w:r>
    </w:p>
    <w:p>
      <w:pPr>
        <w:spacing w:line="360" w:lineRule="auto"/>
        <w:jc w:val="center"/>
        <w:rPr>
          <w:rFonts w:ascii="黑体" w:hAnsi="黑体" w:eastAsia="黑体" w:cs="黑体"/>
          <w:sz w:val="56"/>
          <w:szCs w:val="72"/>
          <w:highlight w:val="none"/>
        </w:rPr>
      </w:pPr>
    </w:p>
    <w:p>
      <w:pPr>
        <w:spacing w:line="600" w:lineRule="auto"/>
        <w:jc w:val="center"/>
        <w:rPr>
          <w:rFonts w:ascii="黑体" w:hAnsi="黑体" w:eastAsia="黑体" w:cs="黑体"/>
          <w:sz w:val="56"/>
          <w:szCs w:val="72"/>
          <w:highlight w:val="none"/>
        </w:rPr>
      </w:pPr>
    </w:p>
    <w:p>
      <w:pPr>
        <w:spacing w:line="600" w:lineRule="auto"/>
        <w:jc w:val="center"/>
        <w:rPr>
          <w:rFonts w:ascii="黑体" w:hAnsi="黑体" w:eastAsia="黑体" w:cs="黑体"/>
          <w:sz w:val="56"/>
          <w:szCs w:val="72"/>
          <w:highlight w:val="none"/>
        </w:rPr>
      </w:pPr>
    </w:p>
    <w:p>
      <w:pPr>
        <w:spacing w:line="480" w:lineRule="auto"/>
        <w:jc w:val="both"/>
        <w:rPr>
          <w:rFonts w:ascii="黑体" w:hAnsi="黑体" w:eastAsia="黑体" w:cs="黑体"/>
          <w:sz w:val="56"/>
          <w:szCs w:val="72"/>
          <w:highlight w:val="none"/>
        </w:rPr>
      </w:pPr>
    </w:p>
    <w:p>
      <w:pPr>
        <w:widowControl/>
        <w:spacing w:before="0" w:beforeLines="0" w:beforeAutospacing="0" w:after="0" w:afterLines="0" w:afterAutospacing="0" w:line="360" w:lineRule="auto"/>
        <w:jc w:val="center"/>
        <w:rPr>
          <w:rFonts w:ascii="Times New Roman" w:eastAsia="楷体_GB2312"/>
          <w:sz w:val="44"/>
          <w:szCs w:val="44"/>
          <w:highlight w:val="none"/>
        </w:rPr>
      </w:pPr>
      <w:r>
        <w:rPr>
          <w:rFonts w:ascii="Times New Roman" w:eastAsia="楷体_GB2312"/>
          <w:b w:val="0"/>
          <w:sz w:val="44"/>
          <w:szCs w:val="44"/>
          <w:highlight w:val="none"/>
        </w:rPr>
        <w:t>中共石家庄市鹿泉区委老干部局(本级)</w:t>
      </w:r>
    </w:p>
    <w:p>
      <w:pPr>
        <w:widowControl/>
        <w:spacing w:before="0" w:beforeLines="0" w:beforeAutospacing="0" w:after="0" w:afterLines="0" w:afterAutospacing="0" w:line="360" w:lineRule="auto"/>
        <w:jc w:val="center"/>
        <w:rPr>
          <w:rFonts w:ascii="Times New Roman" w:eastAsia="楷体_GB2312"/>
          <w:sz w:val="44"/>
          <w:szCs w:val="44"/>
          <w:highlight w:val="none"/>
        </w:rPr>
      </w:pPr>
      <w:r>
        <w:rPr>
          <w:rFonts w:ascii="Times New Roman" w:eastAsia="楷体_GB2312"/>
          <w:b w:val="0"/>
          <w:sz w:val="44"/>
          <w:szCs w:val="44"/>
          <w:highlight w:val="none"/>
        </w:rPr>
        <w:t>二〇二五年八月</w:t>
      </w:r>
    </w:p>
    <w:p>
      <w:pPr>
        <w:snapToGrid w:val="0"/>
        <w:jc w:val="left"/>
        <w:rPr>
          <w:rFonts w:hint="eastAsia" w:ascii="楷体_GB2312" w:hAnsi="楷体_GB2312" w:eastAsia="楷体_GB2312" w:cs="楷体_GB2312"/>
          <w:color w:val="000000" w:themeColor="text1"/>
          <w:kern w:val="0"/>
          <w:sz w:val="44"/>
          <w:szCs w:val="44"/>
          <w:highlight w:val="none"/>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pPr>
    </w:p>
    <w:p>
      <w:pPr>
        <w:snapToGrid w:val="0"/>
        <w:jc w:val="left"/>
        <w:rPr>
          <w:rFonts w:hint="default" w:ascii="楷体_GB2312" w:hAnsi="楷体_GB2312" w:eastAsia="楷体_GB2312" w:cs="楷体_GB2312"/>
          <w:color w:val="000000" w:themeColor="text1"/>
          <w:kern w:val="0"/>
          <w:sz w:val="44"/>
          <w:szCs w:val="44"/>
          <w:highlight w:val="none"/>
          <w:lang w:val="en-US" w:eastAsia="zh-CN"/>
          <w14:shadow w14:blurRad="38100" w14:dist="19050" w14:dir="2700000" w14:sx="100000" w14:sy="100000" w14:kx="0" w14:ky="0" w14:algn="tl">
            <w14:schemeClr w14:val="dk1">
              <w14:alpha w14:val="60000"/>
            </w14:schemeClr>
          </w14:shadow>
          <w14:textFill>
            <w14:solidFill>
              <w14:schemeClr w14:val="tx1"/>
            </w14:solidFill>
          </w14:textFill>
          <w14:props3d w14:extrusionH="0" w14:contourW="0" w14:prstMaterial="clear"/>
        </w:rPr>
        <w:sectPr>
          <w:footerReference r:id="rId4" w:type="default"/>
          <w:pgSz w:w="11906" w:h="16838"/>
          <w:pgMar w:top="1531" w:right="1984" w:bottom="1531" w:left="2098" w:header="851" w:footer="992" w:gutter="0"/>
          <w:pgBorders>
            <w:top w:val="none" w:sz="0" w:space="0"/>
            <w:left w:val="none" w:sz="0" w:space="0"/>
            <w:bottom w:val="none" w:sz="0" w:space="0"/>
            <w:right w:val="none" w:sz="0" w:space="0"/>
          </w:pgBorders>
          <w:pgNumType w:start="1"/>
          <w:cols w:space="720" w:num="1"/>
          <w:docGrid w:type="lines" w:linePitch="312" w:charSpace="0"/>
        </w:sectPr>
      </w:pPr>
    </w:p>
    <w:p>
      <w:pPr>
        <w:widowControl/>
        <w:spacing w:line="600" w:lineRule="exact"/>
        <w:jc w:val="left"/>
        <w:rPr>
          <w:rFonts w:ascii="黑体" w:hAnsi="黑体" w:eastAsia="黑体" w:cs="黑体"/>
          <w:bCs/>
          <w:sz w:val="32"/>
          <w:szCs w:val="32"/>
          <w:highlight w:val="none"/>
        </w:rPr>
      </w:pPr>
    </w:p>
    <w:p>
      <w:pPr>
        <w:tabs>
          <w:tab w:val="left" w:pos="2728"/>
        </w:tabs>
        <w:jc w:val="center"/>
        <w:rPr>
          <w:rFonts w:ascii="黑体" w:hAnsi="Times New Roman" w:eastAsia="黑体" w:cs="Times New Roman"/>
          <w:sz w:val="48"/>
          <w:szCs w:val="48"/>
          <w:highlight w:val="none"/>
        </w:rPr>
      </w:pPr>
    </w:p>
    <w:p>
      <w:pPr>
        <w:widowControl/>
        <w:spacing w:before="0" w:beforeLines="0" w:beforeAutospacing="0" w:after="0" w:afterLines="0" w:afterAutospacing="0" w:line="360" w:lineRule="auto"/>
        <w:jc w:val="center"/>
        <w:outlineLvl w:val="0"/>
        <w:rPr>
          <w:rFonts w:ascii="Times New Roman" w:eastAsia="黑体"/>
          <w:sz w:val="44"/>
          <w:szCs w:val="44"/>
          <w:highlight w:val="none"/>
        </w:rPr>
      </w:pPr>
      <w:r>
        <w:rPr>
          <w:rFonts w:ascii="Times New Roman" w:eastAsia="黑体"/>
          <w:b w:val="0"/>
          <w:sz w:val="44"/>
          <w:szCs w:val="44"/>
          <w:highlight w:val="none"/>
        </w:rPr>
        <w:t>目    录</w:t>
      </w:r>
    </w:p>
    <w:p>
      <w:pPr>
        <w:widowControl/>
        <w:spacing w:after="160" w:line="580" w:lineRule="exact"/>
        <w:ind w:firstLine="640" w:firstLineChars="200"/>
        <w:rPr>
          <w:rFonts w:ascii="Times New Roman" w:hAnsi="Times New Roman" w:eastAsia="黑体" w:cs="Times New Roman"/>
          <w:sz w:val="32"/>
          <w:szCs w:val="32"/>
          <w:highlight w:val="none"/>
        </w:rPr>
      </w:pPr>
    </w:p>
    <w:p>
      <w:pPr>
        <w:widowControl/>
        <w:spacing w:before="0" w:beforeLines="0" w:beforeAutospacing="0" w:after="0" w:afterLines="0" w:afterAutospacing="0" w:line="360" w:lineRule="auto"/>
        <w:jc w:val="left"/>
        <w:rPr>
          <w:rFonts w:ascii="Times New Roman" w:eastAsia="黑体"/>
          <w:sz w:val="32"/>
          <w:szCs w:val="32"/>
          <w:highlight w:val="none"/>
        </w:rPr>
      </w:pPr>
      <w:r>
        <w:rPr>
          <w:rFonts w:ascii="Times New Roman" w:eastAsia="黑体"/>
          <w:b w:val="0"/>
          <w:sz w:val="32"/>
          <w:szCs w:val="32"/>
          <w:highlight w:val="none"/>
        </w:rPr>
        <w:t>第一部分   单位概况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一、单位职责</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二、机构设置</w:t>
      </w:r>
    </w:p>
    <w:p>
      <w:pPr>
        <w:widowControl/>
        <w:spacing w:before="0" w:beforeLines="0" w:beforeAutospacing="0" w:after="0" w:afterLines="0" w:afterAutospacing="0" w:line="360" w:lineRule="auto"/>
        <w:jc w:val="left"/>
        <w:outlineLvl w:val="0"/>
        <w:rPr>
          <w:rFonts w:ascii="Times New Roman" w:eastAsia="黑体"/>
          <w:sz w:val="32"/>
          <w:szCs w:val="32"/>
          <w:highlight w:val="none"/>
        </w:rPr>
      </w:pPr>
      <w:r>
        <w:rPr>
          <w:rFonts w:ascii="Times New Roman" w:eastAsia="黑体"/>
          <w:b w:val="0"/>
          <w:sz w:val="32"/>
          <w:szCs w:val="32"/>
          <w:highlight w:val="none"/>
        </w:rPr>
        <w:t>第二部分   2024年度部门决算报表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一、收入支出决算总表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二、收入决算表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三、支出决算表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四、财政拨款收入支出决算总表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五、一般公共预算财政拨款支出决算表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六、一般公共预算财政拨款基本支出决算明细表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七、政府性基金预算财政拨款收入支出决算表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八、国有资本经营预算财政拨款支出决算表</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九、财政拨款“三公”经费支出决算表</w:t>
      </w:r>
    </w:p>
    <w:p>
      <w:pPr>
        <w:widowControl/>
        <w:spacing w:before="0" w:beforeLines="0" w:beforeAutospacing="0" w:after="0" w:afterLines="0" w:afterAutospacing="0" w:line="360" w:lineRule="auto"/>
        <w:jc w:val="left"/>
        <w:rPr>
          <w:rFonts w:ascii="Times New Roman" w:eastAsia="黑体"/>
          <w:sz w:val="32"/>
          <w:szCs w:val="32"/>
          <w:highlight w:val="none"/>
        </w:rPr>
      </w:pPr>
      <w:r>
        <w:rPr>
          <w:rFonts w:ascii="Times New Roman" w:eastAsia="黑体"/>
          <w:b w:val="0"/>
          <w:sz w:val="32"/>
          <w:szCs w:val="32"/>
          <w:highlight w:val="none"/>
        </w:rPr>
        <w:t>第三部分   2024年度部门决算情况说明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四、财政拨款收入支出决算总体情况说明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五、财政拨款“三公”经费支出决算情况说明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九、关于2024年度绩效评价情况的说明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十、其他需要说明的情况</w:t>
      </w:r>
    </w:p>
    <w:p>
      <w:pPr>
        <w:widowControl/>
        <w:spacing w:before="0" w:beforeLines="0" w:beforeAutospacing="0" w:after="0" w:afterLines="0" w:afterAutospacing="0" w:line="360" w:lineRule="auto"/>
        <w:jc w:val="left"/>
        <w:rPr>
          <w:rFonts w:ascii="Times New Roman" w:eastAsia="黑体"/>
          <w:sz w:val="32"/>
          <w:szCs w:val="32"/>
          <w:highlight w:val="none"/>
        </w:rPr>
      </w:pPr>
      <w:r>
        <w:rPr>
          <w:rFonts w:ascii="Times New Roman" w:eastAsia="黑体"/>
          <w:b w:val="0"/>
          <w:sz w:val="32"/>
          <w:szCs w:val="32"/>
          <w:highlight w:val="none"/>
        </w:rPr>
        <w:t>第四部分   名词解释</w:t>
      </w:r>
    </w:p>
    <w:p>
      <w:pPr>
        <w:widowControl/>
        <w:spacing w:after="160" w:line="580" w:lineRule="exact"/>
        <w:rPr>
          <w:rFonts w:hint="eastAsia" w:ascii="Times New Roman" w:hAnsi="Times New Roman" w:eastAsia="黑体" w:cs="Times New Roman"/>
          <w:sz w:val="32"/>
          <w:szCs w:val="32"/>
          <w:highlight w:val="none"/>
          <w:lang w:val="en-US" w:eastAsia="zh-CN"/>
        </w:rPr>
        <w:sectPr>
          <w:headerReference r:id="rId6" w:type="first"/>
          <w:footerReference r:id="rId8" w:type="first"/>
          <w:headerReference r:id="rId5" w:type="default"/>
          <w:footerReference r:id="rId7" w:type="default"/>
          <w:pgSz w:w="11906" w:h="16838"/>
          <w:pgMar w:top="1474" w:right="1531" w:bottom="1474" w:left="1531" w:header="851" w:footer="992" w:gutter="0"/>
          <w:pgBorders>
            <w:top w:val="none" w:sz="0" w:space="0"/>
            <w:left w:val="none" w:sz="0" w:space="0"/>
            <w:bottom w:val="none" w:sz="0" w:space="0"/>
            <w:right w:val="none" w:sz="0" w:space="0"/>
          </w:pgBorders>
          <w:cols w:space="0" w:num="1"/>
          <w:titlePg/>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highlight w:val="none"/>
        </w:rPr>
      </w:pPr>
      <w:r>
        <w:rPr>
          <w:rFonts w:ascii="Times New Roman" w:eastAsia="黑体"/>
          <w:b w:val="0"/>
          <w:sz w:val="44"/>
          <w:szCs w:val="44"/>
          <w:highlight w:val="none"/>
        </w:rPr>
        <w:t>第一部分   单位概况</w:t>
      </w:r>
    </w:p>
    <w:p>
      <w:pPr>
        <w:widowControl/>
        <w:numPr>
          <w:ilvl w:val="0"/>
          <w:numId w:val="2"/>
        </w:numPr>
        <w:spacing w:before="0" w:beforeLines="0" w:beforeAutospacing="0" w:after="0" w:afterLines="0" w:afterAutospacing="0" w:line="360" w:lineRule="auto"/>
        <w:jc w:val="left"/>
        <w:outlineLvl w:val="1"/>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Times New Roman" w:eastAsia="黑体"/>
          <w:b w:val="0"/>
          <w:sz w:val="32"/>
          <w:szCs w:val="32"/>
          <w:lang w:val="en-US" w:eastAsia="zh-CN"/>
        </w:rPr>
        <w:t>单位</w:t>
      </w:r>
      <w:r>
        <w:rPr>
          <w:rFonts w:ascii="Times New Roman" w:eastAsia="黑体"/>
          <w:b w:val="0"/>
          <w:sz w:val="32"/>
          <w:szCs w:val="32"/>
        </w:rPr>
        <w:t>职责</w:t>
      </w:r>
    </w:p>
    <w:p>
      <w:pPr>
        <w:pStyle w:val="25"/>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一）全面贯彻加强党对离退休干部工作的集中统一领导要求,负责宣传贯彻落实党中央、国务院和省、市、区党委、政府关于离退休干部工作的方针政策、措施等;拟订或参与拟订全区离退休干部工作有关具体规定和办法;总结宣传全区离退休干部工作和先进典型。</w:t>
      </w:r>
    </w:p>
    <w:p>
      <w:pPr>
        <w:pStyle w:val="25"/>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（二）负责指导、督促、检查全区的离退休干部工作；组织和协调有关部门做好离退休干部工作。</w:t>
      </w:r>
    </w:p>
    <w:p>
      <w:pPr>
        <w:pStyle w:val="25"/>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三）负责督促检查各乡（镇、区）和区直各部门落实离退休干部的政治和生活待遇，组织做好走访慰问工作；督促检查离休干部“两费”(离休费、医药费)落实情况;调查研究离退休干部政治和生活待遇中存在的问题,协调有关部门提出解决办法。</w:t>
      </w:r>
    </w:p>
    <w:p>
      <w:pPr>
        <w:pStyle w:val="25"/>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（四）加强对全区离退休干部的政治引领和教育管理。负责做好新形势下离退休干部党组织建设工作,拟订离退休干部思想政治工作的制度办法和措施;组织开展离退休干部党组织书记的教育培训工作。</w:t>
      </w:r>
    </w:p>
    <w:p>
      <w:pPr>
        <w:pStyle w:val="25"/>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（五）指导全区老干部活动中心等活动阵地建设与管理。</w:t>
      </w:r>
    </w:p>
    <w:p>
      <w:pPr>
        <w:pStyle w:val="25"/>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（六）指导各乡（镇、区）和区直各部门组织离退休干部利用自身优势,在政治、经济、文化和青少年教育等各领域发挥作用,增添正能量。</w:t>
      </w:r>
    </w:p>
    <w:p>
      <w:pPr>
        <w:pStyle w:val="25"/>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（七）了解离退休干部对医疗保健方面的意见和要求。组织指导离退休干部开展健康科学的文化健身、保健讲座、参观学习等活动。</w:t>
      </w:r>
    </w:p>
    <w:p>
      <w:pPr>
        <w:pStyle w:val="25"/>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（八）负责易地安置离休干部服务管理工作。</w:t>
      </w:r>
    </w:p>
    <w:p>
      <w:pPr>
        <w:pStyle w:val="25"/>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（九）会同有关部门拟订治丧办法,指导逝世老干部的善后工作,协助承办区委交办的丧葬事宜。</w:t>
      </w:r>
    </w:p>
    <w:p>
      <w:pPr>
        <w:pStyle w:val="25"/>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（十）承担区关心下一代工作委员会的日常工作。</w:t>
      </w:r>
    </w:p>
    <w:p>
      <w:pPr>
        <w:widowControl/>
        <w:numPr>
          <w:ilvl w:val="0"/>
          <w:numId w:val="2"/>
        </w:numPr>
        <w:spacing w:before="0" w:beforeLines="0" w:beforeAutospacing="0" w:after="0" w:afterLines="0" w:afterAutospacing="0" w:line="360" w:lineRule="auto"/>
        <w:jc w:val="left"/>
        <w:outlineLvl w:val="1"/>
        <w:rPr>
          <w:rFonts w:hint="default" w:ascii="Times New Roman" w:eastAsia="黑体"/>
          <w:b w:val="0"/>
          <w:sz w:val="32"/>
          <w:szCs w:val="32"/>
          <w:lang w:val="en-US" w:eastAsia="zh-CN"/>
        </w:rPr>
      </w:pPr>
      <w:r>
        <w:rPr>
          <w:rFonts w:hint="eastAsia" w:ascii="Times New Roman" w:eastAsia="黑体"/>
          <w:b w:val="0"/>
          <w:sz w:val="32"/>
          <w:szCs w:val="32"/>
          <w:lang w:val="en-US" w:eastAsia="zh-CN"/>
        </w:rPr>
        <w:t>机构设置</w:t>
      </w:r>
    </w:p>
    <w:p>
      <w:pPr>
        <w:pStyle w:val="25"/>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pP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从决算编报</w:t>
      </w: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单位</w:t>
      </w: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构成看，纳入</w:t>
      </w: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2024</w:t>
      </w: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年度</w:t>
      </w: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本部门</w:t>
      </w: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决算汇编范围的独立核算</w:t>
      </w: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单位</w:t>
      </w: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（以下简称“</w:t>
      </w: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单位</w:t>
      </w: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”）共</w:t>
      </w:r>
      <w:r>
        <w:rPr>
          <w:rFonts w:hint="eastAsia" w:ascii="仿宋_GB2312" w:hAnsi="仿宋_GB2312" w:eastAsia="仿宋_GB2312" w:cs="仿宋_GB2312"/>
          <w:i w:val="0"/>
          <w:iCs w:val="0"/>
          <w:caps w:val="0"/>
          <w:color w:val="auto"/>
          <w:spacing w:val="0"/>
          <w:kern w:val="0"/>
          <w:sz w:val="32"/>
          <w:szCs w:val="32"/>
          <w:highlight w:val="none"/>
          <w:shd w:val="clear" w:fill="FFFFFF"/>
          <w:lang w:val="en-US" w:eastAsia="zh-CN" w:bidi="ar"/>
        </w:rPr>
        <w:t>1</w:t>
      </w:r>
      <w:r>
        <w:rPr>
          <w:rFonts w:hint="default" w:ascii="仿宋_GB2312" w:hAnsi="仿宋_GB2312" w:eastAsia="仿宋_GB2312" w:cs="仿宋_GB2312"/>
          <w:i w:val="0"/>
          <w:iCs w:val="0"/>
          <w:caps w:val="0"/>
          <w:color w:val="auto"/>
          <w:spacing w:val="0"/>
          <w:kern w:val="0"/>
          <w:sz w:val="32"/>
          <w:szCs w:val="32"/>
          <w:highlight w:val="none"/>
          <w:shd w:val="clear" w:fill="FFFFFF"/>
          <w:lang w:val="en-US" w:eastAsia="zh-CN" w:bidi="ar"/>
        </w:rPr>
        <w:t>个，具体情况如下：</w:t>
      </w:r>
    </w:p>
    <w:tbl>
      <w:tblPr>
        <w:tblStyle w:val="11"/>
        <w:tblpPr w:leftFromText="180" w:rightFromText="180" w:vertAnchor="text" w:horzAnchor="page" w:tblpXSpec="center" w:tblpY="10"/>
        <w:tblOverlap w:val="never"/>
        <w:tblW w:w="95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5"/>
        <w:gridCol w:w="3485"/>
        <w:gridCol w:w="2445"/>
        <w:gridCol w:w="26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1" w:hRule="atLeast"/>
          <w:jc w:val="center"/>
        </w:trPr>
        <w:tc>
          <w:tcPr>
            <w:tcW w:w="985" w:type="dxa"/>
            <w:vAlign w:val="center"/>
          </w:tcPr>
          <w:p>
            <w:pPr>
              <w:spacing w:line="560" w:lineRule="exact"/>
              <w:jc w:val="center"/>
              <w:rPr>
                <w:rFonts w:ascii="仿宋_GB2312" w:hAnsi="Calibri" w:eastAsia="仿宋_GB2312" w:cs="ArialUnicodeMS"/>
                <w:b/>
                <w:bCs/>
                <w:kern w:val="0"/>
                <w:sz w:val="28"/>
                <w:szCs w:val="28"/>
                <w:highlight w:val="none"/>
              </w:rPr>
            </w:pPr>
            <w:r>
              <w:rPr>
                <w:rFonts w:hint="eastAsia" w:ascii="仿宋_GB2312" w:hAnsi="Calibri" w:eastAsia="仿宋_GB2312" w:cs="ArialUnicodeMS"/>
                <w:b/>
                <w:bCs/>
                <w:kern w:val="0"/>
                <w:sz w:val="28"/>
                <w:szCs w:val="28"/>
                <w:highlight w:val="none"/>
              </w:rPr>
              <w:t>序号</w:t>
            </w:r>
          </w:p>
        </w:tc>
        <w:tc>
          <w:tcPr>
            <w:tcW w:w="3485" w:type="dxa"/>
            <w:vAlign w:val="center"/>
          </w:tcPr>
          <w:p>
            <w:pPr>
              <w:spacing w:line="560" w:lineRule="exact"/>
              <w:jc w:val="center"/>
              <w:rPr>
                <w:rFonts w:ascii="仿宋_GB2312" w:hAnsi="Calibri" w:eastAsia="仿宋_GB2312" w:cs="ArialUnicodeMS"/>
                <w:b/>
                <w:bCs/>
                <w:kern w:val="0"/>
                <w:sz w:val="28"/>
                <w:szCs w:val="28"/>
                <w:highlight w:val="none"/>
              </w:rPr>
            </w:pPr>
            <w:r>
              <w:rPr>
                <w:rFonts w:hint="eastAsia" w:ascii="仿宋_GB2312" w:hAnsi="Calibri" w:eastAsia="仿宋_GB2312" w:cs="ArialUnicodeMS"/>
                <w:b/>
                <w:bCs/>
                <w:kern w:val="0"/>
                <w:sz w:val="28"/>
                <w:szCs w:val="28"/>
                <w:highlight w:val="none"/>
              </w:rPr>
              <w:t>单位名称</w:t>
            </w:r>
          </w:p>
        </w:tc>
        <w:tc>
          <w:tcPr>
            <w:tcW w:w="2445" w:type="dxa"/>
            <w:vAlign w:val="center"/>
          </w:tcPr>
          <w:p>
            <w:pPr>
              <w:spacing w:line="560" w:lineRule="exact"/>
              <w:jc w:val="center"/>
              <w:rPr>
                <w:rFonts w:ascii="仿宋_GB2312" w:hAnsi="Calibri" w:eastAsia="仿宋_GB2312" w:cs="ArialUnicodeMS"/>
                <w:b/>
                <w:bCs/>
                <w:kern w:val="0"/>
                <w:sz w:val="28"/>
                <w:szCs w:val="28"/>
                <w:highlight w:val="none"/>
              </w:rPr>
            </w:pPr>
            <w:r>
              <w:rPr>
                <w:rFonts w:hint="eastAsia" w:ascii="仿宋_GB2312" w:hAnsi="Calibri" w:eastAsia="仿宋_GB2312" w:cs="ArialUnicodeMS"/>
                <w:b/>
                <w:bCs/>
                <w:kern w:val="0"/>
                <w:sz w:val="28"/>
                <w:szCs w:val="28"/>
                <w:highlight w:val="none"/>
              </w:rPr>
              <w:t>单位基本性质</w:t>
            </w:r>
          </w:p>
        </w:tc>
        <w:tc>
          <w:tcPr>
            <w:tcW w:w="2665" w:type="dxa"/>
            <w:vAlign w:val="center"/>
          </w:tcPr>
          <w:p>
            <w:pPr>
              <w:spacing w:line="560" w:lineRule="exact"/>
              <w:jc w:val="center"/>
              <w:rPr>
                <w:rFonts w:ascii="仿宋_GB2312" w:hAnsi="Calibri" w:eastAsia="仿宋_GB2312" w:cs="ArialUnicodeMS"/>
                <w:b/>
                <w:bCs/>
                <w:kern w:val="0"/>
                <w:sz w:val="28"/>
                <w:szCs w:val="28"/>
                <w:highlight w:val="none"/>
              </w:rPr>
            </w:pPr>
            <w:r>
              <w:rPr>
                <w:rFonts w:hint="eastAsia" w:ascii="仿宋_GB2312" w:hAnsi="Calibri" w:eastAsia="仿宋_GB2312" w:cs="ArialUnicodeMS"/>
                <w:b/>
                <w:bCs/>
                <w:kern w:val="0"/>
                <w:sz w:val="28"/>
                <w:szCs w:val="28"/>
                <w:highlight w:val="none"/>
              </w:rPr>
              <w:t>经费形式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6" w:hRule="atLeast"/>
          <w:jc w:val="center"/>
        </w:trPr>
        <w:tc>
          <w:tcPr>
            <w:tcW w:w="985" w:type="dxa"/>
          </w:tcPr>
          <w:p>
            <w:pPr>
              <w:spacing w:line="560" w:lineRule="exact"/>
              <w:jc w:val="center"/>
              <w:rPr>
                <w:rFonts w:ascii="仿宋_GB2312" w:hAnsi="Calibri" w:eastAsia="仿宋_GB2312" w:cs="ArialUnicodeMS"/>
                <w:kern w:val="0"/>
                <w:sz w:val="28"/>
                <w:szCs w:val="28"/>
                <w:highlight w:val="none"/>
              </w:rPr>
            </w:pPr>
            <w:r>
              <w:rPr>
                <w:rFonts w:hint="eastAsia" w:ascii="仿宋_GB2312" w:hAnsi="Calibri" w:eastAsia="仿宋_GB2312" w:cs="ArialUnicodeMS"/>
                <w:kern w:val="0"/>
                <w:sz w:val="28"/>
                <w:szCs w:val="28"/>
                <w:highlight w:val="none"/>
              </w:rPr>
              <w:t>1</w:t>
            </w:r>
          </w:p>
        </w:tc>
        <w:tc>
          <w:tcPr>
            <w:tcW w:w="3485" w:type="dxa"/>
          </w:tcPr>
          <w:p>
            <w:pPr>
              <w:spacing w:line="560" w:lineRule="exact"/>
              <w:rPr>
                <w:rFonts w:ascii="仿宋_GB2312" w:hAnsi="Calibri" w:eastAsia="仿宋_GB2312" w:cs="ArialUnicodeMS"/>
                <w:kern w:val="0"/>
                <w:sz w:val="28"/>
                <w:szCs w:val="28"/>
                <w:highlight w:val="none"/>
              </w:rPr>
            </w:pPr>
            <w:r>
              <w:rPr>
                <w:rFonts w:hint="eastAsia" w:ascii="仿宋_GB2312" w:eastAsia="仿宋_GB2312" w:cs="仿宋_GB2312"/>
                <w:kern w:val="0"/>
                <w:sz w:val="21"/>
                <w:szCs w:val="21"/>
                <w:highlight w:val="none"/>
                <w:lang w:val="en-US" w:eastAsia="zh-CN"/>
              </w:rPr>
              <w:t>中共石家庄市鹿泉区委老干部局（本级</w:t>
            </w:r>
            <w:bookmarkStart w:id="0" w:name="_GoBack"/>
            <w:bookmarkEnd w:id="0"/>
            <w:r>
              <w:rPr>
                <w:rFonts w:hint="eastAsia" w:ascii="仿宋_GB2312" w:eastAsia="仿宋_GB2312" w:cs="仿宋_GB2312"/>
                <w:kern w:val="0"/>
                <w:sz w:val="21"/>
                <w:szCs w:val="21"/>
                <w:highlight w:val="none"/>
                <w:lang w:val="en-US" w:eastAsia="zh-CN"/>
              </w:rPr>
              <w:t>）</w:t>
            </w:r>
          </w:p>
        </w:tc>
        <w:tc>
          <w:tcPr>
            <w:tcW w:w="2445" w:type="dxa"/>
          </w:tcPr>
          <w:p>
            <w:pPr>
              <w:spacing w:line="560" w:lineRule="exact"/>
              <w:jc w:val="center"/>
              <w:rPr>
                <w:rFonts w:ascii="仿宋_GB2312" w:hAnsi="Calibri" w:eastAsia="仿宋_GB2312" w:cs="ArialUnicodeMS"/>
                <w:kern w:val="0"/>
                <w:sz w:val="28"/>
                <w:szCs w:val="28"/>
                <w:highlight w:val="none"/>
              </w:rPr>
            </w:pPr>
            <w:r>
              <w:rPr>
                <w:rFonts w:hint="eastAsia" w:ascii="仿宋_GB2312" w:hAnsi="仿宋_GB2312" w:eastAsia="仿宋_GB2312" w:cs="仿宋_GB2312"/>
                <w:szCs w:val="21"/>
                <w:highlight w:val="none"/>
              </w:rPr>
              <w:t>行政</w:t>
            </w:r>
            <w:r>
              <w:rPr>
                <w:rFonts w:hint="eastAsia" w:ascii="仿宋_GB2312" w:hAnsi="仿宋_GB2312" w:eastAsia="仿宋_GB2312" w:cs="仿宋_GB2312"/>
                <w:szCs w:val="21"/>
                <w:highlight w:val="none"/>
                <w:lang w:val="en-US" w:eastAsia="zh-CN"/>
              </w:rPr>
              <w:t>单位</w:t>
            </w:r>
          </w:p>
        </w:tc>
        <w:tc>
          <w:tcPr>
            <w:tcW w:w="2665" w:type="dxa"/>
          </w:tcPr>
          <w:p>
            <w:pPr>
              <w:spacing w:line="560" w:lineRule="exact"/>
              <w:jc w:val="center"/>
              <w:rPr>
                <w:rFonts w:ascii="仿宋_GB2312" w:hAnsi="Calibri" w:eastAsia="仿宋_GB2312" w:cs="ArialUnicodeMS"/>
                <w:kern w:val="0"/>
                <w:sz w:val="28"/>
                <w:szCs w:val="28"/>
                <w:highlight w:val="none"/>
              </w:rPr>
            </w:pPr>
            <w:r>
              <w:rPr>
                <w:rFonts w:hint="eastAsia" w:ascii="仿宋_GB2312" w:hAnsi="仿宋_GB2312" w:eastAsia="仿宋_GB2312" w:cs="仿宋_GB2312"/>
                <w:szCs w:val="21"/>
                <w:highlight w:val="none"/>
              </w:rPr>
              <w:t>财政拨款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6" w:hRule="atLeast"/>
          <w:jc w:val="center"/>
        </w:trPr>
        <w:tc>
          <w:tcPr>
            <w:tcW w:w="9580" w:type="dxa"/>
            <w:gridSpan w:val="4"/>
            <w:tcBorders>
              <w:top w:val="single" w:color="auto" w:sz="4" w:space="0"/>
              <w:left w:val="nil"/>
              <w:bottom w:val="nil"/>
              <w:right w:val="nil"/>
            </w:tcBorders>
          </w:tcPr>
          <w:p>
            <w:pPr>
              <w:spacing w:line="560" w:lineRule="exact"/>
              <w:jc w:val="left"/>
              <w:rPr>
                <w:rFonts w:ascii="仿宋_GB2312" w:hAnsi="Calibri" w:eastAsia="仿宋_GB2312" w:cs="ArialUnicodeMS"/>
                <w:kern w:val="0"/>
                <w:sz w:val="28"/>
                <w:szCs w:val="28"/>
                <w:highlight w:val="none"/>
              </w:rPr>
            </w:pPr>
            <w:r>
              <w:rPr>
                <w:rFonts w:hint="eastAsia" w:ascii="仿宋_GB2312" w:hAnsi="Calibri" w:eastAsia="仿宋_GB2312" w:cs="ArialUnicodeMS"/>
                <w:kern w:val="0"/>
                <w:sz w:val="28"/>
                <w:szCs w:val="28"/>
                <w:highlight w:val="none"/>
              </w:rPr>
              <w:t>注：1、单位基本性质分为行政单位、参公事业单位、财政补助事业单位、经费自理事业单位四类。</w:t>
            </w:r>
          </w:p>
          <w:p>
            <w:pPr>
              <w:spacing w:line="560" w:lineRule="exact"/>
              <w:ind w:firstLine="560" w:firstLineChars="200"/>
              <w:jc w:val="left"/>
              <w:rPr>
                <w:rFonts w:ascii="仿宋_GB2312" w:hAnsi="Calibri" w:eastAsia="仿宋_GB2312" w:cs="ArialUnicodeMS"/>
                <w:kern w:val="0"/>
                <w:sz w:val="28"/>
                <w:szCs w:val="28"/>
                <w:highlight w:val="none"/>
              </w:rPr>
            </w:pPr>
            <w:r>
              <w:rPr>
                <w:rFonts w:hint="eastAsia" w:ascii="仿宋_GB2312" w:hAnsi="Calibri" w:eastAsia="仿宋_GB2312" w:cs="ArialUnicodeMS"/>
                <w:kern w:val="0"/>
                <w:sz w:val="28"/>
                <w:szCs w:val="28"/>
                <w:highlight w:val="none"/>
              </w:rPr>
              <w:t>2、经费形式分为财政拨款、财政性资金基本保证、财政性资金定额或定项补助、财政性资金零补助四类。</w:t>
            </w:r>
          </w:p>
        </w:tc>
      </w:tr>
    </w:tbl>
    <w:p>
      <w:pPr>
        <w:rPr>
          <w:rFonts w:hint="eastAsia" w:ascii="Times New Roman" w:hAnsi="Times New Roman" w:eastAsia="黑体" w:cs="Times New Roman"/>
          <w:sz w:val="32"/>
          <w:szCs w:val="32"/>
          <w:highlight w:val="none"/>
        </w:rPr>
      </w:pPr>
      <w:r>
        <w:rPr>
          <w:rFonts w:hint="eastAsia" w:ascii="Times New Roman" w:hAnsi="Times New Roman" w:eastAsia="黑体" w:cs="Times New Roman"/>
          <w:sz w:val="32"/>
          <w:szCs w:val="32"/>
          <w:highlight w:val="none"/>
        </w:rPr>
        <w:br w:type="page"/>
      </w:r>
    </w:p>
    <w:p>
      <w:pPr>
        <w:widowControl/>
        <w:spacing w:before="0" w:beforeLines="0" w:beforeAutospacing="0" w:after="0" w:afterLines="0" w:afterAutospacing="0" w:line="360" w:lineRule="auto"/>
        <w:jc w:val="center"/>
        <w:outlineLvl w:val="0"/>
        <w:rPr>
          <w:rFonts w:ascii="Times New Roman" w:eastAsia="黑体"/>
          <w:sz w:val="44"/>
          <w:szCs w:val="44"/>
          <w:highlight w:val="none"/>
        </w:rPr>
      </w:pPr>
      <w:r>
        <w:rPr>
          <w:rFonts w:ascii="Times New Roman" w:eastAsia="黑体"/>
          <w:b w:val="0"/>
          <w:sz w:val="44"/>
          <w:szCs w:val="44"/>
          <w:highlight w:val="none"/>
        </w:rPr>
        <w:t>第二部分   </w:t>
      </w:r>
      <w:r>
        <w:rPr>
          <w:rFonts w:ascii="Times New Roman" w:eastAsia="仿宋_GB2312"/>
          <w:b w:val="0"/>
          <w:sz w:val="44"/>
          <w:szCs w:val="44"/>
          <w:highlight w:val="none"/>
        </w:rPr>
        <w:t>2024</w:t>
      </w:r>
      <w:r>
        <w:rPr>
          <w:rFonts w:ascii="Times New Roman" w:eastAsia="黑体"/>
          <w:b w:val="0"/>
          <w:sz w:val="44"/>
          <w:szCs w:val="44"/>
          <w:highlight w:val="none"/>
        </w:rPr>
        <w:t>年度部门决算表</w:t>
      </w:r>
    </w:p>
    <w:tbl>
      <w:tblPr>
        <w:tblStyle w:val="11"/>
        <w:tblW w:w="7250" w:type="pct"/>
        <w:tblInd w:w="-18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346"/>
        <w:gridCol w:w="624"/>
        <w:gridCol w:w="611"/>
        <w:gridCol w:w="1317"/>
        <w:gridCol w:w="1628"/>
        <w:gridCol w:w="1547"/>
        <w:gridCol w:w="624"/>
        <w:gridCol w:w="1928"/>
        <w:gridCol w:w="3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61" w:hRule="atLeast"/>
        </w:trPr>
        <w:tc>
          <w:tcPr>
            <w:tcW w:w="4985" w:type="pct"/>
            <w:gridSpan w:val="8"/>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7" w:hRule="atLeast"/>
        </w:trPr>
        <w:tc>
          <w:tcPr>
            <w:tcW w:w="4985" w:type="pct"/>
            <w:gridSpan w:val="8"/>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公开</w:t>
            </w:r>
            <w:r>
              <w:rPr>
                <w:rFonts w:hint="eastAsia" w:ascii="Times New Roman" w:hAnsi="Times New Roman" w:eastAsia="宋体" w:cs="Times New Roman"/>
                <w:i w:val="0"/>
                <w:iCs w:val="0"/>
                <w:color w:val="000000"/>
                <w:sz w:val="20"/>
                <w:szCs w:val="20"/>
                <w:highlight w:val="none"/>
                <w:u w:val="none"/>
                <w:lang w:val="en-US" w:eastAsia="zh-CN"/>
              </w:rPr>
              <w:t>01</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51" w:hRule="atLeast"/>
        </w:trPr>
        <w:tc>
          <w:tcPr>
            <w:tcW w:w="1964" w:type="pct"/>
            <w:gridSpan w:val="3"/>
            <w:tcBorders>
              <w:top w:val="nil"/>
              <w:left w:val="nil"/>
              <w:bottom w:val="single" w:color="auto" w:sz="4" w:space="0"/>
              <w:right w:val="nil"/>
            </w:tcBorders>
            <w:noWrap/>
            <w:vAlign w:val="bottom"/>
          </w:tcPr>
          <w:p>
            <w:pPr>
              <w:jc w:val="both"/>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部门（单位）：中共石家庄市鹿泉区委老干部局(本级)</w:t>
            </w:r>
          </w:p>
        </w:tc>
        <w:tc>
          <w:tcPr>
            <w:tcW w:w="1262" w:type="pct"/>
            <w:gridSpan w:val="2"/>
            <w:tcBorders>
              <w:top w:val="nil"/>
              <w:left w:val="nil"/>
              <w:bottom w:val="single" w:color="auto" w:sz="4" w:space="0"/>
              <w:right w:val="nil"/>
            </w:tcBorders>
            <w:noWrap/>
            <w:vAlign w:val="bottom"/>
          </w:tcPr>
          <w:p>
            <w:pPr>
              <w:jc w:val="center"/>
              <w:rPr>
                <w:rFonts w:hint="default" w:ascii="宋体" w:hAnsi="宋体" w:eastAsia="宋体" w:cs="宋体"/>
                <w:i w:val="0"/>
                <w:iCs w:val="0"/>
                <w:color w:val="000000"/>
                <w:kern w:val="0"/>
                <w:sz w:val="20"/>
                <w:szCs w:val="20"/>
                <w:highlight w:val="none"/>
                <w:u w:val="none"/>
                <w:lang w:val="en-US" w:eastAsia="zh-CN" w:bidi="ar"/>
              </w:rPr>
            </w:pPr>
            <w:r>
              <w:rPr>
                <w:rFonts w:hint="eastAsia" w:ascii="Times New Roman" w:hAnsi="Times New Roman" w:eastAsia="宋体" w:cs="Times New Roman"/>
                <w:i w:val="0"/>
                <w:iCs w:val="0"/>
                <w:color w:val="000000"/>
                <w:sz w:val="20"/>
                <w:szCs w:val="20"/>
                <w:highlight w:val="none"/>
                <w:u w:val="none"/>
                <w:lang w:val="en-US" w:eastAsia="zh-CN"/>
              </w:rPr>
              <w:t>2024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57" w:type="pct"/>
            <w:gridSpan w:val="3"/>
            <w:tcBorders>
              <w:top w:val="nil"/>
              <w:left w:val="nil"/>
              <w:bottom w:val="single" w:color="auto" w:sz="4" w:space="0"/>
              <w:right w:val="nil"/>
            </w:tcBorders>
            <w:noWrap/>
            <w:vAlign w:val="bottom"/>
          </w:tcPr>
          <w:p>
            <w:pPr>
              <w:jc w:val="right"/>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544" w:hRule="atLeast"/>
        </w:trPr>
        <w:tc>
          <w:tcPr>
            <w:tcW w:w="2529" w:type="pct"/>
            <w:gridSpan w:val="4"/>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收入</w:t>
            </w:r>
          </w:p>
        </w:tc>
        <w:tc>
          <w:tcPr>
            <w:tcW w:w="2456" w:type="pct"/>
            <w:gridSpan w:val="4"/>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1</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267"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82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Times New Roman" w:hAnsi="Times New Roman" w:eastAsia="宋体" w:cs="Times New Roman"/>
                <w:i w:val="0"/>
                <w:iCs w:val="0"/>
                <w:color w:val="000000"/>
                <w:sz w:val="20"/>
                <w:szCs w:val="20"/>
                <w:highlight w:val="none"/>
                <w:u w:val="none"/>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宋体" w:hAnsi="宋体" w:eastAsia="宋体" w:cs="宋体"/>
                <w:i w:val="0"/>
                <w:iCs w:val="0"/>
                <w:color w:val="000000"/>
                <w:sz w:val="20"/>
                <w:szCs w:val="20"/>
                <w:highlight w:val="none"/>
                <w:u w:val="none"/>
                <w:lang w:val="en-US" w:eastAsia="zh-CN"/>
              </w:rPr>
              <w:t>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497.29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四、上级补助收入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五、事业收入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六、经营收入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七、附属单位上缴收入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八、其他收入</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40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826"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7"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826"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50</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826"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7"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826"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826"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7"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826"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497.29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使用非财政拨款结余（含专用结余）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结余分配</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eastAsia="zh-CN"/>
              </w:rPr>
            </w:pPr>
            <w:r>
              <w:rPr>
                <w:rFonts w:hint="default" w:ascii="Times New Roman" w:hAnsi="Times New Roman" w:eastAsia="宋体" w:cs="Times New Roman"/>
                <w:i w:val="0"/>
                <w:iCs w:val="0"/>
                <w:color w:val="000000"/>
                <w:sz w:val="20"/>
                <w:szCs w:val="20"/>
                <w:highlight w:val="none"/>
                <w:u w:val="none"/>
                <w:lang w:val="en-US" w:eastAsia="zh-CN"/>
              </w:rPr>
              <w:t>60</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476"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pP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4" w:type="pct"/>
          <w:trHeight w:val="308" w:hRule="atLeast"/>
        </w:trPr>
        <w:tc>
          <w:tcPr>
            <w:tcW w:w="1434"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82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497.29</w:t>
            </w:r>
          </w:p>
        </w:tc>
        <w:tc>
          <w:tcPr>
            <w:tcW w:w="1361"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lang w:val="en-US"/>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82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497.29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注：1.本表反映部门本年度的总收支和年末结转结余情况。</w:t>
            </w:r>
          </w:p>
          <w:p>
            <w:pPr>
              <w:keepNext w:val="0"/>
              <w:keepLines w:val="0"/>
              <w:widowControl/>
              <w:suppressLineNumbers w:val="0"/>
              <w:ind w:firstLine="400" w:firstLineChars="20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2.本套报表金额转换时可能存在尾数误差。</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9230"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60"/>
        <w:gridCol w:w="1037"/>
        <w:gridCol w:w="1037"/>
        <w:gridCol w:w="1037"/>
        <w:gridCol w:w="964"/>
        <w:gridCol w:w="367"/>
        <w:gridCol w:w="597"/>
        <w:gridCol w:w="1027"/>
        <w:gridCol w:w="9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收入决算表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230" w:type="dxa"/>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eastAsia" w:ascii="Times New Roman" w:hAnsi="Times New Roman" w:eastAsia="宋体" w:cs="Times New Roman"/>
                <w:i w:val="0"/>
                <w:iCs w:val="0"/>
                <w:color w:val="000000"/>
                <w:sz w:val="20"/>
                <w:szCs w:val="20"/>
                <w:highlight w:val="none"/>
                <w:u w:val="none"/>
                <w:lang w:val="en-US" w:eastAsia="zh-CN"/>
              </w:rPr>
              <w:t>02</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3237" w:type="dxa"/>
            <w:gridSpan w:val="3"/>
            <w:tcBorders>
              <w:top w:val="nil"/>
              <w:left w:val="nil"/>
              <w:bottom w:val="single" w:color="auto" w:sz="4" w:space="0"/>
              <w:right w:val="nil"/>
            </w:tcBorders>
            <w:noWrap/>
            <w:vAlign w:val="bottom"/>
          </w:tcPr>
          <w:p>
            <w:pP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部门（单位）：中共石家庄市鹿泉区委老干部局(本级)                                                                                                         </w:t>
            </w:r>
          </w:p>
        </w:tc>
        <w:tc>
          <w:tcPr>
            <w:tcW w:w="3405" w:type="dxa"/>
            <w:gridSpan w:val="4"/>
            <w:tcBorders>
              <w:top w:val="nil"/>
              <w:left w:val="nil"/>
              <w:bottom w:val="single" w:color="auto" w:sz="4" w:space="0"/>
              <w:right w:val="nil"/>
            </w:tcBorders>
            <w:noWrap/>
            <w:vAlign w:val="bottom"/>
          </w:tcPr>
          <w:p>
            <w:pPr>
              <w:jc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default" w:ascii="Times New Roman" w:hAnsi="Times New Roman" w:eastAsia="方正仿宋_GB2312" w:cs="Times New Roman"/>
                <w:i w:val="0"/>
                <w:iCs w:val="0"/>
                <w:color w:val="000000"/>
                <w:sz w:val="20"/>
                <w:szCs w:val="20"/>
                <w:highlight w:val="none"/>
                <w:u w:val="none"/>
                <w:lang w:val="en-US" w:eastAsia="zh-CN"/>
              </w:rPr>
              <w:t>202</w:t>
            </w:r>
            <w:r>
              <w:rPr>
                <w:rFonts w:hint="eastAsia" w:ascii="Times New Roman" w:hAnsi="Times New Roman" w:eastAsia="方正仿宋_GB2312" w:cs="Times New Roman"/>
                <w:i w:val="0"/>
                <w:iCs w:val="0"/>
                <w:color w:val="000000"/>
                <w:sz w:val="20"/>
                <w:szCs w:val="20"/>
                <w:highlight w:val="none"/>
                <w:u w:val="none"/>
                <w:lang w:val="en-US" w:eastAsia="zh-CN"/>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2588" w:type="dxa"/>
            <w:gridSpan w:val="3"/>
            <w:tcBorders>
              <w:top w:val="nil"/>
              <w:left w:val="nil"/>
              <w:bottom w:val="single" w:color="auto" w:sz="4" w:space="0"/>
              <w:right w:val="nil"/>
            </w:tcBorders>
            <w:noWrap/>
            <w:vAlign w:val="bottom"/>
          </w:tcPr>
          <w:p>
            <w:pPr>
              <w:jc w:val="right"/>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2200" w:type="dxa"/>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本年收入合计</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财政拨款收入</w:t>
            </w:r>
          </w:p>
        </w:tc>
        <w:tc>
          <w:tcPr>
            <w:tcW w:w="103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上级补助收入</w:t>
            </w:r>
          </w:p>
        </w:tc>
        <w:tc>
          <w:tcPr>
            <w:tcW w:w="964" w:type="dxa"/>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事业收入</w:t>
            </w:r>
          </w:p>
        </w:tc>
        <w:tc>
          <w:tcPr>
            <w:tcW w:w="964" w:type="dxa"/>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经营收入</w:t>
            </w:r>
          </w:p>
        </w:tc>
        <w:tc>
          <w:tcPr>
            <w:tcW w:w="1027"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附属单位上缴收入</w:t>
            </w:r>
          </w:p>
        </w:tc>
        <w:tc>
          <w:tcPr>
            <w:tcW w:w="964" w:type="dxa"/>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其他收入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160" w:type="dxa"/>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jc w:val="center"/>
        </w:trPr>
        <w:tc>
          <w:tcPr>
            <w:tcW w:w="1040" w:type="dxa"/>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160" w:type="dxa"/>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3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027"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964" w:type="dxa"/>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103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4</w:t>
            </w:r>
          </w:p>
        </w:tc>
        <w:tc>
          <w:tcPr>
            <w:tcW w:w="964" w:type="dxa"/>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1027"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6</w:t>
            </w:r>
          </w:p>
        </w:tc>
        <w:tc>
          <w:tcPr>
            <w:tcW w:w="964" w:type="dxa"/>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2200" w:type="dxa"/>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497.29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rPr>
              <w:t>497.29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208</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社会保障和就业支出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457.71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457.71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20805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行政事业单位养老支出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457.71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457.71</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2080501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行政单位离退休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132.16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132.16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2080503</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离退休人员管理机构</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301.86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301.86</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2080505</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机关事业单位基本养老保险缴费支出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23.69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23.69</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210</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卫生健康支出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16.65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16.65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21011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行政事业单位医疗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16.65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16.65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2101101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行政单位医疗</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16.65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16.65</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221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住房保障支出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22.93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22.93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22102</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住房改革支出</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22.93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22.93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040" w:type="dxa"/>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2210201</w:t>
            </w:r>
          </w:p>
        </w:tc>
        <w:tc>
          <w:tcPr>
            <w:tcW w:w="1160" w:type="dxa"/>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kern w:val="0"/>
                <w:sz w:val="20"/>
                <w:szCs w:val="20"/>
                <w:highlight w:val="none"/>
                <w:u w:val="none"/>
                <w:lang w:val="en-US" w:eastAsia="zh-CN" w:bidi="ar-SA"/>
              </w:rPr>
            </w:pPr>
            <w:r>
              <w:rPr>
                <w:rFonts w:hint="eastAsia" w:ascii="方正仿宋_GB2312" w:hAnsi="方正仿宋_GB2312" w:eastAsia="方正仿宋_GB2312" w:cs="方正仿宋_GB2312"/>
                <w:spacing w:val="-2"/>
                <w:sz w:val="20"/>
                <w:szCs w:val="20"/>
                <w:highlight w:val="none"/>
                <w:lang w:val="en-US" w:eastAsia="zh-CN"/>
              </w:rPr>
              <w:t>住房公积金</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22.93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r>
              <w:rPr>
                <w:rFonts w:hint="default" w:ascii="Times New Roman" w:hAnsi="Times New Roman" w:eastAsia="宋体" w:cs="Times New Roman"/>
                <w:spacing w:val="-2"/>
                <w:sz w:val="20"/>
                <w:szCs w:val="20"/>
                <w:highlight w:val="none"/>
                <w:lang w:val="en-US" w:eastAsia="zh-CN"/>
              </w:rPr>
              <w:t>22.93</w:t>
            </w:r>
          </w:p>
        </w:tc>
        <w:tc>
          <w:tcPr>
            <w:tcW w:w="103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1027"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c>
          <w:tcPr>
            <w:tcW w:w="964" w:type="dxa"/>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kern w:val="0"/>
                <w:sz w:val="20"/>
                <w:szCs w:val="20"/>
                <w:highlight w:val="none"/>
                <w:u w:val="none"/>
                <w:lang w:val="en-US" w:eastAsia="zh-CN" w:bidi="ar-SA"/>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9230" w:type="dxa"/>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注：本表反映部门本年度取得的各项收入情况。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黑体" w:hAnsi="黑体" w:eastAsia="黑体" w:cs="宋体"/>
          <w:bCs/>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12"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40"/>
        <w:gridCol w:w="1187"/>
        <w:gridCol w:w="1128"/>
        <w:gridCol w:w="126"/>
        <w:gridCol w:w="1000"/>
        <w:gridCol w:w="1126"/>
        <w:gridCol w:w="497"/>
        <w:gridCol w:w="629"/>
        <w:gridCol w:w="1126"/>
        <w:gridCol w:w="14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jc w:val="center"/>
        </w:trPr>
        <w:tc>
          <w:tcPr>
            <w:tcW w:w="5000" w:type="pct"/>
            <w:gridSpan w:val="10"/>
            <w:tcBorders>
              <w:top w:val="nil"/>
              <w:left w:val="nil"/>
              <w:bottom w:val="nil"/>
              <w:right w:val="nil"/>
            </w:tcBorders>
            <w:noWrap/>
            <w:vAlign w:val="bottom"/>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br w:type="page"/>
            </w:r>
            <w:r>
              <w:rPr>
                <w:rFonts w:hint="eastAsia" w:ascii="方正仿宋_GB2312" w:hAnsi="方正仿宋_GB2312" w:eastAsia="方正仿宋_GB2312" w:cs="方正仿宋_GB2312"/>
                <w:b w:val="0"/>
                <w:bCs/>
                <w:color w:val="auto"/>
                <w:kern w:val="0"/>
                <w:sz w:val="32"/>
                <w:szCs w:val="32"/>
                <w:highlight w:val="none"/>
                <w:lang w:val="en-US" w:eastAsia="zh-CN"/>
              </w:rPr>
              <w:t>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5000" w:type="pct"/>
            <w:gridSpan w:val="10"/>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03</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1862" w:type="pct"/>
            <w:gridSpan w:val="4"/>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部门（单位）：中共石家庄市鹿泉区委老干部局(本级)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140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eastAsiaTheme="minorEastAsia"/>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73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jc w:val="center"/>
        </w:trPr>
        <w:tc>
          <w:tcPr>
            <w:tcW w:w="1191" w:type="pct"/>
            <w:gridSpan w:val="2"/>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0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本年支出合计</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602" w:type="pct"/>
            <w:gridSpan w:val="2"/>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上缴上级支出</w:t>
            </w:r>
          </w:p>
        </w:tc>
        <w:tc>
          <w:tcPr>
            <w:tcW w:w="602"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经营支出</w:t>
            </w:r>
          </w:p>
        </w:tc>
        <w:tc>
          <w:tcPr>
            <w:tcW w:w="795"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对附属单位补助支出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6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35" w:type="pct"/>
            <w:vMerge w:val="continue"/>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gridSpan w:val="2"/>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602"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95"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4"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03"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2" w:type="pct"/>
            <w:gridSpan w:val="2"/>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2"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795" w:type="pc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1191" w:type="pct"/>
            <w:gridSpan w:val="2"/>
            <w:tcBorders>
              <w:top w:val="single" w:color="000000"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497.29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440.97</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56.32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457.71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401.39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56.32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457.71</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401.39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56.32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132.16</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2080503</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离退休人员管理机构</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301.86</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245.54</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56.32</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23.69</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23.69</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16.65</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16.65</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56" w:type="pct"/>
            <w:tcBorders>
              <w:top w:val="nil"/>
              <w:left w:val="single" w:color="000000" w:sz="4" w:space="0"/>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635" w:type="pct"/>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60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60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9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jc w:val="center"/>
        </w:trPr>
        <w:tc>
          <w:tcPr>
            <w:tcW w:w="5000" w:type="pct"/>
            <w:gridSpan w:val="10"/>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注：本表反映部门本年度各项支出情况。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281" w:type="pct"/>
        <w:tblInd w:w="-18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984"/>
        <w:gridCol w:w="624"/>
        <w:gridCol w:w="1427"/>
        <w:gridCol w:w="1659"/>
        <w:gridCol w:w="439"/>
        <w:gridCol w:w="624"/>
        <w:gridCol w:w="458"/>
        <w:gridCol w:w="837"/>
        <w:gridCol w:w="1219"/>
        <w:gridCol w:w="1219"/>
        <w:gridCol w:w="12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财政拨款收入支出决算总表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公开04表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2431" w:type="pct"/>
            <w:gridSpan w:val="4"/>
            <w:tcBorders>
              <w:top w:val="nil"/>
              <w:left w:val="nil"/>
              <w:bottom w:val="single" w:color="auto" w:sz="4" w:space="0"/>
              <w:right w:val="nil"/>
            </w:tcBorders>
            <w:noWrap/>
            <w:vAlign w:val="bottom"/>
          </w:tcPr>
          <w:p>
            <w:pPr>
              <w:rPr>
                <w:rFonts w:hint="eastAsia" w:ascii="仿宋" w:hAnsi="仿宋" w:eastAsia="仿宋" w:cs="仿宋"/>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部门（单位）：中共石家庄市鹿泉区委老干部局(本级) </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 xml:space="preserve">                                                                                                   </w:t>
            </w:r>
          </w:p>
        </w:tc>
        <w:tc>
          <w:tcPr>
            <w:tcW w:w="649" w:type="pct"/>
            <w:gridSpan w:val="3"/>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919"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723" w:type="pct"/>
            <w:gridSpan w:val="3"/>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收入</w:t>
            </w:r>
          </w:p>
        </w:tc>
        <w:tc>
          <w:tcPr>
            <w:tcW w:w="3276" w:type="pct"/>
            <w:gridSpan w:val="8"/>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    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609"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金额</w:t>
            </w:r>
          </w:p>
        </w:tc>
        <w:tc>
          <w:tcPr>
            <w:tcW w:w="895"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26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行次</w:t>
            </w:r>
          </w:p>
        </w:tc>
        <w:tc>
          <w:tcPr>
            <w:tcW w:w="552" w:type="pct"/>
            <w:gridSpan w:val="2"/>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合计</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一般公共预算财政拨款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政府性基金预算财政拨款</w:t>
            </w:r>
          </w:p>
        </w:tc>
        <w:tc>
          <w:tcPr>
            <w:tcW w:w="520" w:type="pct"/>
            <w:vMerge w:val="restart"/>
            <w:tcBorders>
              <w:top w:val="nil"/>
              <w:left w:val="nil"/>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rPr>
              <w:t>国有资本经营预算财政拨款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847"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09"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895"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26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52" w:type="pct"/>
            <w:gridSpan w:val="2"/>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520" w:type="pct"/>
            <w:vMerge w:val="continue"/>
            <w:tcBorders>
              <w:left w:val="nil"/>
              <w:bottom w:val="single" w:color="000000" w:sz="4" w:space="0"/>
              <w:right w:val="single" w:color="000000" w:sz="8"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60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    次</w:t>
            </w:r>
          </w:p>
        </w:tc>
        <w:tc>
          <w:tcPr>
            <w:tcW w:w="266" w:type="pct"/>
            <w:tcBorders>
              <w:top w:val="nil"/>
              <w:left w:val="nil"/>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552"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w:t>
            </w:r>
          </w:p>
        </w:tc>
        <w:tc>
          <w:tcPr>
            <w:tcW w:w="52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4</w:t>
            </w:r>
          </w:p>
        </w:tc>
        <w:tc>
          <w:tcPr>
            <w:tcW w:w="520" w:type="pct"/>
            <w:tcBorders>
              <w:top w:val="nil"/>
              <w:left w:val="nil"/>
              <w:bottom w:val="single" w:color="000000" w:sz="4" w:space="0"/>
              <w:right w:val="single" w:color="000000" w:sz="8"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497.29</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一、一般公共服务支出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二、外交支出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34</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35</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四、公共安全支出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36</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五、教育支出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六、科学技术支出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七、文化旅游体育与传媒支出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八、社会保障和就业支出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457.71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457.71</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九、卫生健康支出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16.65</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16.65</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十、节能环保支出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十一、城乡社区支出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auto"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12</w:t>
            </w:r>
          </w:p>
        </w:tc>
        <w:tc>
          <w:tcPr>
            <w:tcW w:w="609"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auto"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十二、农林水支出</w:t>
            </w:r>
          </w:p>
        </w:tc>
        <w:tc>
          <w:tcPr>
            <w:tcW w:w="266" w:type="pct"/>
            <w:tcBorders>
              <w:top w:val="nil"/>
              <w:left w:val="nil"/>
              <w:bottom w:val="single" w:color="auto"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44</w:t>
            </w:r>
          </w:p>
        </w:tc>
        <w:tc>
          <w:tcPr>
            <w:tcW w:w="552" w:type="pct"/>
            <w:gridSpan w:val="2"/>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auto"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十三、交通运输支出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14</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十四、资源勘探工业信息等支出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46</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15</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十五、商业服务业等支出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47</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16</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十六、金融支出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48</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17</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十七、援助其他地区支出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49</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18</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十八、自然资源海洋气象等支出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50</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19</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十九、住房保障支出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51</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22.93</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22.93</w:t>
            </w: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20</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二十、粮油物资储备支出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52</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21</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二十一、国有资本经营预算支出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53</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22</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二十二、灾害防治及应急管理支出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54</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23</w:t>
            </w:r>
          </w:p>
        </w:tc>
        <w:tc>
          <w:tcPr>
            <w:tcW w:w="60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二十三、其他支出</w:t>
            </w:r>
          </w:p>
        </w:tc>
        <w:tc>
          <w:tcPr>
            <w:tcW w:w="266"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55</w:t>
            </w:r>
          </w:p>
        </w:tc>
        <w:tc>
          <w:tcPr>
            <w:tcW w:w="552"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single" w:color="auto" w:sz="4" w:space="0"/>
              <w:left w:val="single" w:color="000000" w:sz="4" w:space="0"/>
              <w:bottom w:val="single" w:color="000000" w:sz="4" w:space="0"/>
              <w:right w:val="single" w:color="000000" w:sz="4" w:space="0"/>
            </w:tcBorders>
            <w:noWrap/>
            <w:vAlign w:val="center"/>
          </w:tcPr>
          <w:p>
            <w:pPr>
              <w:jc w:val="left"/>
              <w:rPr>
                <w:rFonts w:hint="eastAsia" w:ascii="宋体" w:hAnsi="宋体" w:eastAsia="宋体" w:cs="宋体"/>
                <w:i w:val="0"/>
                <w:iCs w:val="0"/>
                <w:color w:val="000000"/>
                <w:sz w:val="20"/>
                <w:szCs w:val="20"/>
                <w:highlight w:val="none"/>
                <w:u w:val="none"/>
              </w:rPr>
            </w:pP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24</w:t>
            </w:r>
          </w:p>
        </w:tc>
        <w:tc>
          <w:tcPr>
            <w:tcW w:w="609"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二十四、债务还本支出</w:t>
            </w:r>
          </w:p>
        </w:tc>
        <w:tc>
          <w:tcPr>
            <w:tcW w:w="266" w:type="pct"/>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56</w:t>
            </w:r>
          </w:p>
        </w:tc>
        <w:tc>
          <w:tcPr>
            <w:tcW w:w="552" w:type="pct"/>
            <w:gridSpan w:val="2"/>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single" w:color="auto" w:sz="4" w:space="0"/>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b/>
                <w:bCs/>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25</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二十五、债务付息支出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57</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jc w:val="center"/>
              <w:rPr>
                <w:rFonts w:hint="eastAsia" w:ascii="宋体" w:hAnsi="宋体" w:eastAsia="宋体" w:cs="宋体"/>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26</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二十六、抗疫特别国债安排的支出</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58</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本年收入合计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27</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497.29</w:t>
            </w: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本年支出合计</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59</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497.29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497.29</w:t>
            </w: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28</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年末财政拨款结转和结余</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60</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both"/>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一、一般公共预算财政拨款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29</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61</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二、政府性基金预算财政拨款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30</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62</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三、国有资本经营预算财政拨款</w:t>
            </w: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31</w:t>
            </w:r>
          </w:p>
        </w:tc>
        <w:tc>
          <w:tcPr>
            <w:tcW w:w="60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895" w:type="pct"/>
            <w:gridSpan w:val="2"/>
            <w:tcBorders>
              <w:top w:val="nil"/>
              <w:left w:val="nil"/>
              <w:bottom w:val="single" w:color="000000" w:sz="4" w:space="0"/>
              <w:right w:val="single" w:color="000000"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p>
        </w:tc>
        <w:tc>
          <w:tcPr>
            <w:tcW w:w="26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63</w:t>
            </w:r>
          </w:p>
        </w:tc>
        <w:tc>
          <w:tcPr>
            <w:tcW w:w="552"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4" w:space="0"/>
              <w:right w:val="single" w:color="000000" w:sz="8" w:space="0"/>
            </w:tcBorders>
            <w:noWrap/>
            <w:vAlign w:val="center"/>
          </w:tcPr>
          <w:p>
            <w:pPr>
              <w:jc w:val="lef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847" w:type="pct"/>
            <w:tcBorders>
              <w:top w:val="nil"/>
              <w:left w:val="single" w:color="000000" w:sz="4" w:space="0"/>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32</w:t>
            </w:r>
          </w:p>
        </w:tc>
        <w:tc>
          <w:tcPr>
            <w:tcW w:w="609"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497.29</w:t>
            </w:r>
          </w:p>
        </w:tc>
        <w:tc>
          <w:tcPr>
            <w:tcW w:w="895" w:type="pct"/>
            <w:gridSpan w:val="2"/>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b/>
                <w:bCs/>
                <w:i w:val="0"/>
                <w:iCs w:val="0"/>
                <w:color w:val="000000"/>
                <w:sz w:val="20"/>
                <w:szCs w:val="20"/>
                <w:highlight w:val="none"/>
                <w:u w:val="none"/>
              </w:rPr>
            </w:pPr>
            <w:r>
              <w:rPr>
                <w:rFonts w:hint="eastAsia" w:ascii="方正仿宋_GB2312" w:hAnsi="方正仿宋_GB2312" w:eastAsia="方正仿宋_GB2312" w:cs="方正仿宋_GB2312"/>
                <w:b/>
                <w:bCs/>
                <w:i w:val="0"/>
                <w:iCs w:val="0"/>
                <w:color w:val="000000"/>
                <w:kern w:val="0"/>
                <w:sz w:val="20"/>
                <w:szCs w:val="20"/>
                <w:highlight w:val="none"/>
                <w:u w:val="none"/>
                <w:lang w:val="en-US" w:eastAsia="zh-CN" w:bidi="ar"/>
              </w:rPr>
              <w:t>总计</w:t>
            </w:r>
          </w:p>
        </w:tc>
        <w:tc>
          <w:tcPr>
            <w:tcW w:w="266" w:type="pct"/>
            <w:tcBorders>
              <w:top w:val="nil"/>
              <w:left w:val="nil"/>
              <w:bottom w:val="single" w:color="000000" w:sz="8"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kern w:val="0"/>
                <w:sz w:val="20"/>
                <w:szCs w:val="20"/>
                <w:highlight w:val="none"/>
                <w:u w:val="none"/>
                <w:lang w:val="en-US" w:eastAsia="zh-CN" w:bidi="ar"/>
              </w:rPr>
              <w:t>64</w:t>
            </w:r>
          </w:p>
        </w:tc>
        <w:tc>
          <w:tcPr>
            <w:tcW w:w="552" w:type="pct"/>
            <w:gridSpan w:val="2"/>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497.29</w:t>
            </w: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cs="Times New Roman"/>
                <w:sz w:val="20"/>
                <w:szCs w:val="20"/>
                <w:highlight w:val="none"/>
              </w:rPr>
            </w:pPr>
          </w:p>
          <w:p>
            <w:pPr>
              <w:jc w:val="right"/>
              <w:rPr>
                <w:rFonts w:hint="default" w:ascii="Times New Roman" w:hAnsi="Times New Roman" w:cs="Times New Roman"/>
                <w:sz w:val="20"/>
                <w:szCs w:val="20"/>
                <w:highlight w:val="none"/>
              </w:rPr>
            </w:pPr>
            <w:r>
              <w:rPr>
                <w:rFonts w:hint="default" w:ascii="Times New Roman" w:hAnsi="Times New Roman" w:cs="Times New Roman"/>
                <w:sz w:val="20"/>
                <w:szCs w:val="20"/>
                <w:highlight w:val="none"/>
              </w:rPr>
              <w:t>497.29</w:t>
            </w:r>
          </w:p>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0" w:type="pct"/>
            <w:tcBorders>
              <w:top w:val="nil"/>
              <w:left w:val="nil"/>
              <w:bottom w:val="single" w:color="000000" w:sz="8" w:space="0"/>
              <w:right w:val="single" w:color="000000" w:sz="8"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11"/>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注：本表反映部门本年度一般公共预算财政拨款、政府性基金预算财政拨款和国有资本经营预算财政拨款的总收支和年末结转结余情况。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348" w:type="pct"/>
        <w:tblInd w:w="-65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10"/>
        <w:gridCol w:w="3012"/>
        <w:gridCol w:w="1040"/>
        <w:gridCol w:w="677"/>
        <w:gridCol w:w="710"/>
        <w:gridCol w:w="339"/>
        <w:gridCol w:w="11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57" w:hRule="atLeast"/>
        </w:trPr>
        <w:tc>
          <w:tcPr>
            <w:tcW w:w="5000" w:type="pct"/>
            <w:gridSpan w:val="7"/>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5000" w:type="pct"/>
            <w:gridSpan w:val="7"/>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05</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9" w:hRule="atLeast"/>
        </w:trPr>
        <w:tc>
          <w:tcPr>
            <w:tcW w:w="1868"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编制部门（单位）：中共石家庄市鹿泉区委老干部局(本级)</w:t>
            </w:r>
          </w:p>
        </w:tc>
        <w:tc>
          <w:tcPr>
            <w:tcW w:w="1541" w:type="pct"/>
            <w:gridSpan w:val="2"/>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Theme="minorEastAsia" w:hAnsiTheme="minorEastAsia" w:eastAsiaTheme="minorEastAsia" w:cstheme="minorEastAsia"/>
                <w:i w:val="0"/>
                <w:iCs w:val="0"/>
                <w:color w:val="000000"/>
                <w:kern w:val="0"/>
                <w:sz w:val="20"/>
                <w:szCs w:val="20"/>
                <w:highlight w:val="none"/>
                <w:u w:val="none"/>
                <w:lang w:val="en-US" w:eastAsia="zh-CN" w:bidi="ar"/>
              </w:rPr>
            </w:pPr>
            <w:r>
              <w:rPr>
                <w:rFonts w:hint="default" w:ascii="Times New Roman" w:hAnsi="Times New Roman" w:cs="Times New Roman"/>
                <w:i w:val="0"/>
                <w:iCs w:val="0"/>
                <w:color w:val="000000"/>
                <w:kern w:val="0"/>
                <w:sz w:val="20"/>
                <w:szCs w:val="20"/>
                <w:highlight w:val="none"/>
                <w:u w:val="none"/>
                <w:lang w:val="en-US" w:eastAsia="zh-CN" w:bidi="ar"/>
              </w:rPr>
              <w:t>202</w:t>
            </w:r>
            <w:r>
              <w:rPr>
                <w:rFonts w:hint="eastAsia" w:ascii="Times New Roman" w:hAnsi="Times New Roman"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590" w:type="pct"/>
            <w:gridSpan w:val="2"/>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3538" w:type="pct"/>
            <w:gridSpan w:val="5"/>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科目代码</w:t>
            </w:r>
          </w:p>
        </w:tc>
        <w:tc>
          <w:tcPr>
            <w:tcW w:w="756"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1160"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1218" w:type="pct"/>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6"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704"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756"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160" w:type="pct"/>
            <w:gridSpan w:val="2"/>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c>
          <w:tcPr>
            <w:tcW w:w="1218" w:type="pct"/>
            <w:vMerge w:val="continue"/>
            <w:tcBorders>
              <w:top w:val="single" w:color="auto" w:sz="4" w:space="0"/>
              <w:left w:val="single" w:color="auto" w:sz="4" w:space="0"/>
              <w:bottom w:val="single" w:color="auto" w:sz="4" w:space="0"/>
              <w:right w:val="single" w:color="auto" w:sz="4" w:space="0"/>
            </w:tcBorders>
            <w:noWrap w:val="0"/>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2</w:t>
            </w:r>
          </w:p>
        </w:tc>
        <w:tc>
          <w:tcPr>
            <w:tcW w:w="1218"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lang w:val="en-US" w:eastAsia="zh-CN"/>
              </w:rPr>
            </w:pPr>
            <w:r>
              <w:rPr>
                <w:rFonts w:hint="eastAsia" w:ascii="宋体" w:hAnsi="宋体" w:eastAsia="宋体" w:cs="宋体"/>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9" w:hRule="atLeast"/>
        </w:trPr>
        <w:tc>
          <w:tcPr>
            <w:tcW w:w="1461"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497.29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440.97</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cs="Times New Roman"/>
                <w:sz w:val="20"/>
                <w:szCs w:val="20"/>
                <w:highlight w:val="none"/>
              </w:rPr>
              <w:t>56.32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社会保障和就业支出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457.71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401.39</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行政事业单位养老支出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457.71</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401.39</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行政单位离退休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132.16</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2080503</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离退休人员管理机构</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301.86</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245.54</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56.32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2080505</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机关事业单位基本养老保险缴费支出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23.69</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23.69</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卫生健康支出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16.65</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行政事业单位医疗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16.65</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2101101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行政单位医疗</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16.65</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16.65</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住房保障支出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住房改革支出</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704"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2210201</w:t>
            </w:r>
          </w:p>
        </w:tc>
        <w:tc>
          <w:tcPr>
            <w:tcW w:w="756"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sz w:val="20"/>
                <w:szCs w:val="20"/>
                <w:highlight w:val="none"/>
                <w:u w:val="none"/>
                <w:lang w:val="en-US" w:eastAsia="zh-CN"/>
              </w:rPr>
              <w:t>住房公积金</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1160"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r>
              <w:rPr>
                <w:rFonts w:hint="default" w:ascii="Times New Roman" w:hAnsi="Times New Roman" w:eastAsia="宋体" w:cs="Times New Roman"/>
                <w:i w:val="0"/>
                <w:iCs w:val="0"/>
                <w:color w:val="000000"/>
                <w:sz w:val="20"/>
                <w:szCs w:val="20"/>
                <w:highlight w:val="none"/>
                <w:u w:val="none"/>
                <w:lang w:val="en-US" w:eastAsia="zh-CN"/>
              </w:rPr>
              <w:t>22.93</w:t>
            </w:r>
          </w:p>
        </w:tc>
        <w:tc>
          <w:tcPr>
            <w:tcW w:w="1218"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1" w:hRule="atLeast"/>
        </w:trPr>
        <w:tc>
          <w:tcPr>
            <w:tcW w:w="5000" w:type="pct"/>
            <w:gridSpan w:val="7"/>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注：本表反映部门本年度一般公共预算财政拨款支出情况。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7050" w:type="pct"/>
        <w:tblInd w:w="-161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64"/>
        <w:gridCol w:w="1814"/>
        <w:gridCol w:w="1020"/>
        <w:gridCol w:w="964"/>
        <w:gridCol w:w="438"/>
        <w:gridCol w:w="1376"/>
        <w:gridCol w:w="587"/>
        <w:gridCol w:w="377"/>
        <w:gridCol w:w="964"/>
        <w:gridCol w:w="1814"/>
        <w:gridCol w:w="10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trPr>
        <w:tc>
          <w:tcPr>
            <w:tcW w:w="5000" w:type="pct"/>
            <w:gridSpan w:val="11"/>
            <w:tcBorders>
              <w:top w:val="nil"/>
              <w:left w:val="nil"/>
              <w:bottom w:val="nil"/>
              <w:right w:val="nil"/>
            </w:tcBorders>
            <w:noWrap/>
            <w:vAlign w:val="bottom"/>
          </w:tcPr>
          <w:p>
            <w:pPr>
              <w:keepNext w:val="0"/>
              <w:keepLines w:val="0"/>
              <w:widowControl/>
              <w:suppressLineNumbers w:val="0"/>
              <w:jc w:val="center"/>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一般公共预算财政拨款基本支出决算明细表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11"/>
            <w:tcBorders>
              <w:top w:val="nil"/>
              <w:left w:val="nil"/>
              <w:bottom w:val="nil"/>
              <w:right w:val="nil"/>
            </w:tcBorders>
            <w:noWrap/>
            <w:vAlign w:val="bottom"/>
          </w:tcPr>
          <w:p>
            <w:pPr>
              <w:keepNext w:val="0"/>
              <w:keepLines w:val="0"/>
              <w:widowControl/>
              <w:suppressLineNumbers w:val="0"/>
              <w:jc w:val="right"/>
              <w:textAlignment w:val="bottom"/>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06</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293" w:type="pct"/>
            <w:gridSpan w:val="5"/>
            <w:tcBorders>
              <w:top w:val="nil"/>
              <w:left w:val="nil"/>
              <w:bottom w:val="single" w:color="auto" w:sz="4" w:space="0"/>
              <w:right w:val="nil"/>
            </w:tcBorders>
            <w:noWrap/>
            <w:vAlign w:val="bottom"/>
          </w:tcPr>
          <w:p>
            <w:pP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部门（单位）：中共石家庄市鹿泉区委老干部局(本级) </w:t>
            </w:r>
            <w:r>
              <w:rPr>
                <w:rFonts w:hint="eastAsia" w:asciiTheme="minorEastAsia" w:hAnsiTheme="minorEastAsia" w:cstheme="minorEastAsia"/>
                <w:i w:val="0"/>
                <w:iCs w:val="0"/>
                <w:color w:val="000000"/>
                <w:kern w:val="0"/>
                <w:sz w:val="18"/>
                <w:szCs w:val="18"/>
                <w:highlight w:val="none"/>
                <w:u w:val="none"/>
                <w:lang w:val="en-US" w:eastAsia="zh-CN" w:bidi="ar"/>
              </w:rPr>
              <w:t xml:space="preserve">                                                                   </w:t>
            </w:r>
          </w:p>
        </w:tc>
        <w:tc>
          <w:tcPr>
            <w:tcW w:w="865" w:type="pct"/>
            <w:gridSpan w:val="2"/>
            <w:tcBorders>
              <w:top w:val="nil"/>
              <w:left w:val="nil"/>
              <w:bottom w:val="single" w:color="auto" w:sz="4" w:space="0"/>
              <w:right w:val="nil"/>
            </w:tcBorders>
            <w:noWrap/>
            <w:vAlign w:val="bottom"/>
          </w:tcPr>
          <w:p>
            <w:pPr>
              <w:jc w:val="center"/>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Theme="minorEastAsia" w:hAnsiTheme="minorEastAsia" w:cstheme="minorEastAsia"/>
                <w:i w:val="0"/>
                <w:iCs w:val="0"/>
                <w:color w:val="000000"/>
                <w:kern w:val="0"/>
                <w:sz w:val="18"/>
                <w:szCs w:val="18"/>
                <w:highlight w:val="none"/>
                <w:u w:val="none"/>
                <w:lang w:val="en-US" w:eastAsia="zh-CN" w:bidi="ar"/>
              </w:rPr>
              <w:t>2024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1841" w:type="pct"/>
            <w:gridSpan w:val="4"/>
            <w:tcBorders>
              <w:top w:val="nil"/>
              <w:left w:val="nil"/>
              <w:bottom w:val="single" w:color="auto" w:sz="4" w:space="0"/>
              <w:right w:val="nil"/>
            </w:tcBorders>
            <w:noWrap/>
            <w:vAlign w:val="bottom"/>
          </w:tcPr>
          <w:p>
            <w:pPr>
              <w:jc w:val="right"/>
              <w:rPr>
                <w:rFonts w:hint="default" w:asciiTheme="minorEastAsia" w:hAnsiTheme="minorEastAsia" w:eastAsiaTheme="minorEastAsia" w:cstheme="minorEastAsia"/>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674" w:type="pct"/>
            <w:gridSpan w:val="3"/>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w:t>
            </w:r>
          </w:p>
        </w:tc>
        <w:tc>
          <w:tcPr>
            <w:tcW w:w="3325" w:type="pct"/>
            <w:gridSpan w:val="8"/>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c>
          <w:tcPr>
            <w:tcW w:w="425" w:type="pc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lang w:val="en-US" w:eastAsia="zh-CN"/>
              </w:rPr>
            </w:pPr>
            <w:r>
              <w:rPr>
                <w:rFonts w:hint="eastAsia" w:ascii="方正仿宋_GB2312" w:hAnsi="方正仿宋_GB2312" w:eastAsia="方正仿宋_GB2312" w:cs="方正仿宋_GB2312"/>
                <w:i w:val="0"/>
                <w:iCs w:val="0"/>
                <w:color w:val="000000"/>
                <w:sz w:val="18"/>
                <w:szCs w:val="18"/>
                <w:highlight w:val="none"/>
                <w:u w:val="none"/>
                <w:lang w:val="en-US" w:eastAsia="zh-CN"/>
              </w:rPr>
              <w:t>科目代码</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科目名称</w:t>
            </w:r>
          </w:p>
        </w:tc>
        <w:tc>
          <w:tcPr>
            <w:tcW w:w="44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252.58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51.97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债务利息及费用支出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基本工资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66.70</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0.18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国内债务付息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津贴补贴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28.17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印刷费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1.14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30702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国外债务付息</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奖金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26.57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咨询费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伙食补助费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手续费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房屋建筑物购建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绩效工资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eastAsia" w:ascii="Times New Roman" w:hAnsi="Times New Roman" w:cs="Times New Roman"/>
                <w:sz w:val="18"/>
                <w:szCs w:val="18"/>
                <w:highlight w:val="none"/>
                <w:lang w:eastAsia="zh-CN"/>
              </w:rPr>
              <w:t>65.36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水费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0.08</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办公设备购置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机关事业单位基本养老保险缴费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23.69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0.82</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专用设备购置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职业年金缴费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邮电费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eastAsia" w:ascii="Times New Roman" w:hAnsi="Times New Roman" w:cs="Times New Roman"/>
                <w:sz w:val="18"/>
                <w:szCs w:val="18"/>
                <w:highlight w:val="none"/>
                <w:lang w:eastAsia="zh-CN"/>
              </w:rPr>
            </w:pPr>
            <w:r>
              <w:rPr>
                <w:rFonts w:hint="eastAsia" w:ascii="Times New Roman" w:hAnsi="Times New Roman" w:cs="Times New Roman"/>
                <w:sz w:val="18"/>
                <w:szCs w:val="18"/>
                <w:highlight w:val="none"/>
                <w:lang w:eastAsia="zh-CN"/>
              </w:rPr>
              <w:t>3.36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基础设施建设</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职工基本医疗保险缴费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16.65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取暖费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8.54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大型修缮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公务员医疗补助缴费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30209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物业管理费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信息网络及软件购置更新</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其他社会保障缴费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2.51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差旅费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0.26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物资储备</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住房公积金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22.93</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30212</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土地补偿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30114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30213</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维修（护）费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0.67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安置补助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30199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其他工资福利支出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 xml:space="preserve">  租赁费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地上附着物和青苗补偿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136.41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会议费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拆迁补偿</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离休费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55.51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培训费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退休费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73.74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31019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其他交通工具购置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退职（役）费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30218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专用材料费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文物和陈列品购置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抚恤金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30224</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被装购置费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31022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无形资产购置</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生活补助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7.15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30225</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专用燃料费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31099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其他资本性支出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30306</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救济费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30226</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劳务费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4.04</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医疗费补助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30227</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委托业务费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20.89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资本金注入</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助学金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30228</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工会经费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1.41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31203</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政府投资基金股权投资</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奖励金</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0.01</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30229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福利费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1.66</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31204</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费用补贴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个人农业生产补贴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30231</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0.89</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31205</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利息补贴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30311</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代缴社会保险费</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30239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其他交通费用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4.17</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31299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其他对企业补助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其他对个人和家庭的补助</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30240</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税金及附加费用</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30299</w:t>
            </w: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其他商品和服务支出</w:t>
            </w: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3.85</w:t>
            </w: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39907</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国家赔偿费用支出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39908</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对民间非营利组织和群众性自治组织补贴</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39909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经常性赠与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39910</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资本性赠与</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425" w:type="pct"/>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p>
        </w:tc>
        <w:tc>
          <w:tcPr>
            <w:tcW w:w="79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49"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799"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eastAsia" w:asciiTheme="minorEastAsia" w:hAnsiTheme="minorEastAsia" w:eastAsiaTheme="minorEastAsia" w:cstheme="minorEastAsia"/>
                <w:i w:val="0"/>
                <w:iCs w:val="0"/>
                <w:color w:val="000000"/>
                <w:sz w:val="18"/>
                <w:szCs w:val="18"/>
                <w:highlight w:val="none"/>
                <w:u w:val="none"/>
              </w:rPr>
            </w:pPr>
          </w:p>
        </w:tc>
        <w:tc>
          <w:tcPr>
            <w:tcW w:w="425" w:type="pct"/>
            <w:gridSpan w:val="2"/>
            <w:tcBorders>
              <w:top w:val="single" w:color="auto" w:sz="4" w:space="0"/>
              <w:left w:val="single" w:color="auto" w:sz="4" w:space="0"/>
              <w:bottom w:val="single" w:color="auto" w:sz="4" w:space="0"/>
              <w:right w:val="single" w:color="auto" w:sz="4" w:space="0"/>
            </w:tcBorders>
            <w:noWrap/>
            <w:vAlign w:val="center"/>
          </w:tcPr>
          <w:p>
            <w:pPr>
              <w:jc w:val="left"/>
              <w:rPr>
                <w:rFonts w:hint="default" w:ascii="Times New Roman" w:hAnsi="Times New Roman" w:cs="Times New Roman" w:eastAsiaTheme="minorEastAsia"/>
                <w:i w:val="0"/>
                <w:iCs w:val="0"/>
                <w:color w:val="000000"/>
                <w:sz w:val="18"/>
                <w:szCs w:val="18"/>
                <w:highlight w:val="none"/>
                <w:u w:val="none"/>
              </w:rPr>
            </w:pPr>
          </w:p>
        </w:tc>
        <w:tc>
          <w:tcPr>
            <w:tcW w:w="425"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center"/>
              <w:textAlignment w:val="center"/>
              <w:rPr>
                <w:rFonts w:hint="default" w:ascii="Times New Roman" w:hAnsi="Times New Roman" w:cs="Times New Roman" w:eastAsiaTheme="minorEastAsia"/>
                <w:i w:val="0"/>
                <w:iCs w:val="0"/>
                <w:color w:val="000000"/>
                <w:sz w:val="18"/>
                <w:szCs w:val="18"/>
                <w:highlight w:val="none"/>
                <w:u w:val="none"/>
              </w:rPr>
            </w:pPr>
            <w:r>
              <w:rPr>
                <w:rFonts w:hint="default" w:ascii="Times New Roman" w:hAnsi="Times New Roman" w:cs="Times New Roman" w:eastAsiaTheme="minorEastAsia"/>
                <w:i w:val="0"/>
                <w:iCs w:val="0"/>
                <w:color w:val="000000"/>
                <w:kern w:val="0"/>
                <w:sz w:val="18"/>
                <w:szCs w:val="18"/>
                <w:highlight w:val="none"/>
                <w:u w:val="none"/>
                <w:lang w:val="en-US" w:eastAsia="zh-CN" w:bidi="ar"/>
              </w:rPr>
              <w:t>39999</w:t>
            </w:r>
          </w:p>
        </w:tc>
        <w:tc>
          <w:tcPr>
            <w:tcW w:w="799" w:type="pct"/>
            <w:tcBorders>
              <w:top w:val="single" w:color="auto" w:sz="4" w:space="0"/>
              <w:left w:val="single" w:color="auto" w:sz="4" w:space="0"/>
              <w:bottom w:val="single" w:color="auto" w:sz="4" w:space="0"/>
              <w:right w:val="single" w:color="auto" w:sz="4" w:space="0"/>
            </w:tcBorders>
            <w:noWrap/>
            <w:vAlign w:val="center"/>
          </w:tcPr>
          <w:p>
            <w:pPr>
              <w:keepNext w:val="0"/>
              <w:keepLines w:val="0"/>
              <w:widowControl/>
              <w:suppressLineNumbers w:val="0"/>
              <w:jc w:val="left"/>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其他支出</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1225" w:type="pct"/>
            <w:gridSpan w:val="2"/>
            <w:tcBorders>
              <w:top w:val="single" w:color="auto" w:sz="4" w:space="0"/>
              <w:left w:val="single" w:color="auto" w:sz="4" w:space="0"/>
              <w:bottom w:val="single" w:color="auto" w:sz="4" w:space="0"/>
              <w:right w:val="single" w:color="auto" w:sz="4" w:space="0"/>
            </w:tcBorders>
            <w:noWrap/>
            <w:vAlign w:val="center"/>
          </w:tcPr>
          <w:p>
            <w:pPr>
              <w:jc w:val="center"/>
              <w:rPr>
                <w:rFonts w:hint="default" w:ascii="Times New Roman" w:hAnsi="Times New Roman" w:cs="Times New Roman" w:eastAsiaTheme="minorEastAsia"/>
                <w:sz w:val="18"/>
                <w:szCs w:val="18"/>
                <w:highlight w:val="none"/>
                <w:lang w:val="en-US" w:eastAsia="zh-CN"/>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人员经费合计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default" w:ascii="Times New Roman" w:hAnsi="Times New Roman" w:cs="Times New Roman" w:eastAsiaTheme="minorEastAsia"/>
                <w:sz w:val="18"/>
                <w:szCs w:val="18"/>
                <w:highlight w:val="none"/>
              </w:rPr>
            </w:pPr>
            <w:r>
              <w:rPr>
                <w:rFonts w:hint="default" w:ascii="Times New Roman" w:hAnsi="Times New Roman" w:cs="Times New Roman" w:eastAsiaTheme="minorEastAsia"/>
                <w:sz w:val="18"/>
                <w:szCs w:val="18"/>
                <w:highlight w:val="none"/>
              </w:rPr>
              <w:t>388.99</w:t>
            </w:r>
          </w:p>
        </w:tc>
        <w:tc>
          <w:tcPr>
            <w:tcW w:w="2875" w:type="pct"/>
            <w:gridSpan w:val="7"/>
            <w:tcBorders>
              <w:top w:val="single" w:color="auto" w:sz="4" w:space="0"/>
              <w:left w:val="single" w:color="auto" w:sz="4" w:space="0"/>
              <w:bottom w:val="single" w:color="auto" w:sz="4" w:space="0"/>
              <w:right w:val="single" w:color="auto" w:sz="4" w:space="0"/>
            </w:tcBorders>
            <w:noWrap/>
            <w:vAlign w:val="center"/>
          </w:tcPr>
          <w:p>
            <w:pPr>
              <w:jc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公用经费合计</w:t>
            </w:r>
          </w:p>
        </w:tc>
        <w:tc>
          <w:tcPr>
            <w:tcW w:w="449" w:type="pct"/>
            <w:tcBorders>
              <w:top w:val="single" w:color="auto" w:sz="4" w:space="0"/>
              <w:left w:val="single" w:color="auto" w:sz="4" w:space="0"/>
              <w:bottom w:val="single" w:color="auto" w:sz="4" w:space="0"/>
              <w:right w:val="single" w:color="auto" w:sz="4" w:space="0"/>
            </w:tcBorders>
            <w:noWrap/>
            <w:vAlign w:val="center"/>
          </w:tcPr>
          <w:p>
            <w:pPr>
              <w:jc w:val="right"/>
              <w:rPr>
                <w:rFonts w:hint="eastAsia" w:asciiTheme="minorEastAsia" w:hAnsiTheme="minorEastAsia" w:eastAsiaTheme="minorEastAsia" w:cstheme="minorEastAsia"/>
                <w:i w:val="0"/>
                <w:iCs w:val="0"/>
                <w:color w:val="000000"/>
                <w:sz w:val="18"/>
                <w:szCs w:val="18"/>
                <w:highlight w:val="none"/>
                <w:u w:val="none"/>
              </w:rPr>
            </w:pPr>
            <w:r>
              <w:rPr>
                <w:rFonts w:hint="default" w:ascii="Times New Roman" w:hAnsi="Times New Roman" w:cs="Times New Roman" w:eastAsiaTheme="minorEastAsia"/>
                <w:sz w:val="18"/>
                <w:szCs w:val="18"/>
                <w:highlight w:val="none"/>
              </w:rPr>
              <w:t>51.97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5000" w:type="pct"/>
            <w:gridSpan w:val="11"/>
            <w:tcBorders>
              <w:top w:val="single" w:color="auto" w:sz="4" w:space="0"/>
              <w:left w:val="nil"/>
              <w:bottom w:val="nil"/>
              <w:right w:val="nil"/>
            </w:tcBorders>
            <w:noWrap/>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注：本表反映部门本年度一般公共预算财政拨款基本支出明细情况。</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6517" w:type="pct"/>
        <w:tblInd w:w="-140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60"/>
        <w:gridCol w:w="1474"/>
        <w:gridCol w:w="1306"/>
        <w:gridCol w:w="1027"/>
        <w:gridCol w:w="1107"/>
        <w:gridCol w:w="418"/>
        <w:gridCol w:w="702"/>
        <w:gridCol w:w="1146"/>
        <w:gridCol w:w="204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政府性基金预算财政拨款收入支出决算表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宋体" w:cs="Times New Roman"/>
                <w:i w:val="0"/>
                <w:iCs w:val="0"/>
                <w:color w:val="000000"/>
                <w:kern w:val="0"/>
                <w:sz w:val="20"/>
                <w:szCs w:val="20"/>
                <w:highlight w:val="none"/>
                <w:u w:val="none"/>
                <w:lang w:val="en-US" w:eastAsia="zh-CN" w:bidi="ar"/>
              </w:rPr>
              <w:t>07</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00" w:hRule="atLeast"/>
        </w:trPr>
        <w:tc>
          <w:tcPr>
            <w:tcW w:w="1927" w:type="pct"/>
            <w:gridSpan w:val="3"/>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部门（单位）：中共石家庄市鹿泉区委老干部局(本级) </w:t>
            </w:r>
            <w:r>
              <w:rPr>
                <w:rFonts w:hint="eastAsia" w:ascii="宋体" w:hAnsi="宋体" w:eastAsia="宋体" w:cs="宋体"/>
                <w:i w:val="0"/>
                <w:iCs w:val="0"/>
                <w:color w:val="000000"/>
                <w:kern w:val="0"/>
                <w:sz w:val="20"/>
                <w:szCs w:val="20"/>
                <w:highlight w:val="none"/>
                <w:u w:val="none"/>
                <w:lang w:val="en-US" w:eastAsia="zh-CN" w:bidi="ar"/>
              </w:rPr>
              <w:t xml:space="preserve">                                                                                     </w:t>
            </w:r>
          </w:p>
        </w:tc>
        <w:tc>
          <w:tcPr>
            <w:tcW w:w="1217"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854"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w:t>
            </w:r>
          </w:p>
        </w:tc>
        <w:tc>
          <w:tcPr>
            <w:tcW w:w="623"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年初结转和结余</w:t>
            </w:r>
          </w:p>
        </w:tc>
        <w:tc>
          <w:tcPr>
            <w:tcW w:w="489" w:type="pct"/>
            <w:vMerge w:val="restart"/>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本年收入</w:t>
            </w:r>
          </w:p>
        </w:tc>
        <w:tc>
          <w:tcPr>
            <w:tcW w:w="1609" w:type="pct"/>
            <w:gridSpan w:val="4"/>
            <w:tcBorders>
              <w:top w:val="single" w:color="auto" w:sz="4" w:space="0"/>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本年支出</w:t>
            </w:r>
          </w:p>
        </w:tc>
        <w:tc>
          <w:tcPr>
            <w:tcW w:w="973" w:type="pct"/>
            <w:vMerge w:val="restart"/>
            <w:tcBorders>
              <w:top w:val="single" w:color="auto" w:sz="4" w:space="0"/>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年末结转和结余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restart"/>
            <w:tcBorders>
              <w:top w:val="nil"/>
              <w:left w:val="single" w:color="000000"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703"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科目名称</w:t>
            </w: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小计</w:t>
            </w:r>
          </w:p>
        </w:tc>
        <w:tc>
          <w:tcPr>
            <w:tcW w:w="534" w:type="pct"/>
            <w:gridSpan w:val="2"/>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基本支出</w:t>
            </w:r>
          </w:p>
        </w:tc>
        <w:tc>
          <w:tcPr>
            <w:tcW w:w="546" w:type="pct"/>
            <w:vMerge w:val="restart"/>
            <w:tcBorders>
              <w:top w:val="nil"/>
              <w:left w:val="nil"/>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项目支出</w:t>
            </w:r>
          </w:p>
        </w:tc>
        <w:tc>
          <w:tcPr>
            <w:tcW w:w="973" w:type="pct"/>
            <w:vMerge w:val="continue"/>
            <w:tcBorders>
              <w:left w:val="nil"/>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结转</w:t>
            </w:r>
          </w:p>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结余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601" w:type="pct"/>
            <w:vMerge w:val="continue"/>
            <w:tcBorders>
              <w:top w:val="nil"/>
              <w:left w:val="single" w:color="000000"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12" w:hRule="atLeast"/>
        </w:trPr>
        <w:tc>
          <w:tcPr>
            <w:tcW w:w="601" w:type="pct"/>
            <w:vMerge w:val="continue"/>
            <w:tcBorders>
              <w:top w:val="nil"/>
              <w:left w:val="single" w:color="000000"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3" w:type="pct"/>
            <w:vMerge w:val="continue"/>
            <w:tcBorders>
              <w:top w:val="nil"/>
              <w:left w:val="nil"/>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623"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489" w:type="pct"/>
            <w:vMerge w:val="continue"/>
            <w:tcBorders>
              <w:top w:val="single" w:color="000000" w:sz="4" w:space="0"/>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28"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34" w:type="pct"/>
            <w:gridSpan w:val="2"/>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546" w:type="pct"/>
            <w:vMerge w:val="continue"/>
            <w:tcBorders>
              <w:top w:val="nil"/>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73"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栏次</w:t>
            </w:r>
          </w:p>
        </w:tc>
        <w:tc>
          <w:tcPr>
            <w:tcW w:w="623"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1</w:t>
            </w:r>
          </w:p>
        </w:tc>
        <w:tc>
          <w:tcPr>
            <w:tcW w:w="489"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2</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3</w:t>
            </w:r>
          </w:p>
        </w:tc>
        <w:tc>
          <w:tcPr>
            <w:tcW w:w="53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4</w:t>
            </w:r>
          </w:p>
        </w:tc>
        <w:tc>
          <w:tcPr>
            <w:tcW w:w="546"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rPr>
            </w:pPr>
            <w:r>
              <w:rPr>
                <w:rFonts w:hint="default" w:ascii="Times New Roman" w:hAnsi="Times New Roman" w:eastAsia="方正仿宋_GB2312" w:cs="Times New Roman"/>
                <w:i w:val="0"/>
                <w:iCs w:val="0"/>
                <w:color w:val="000000"/>
                <w:kern w:val="0"/>
                <w:sz w:val="20"/>
                <w:szCs w:val="20"/>
                <w:highlight w:val="none"/>
                <w:u w:val="none"/>
                <w:lang w:val="en-US" w:eastAsia="zh-CN" w:bidi="ar"/>
              </w:rPr>
              <w:t>5</w:t>
            </w:r>
          </w:p>
        </w:tc>
        <w:tc>
          <w:tcPr>
            <w:tcW w:w="973"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20"/>
                <w:szCs w:val="20"/>
                <w:highlight w:val="none"/>
                <w:u w:val="none"/>
                <w:lang w:val="en-US" w:eastAsia="zh-CN"/>
              </w:rPr>
            </w:pPr>
            <w:r>
              <w:rPr>
                <w:rFonts w:hint="default" w:ascii="Times New Roman" w:hAnsi="Times New Roman" w:eastAsia="方正仿宋_GB2312" w:cs="Times New Roman"/>
                <w:i w:val="0"/>
                <w:iCs w:val="0"/>
                <w:color w:val="000000"/>
                <w:sz w:val="20"/>
                <w:szCs w:val="20"/>
                <w:highlight w:val="none"/>
                <w:u w:val="none"/>
                <w:lang w:val="en-US" w:eastAsia="zh-CN"/>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69" w:hRule="atLeast"/>
        </w:trPr>
        <w:tc>
          <w:tcPr>
            <w:tcW w:w="1304"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合计</w:t>
            </w:r>
          </w:p>
        </w:tc>
        <w:tc>
          <w:tcPr>
            <w:tcW w:w="623" w:type="pct"/>
            <w:tcBorders>
              <w:top w:val="nil"/>
              <w:left w:val="single" w:color="auto"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489"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34"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546"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73"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注：本表反映部门本年度政府性基金预算财政拨款收入、支出及结转和结余情况。本部门本年度无相关收入（或支出、收支及结转结余等）情况，按要求空表列示。</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br w:type="page"/>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W w:w="5863" w:type="pct"/>
        <w:tblInd w:w="-97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993"/>
        <w:gridCol w:w="731"/>
        <w:gridCol w:w="1296"/>
        <w:gridCol w:w="1332"/>
        <w:gridCol w:w="5"/>
        <w:gridCol w:w="47"/>
        <w:gridCol w:w="1281"/>
        <w:gridCol w:w="10"/>
        <w:gridCol w:w="17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9"/>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国有资本经营预算财政拨款支出决算表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000" w:type="pct"/>
            <w:gridSpan w:val="9"/>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公开</w:t>
            </w:r>
            <w:r>
              <w:rPr>
                <w:rFonts w:hint="default" w:ascii="Times New Roman" w:hAnsi="Times New Roman" w:eastAsia="方正仿宋_GB2312" w:cs="Times New Roman"/>
                <w:i w:val="0"/>
                <w:iCs w:val="0"/>
                <w:color w:val="000000"/>
                <w:kern w:val="0"/>
                <w:sz w:val="20"/>
                <w:szCs w:val="20"/>
                <w:highlight w:val="none"/>
                <w:u w:val="none"/>
                <w:lang w:val="en-US" w:eastAsia="zh-CN" w:bidi="ar"/>
              </w:rPr>
              <w:t>08</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1974" w:type="pct"/>
            <w:gridSpan w:val="2"/>
            <w:tcBorders>
              <w:top w:val="nil"/>
              <w:left w:val="nil"/>
              <w:bottom w:val="single" w:color="auto" w:sz="4" w:space="0"/>
              <w:right w:val="nil"/>
            </w:tcBorders>
            <w:noWrap/>
            <w:vAlign w:val="bottom"/>
          </w:tcPr>
          <w:p>
            <w:pPr>
              <w:keepNext w:val="0"/>
              <w:keepLines w:val="0"/>
              <w:widowControl/>
              <w:suppressLineNumbers w:val="0"/>
              <w:jc w:val="both"/>
              <w:textAlignment w:val="bottom"/>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部门（单位）：中共石家庄市鹿泉区委老干部局(本级)</w:t>
            </w:r>
          </w:p>
        </w:tc>
        <w:tc>
          <w:tcPr>
            <w:tcW w:w="1421" w:type="pct"/>
            <w:gridSpan w:val="4"/>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20"/>
                <w:szCs w:val="20"/>
                <w:highlight w:val="none"/>
                <w:u w:val="none"/>
                <w:lang w:val="en-US" w:eastAsia="zh-CN" w:bidi="ar"/>
              </w:rPr>
            </w:pPr>
            <w:r>
              <w:rPr>
                <w:rFonts w:hint="default" w:ascii="Times New Roman" w:hAnsi="Times New Roman" w:eastAsia="宋体" w:cs="Times New Roman"/>
                <w:i w:val="0"/>
                <w:iCs w:val="0"/>
                <w:color w:val="000000"/>
                <w:kern w:val="0"/>
                <w:sz w:val="20"/>
                <w:szCs w:val="20"/>
                <w:highlight w:val="none"/>
                <w:u w:val="none"/>
                <w:lang w:val="en-US" w:eastAsia="zh-CN" w:bidi="ar"/>
              </w:rPr>
              <w:t>202</w:t>
            </w:r>
            <w:r>
              <w:rPr>
                <w:rFonts w:hint="eastAsia" w:ascii="Times New Roman" w:hAnsi="Times New Roman" w:eastAsia="宋体" w:cs="Times New Roman"/>
                <w:i w:val="0"/>
                <w:iCs w:val="0"/>
                <w:color w:val="000000"/>
                <w:kern w:val="0"/>
                <w:sz w:val="20"/>
                <w:szCs w:val="20"/>
                <w:highlight w:val="none"/>
                <w:u w:val="none"/>
                <w:lang w:val="en-US" w:eastAsia="zh-CN" w:bidi="ar"/>
              </w:rPr>
              <w:t>4</w:t>
            </w: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年度</w:t>
            </w:r>
          </w:p>
        </w:tc>
        <w:tc>
          <w:tcPr>
            <w:tcW w:w="1603" w:type="pct"/>
            <w:gridSpan w:val="3"/>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20"/>
                <w:szCs w:val="20"/>
                <w:highlight w:val="none"/>
                <w:u w:val="none"/>
                <w:lang w:val="en-US" w:eastAsia="zh-CN" w:bidi="ar"/>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 xml:space="preserve"> 项目</w:t>
            </w:r>
          </w:p>
        </w:tc>
        <w:tc>
          <w:tcPr>
            <w:tcW w:w="2337" w:type="pct"/>
            <w:gridSpan w:val="6"/>
            <w:vMerge w:val="restart"/>
            <w:tcBorders>
              <w:top w:val="single" w:color="auto" w:sz="4" w:space="0"/>
              <w:left w:val="single" w:color="auto" w:sz="4" w:space="0"/>
              <w:right w:val="single" w:color="000000" w:sz="4" w:space="0"/>
            </w:tcBorders>
            <w:noWrap w:val="0"/>
            <w:vAlign w:val="center"/>
          </w:tcPr>
          <w:p>
            <w:pPr>
              <w:keepNext w:val="0"/>
              <w:keepLines w:val="0"/>
              <w:widowControl/>
              <w:suppressLineNumbers w:val="0"/>
              <w:jc w:val="center"/>
              <w:textAlignment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本年支出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2662" w:type="pct"/>
            <w:gridSpan w:val="3"/>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c>
          <w:tcPr>
            <w:tcW w:w="2337" w:type="pct"/>
            <w:gridSpan w:val="6"/>
            <w:vMerge w:val="continue"/>
            <w:tcBorders>
              <w:left w:val="single" w:color="auto" w:sz="4" w:space="0"/>
              <w:bottom w:val="single" w:color="000000" w:sz="4" w:space="0"/>
              <w:right w:val="single" w:color="000000" w:sz="4" w:space="0"/>
            </w:tcBorders>
            <w:noWrap w:val="0"/>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科目代码</w:t>
            </w:r>
          </w:p>
        </w:tc>
        <w:tc>
          <w:tcPr>
            <w:tcW w:w="1074" w:type="pct"/>
            <w:gridSpan w:val="2"/>
            <w:vMerge w:val="restart"/>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科目名称</w:t>
            </w:r>
          </w:p>
        </w:tc>
        <w:tc>
          <w:tcPr>
            <w:tcW w:w="709" w:type="pct"/>
            <w:gridSpan w:val="2"/>
            <w:vMerge w:val="restart"/>
            <w:tcBorders>
              <w:top w:val="nil"/>
              <w:left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合计</w:t>
            </w:r>
          </w:p>
        </w:tc>
        <w:tc>
          <w:tcPr>
            <w:tcW w:w="709" w:type="pct"/>
            <w:gridSpan w:val="3"/>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基本支出</w:t>
            </w:r>
          </w:p>
        </w:tc>
        <w:tc>
          <w:tcPr>
            <w:tcW w:w="919" w:type="pct"/>
            <w:vMerge w:val="restart"/>
            <w:tcBorders>
              <w:top w:val="nil"/>
              <w:left w:val="nil"/>
              <w:right w:val="single" w:color="000000" w:sz="4" w:space="0"/>
            </w:tcBorders>
            <w:noWrap w:val="0"/>
            <w:vAlign w:val="center"/>
          </w:tcPr>
          <w:p>
            <w:pPr>
              <w:jc w:val="center"/>
              <w:rPr>
                <w:rFonts w:hint="default" w:ascii="方正仿宋_GB2312" w:hAnsi="方正仿宋_GB2312" w:eastAsia="方正仿宋_GB2312" w:cs="方正仿宋_GB2312"/>
                <w:i w:val="0"/>
                <w:iCs w:val="0"/>
                <w:color w:val="000000"/>
                <w:sz w:val="20"/>
                <w:szCs w:val="20"/>
                <w:highlight w:val="none"/>
                <w:u w:val="none"/>
                <w:lang w:val="en-US" w:eastAsia="zh-CN"/>
              </w:rPr>
            </w:pPr>
            <w:r>
              <w:rPr>
                <w:rFonts w:hint="eastAsia" w:ascii="方正仿宋_GB2312" w:hAnsi="方正仿宋_GB2312" w:eastAsia="方正仿宋_GB2312" w:cs="方正仿宋_GB2312"/>
                <w:i w:val="0"/>
                <w:iCs w:val="0"/>
                <w:color w:val="000000"/>
                <w:sz w:val="20"/>
                <w:szCs w:val="20"/>
                <w:highlight w:val="none"/>
                <w:u w:val="none"/>
                <w:lang w:val="en-US" w:eastAsia="zh-CN"/>
              </w:rPr>
              <w:t>项目支出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2" w:hRule="atLeast"/>
        </w:trPr>
        <w:tc>
          <w:tcPr>
            <w:tcW w:w="1587" w:type="pct"/>
            <w:vMerge w:val="continue"/>
            <w:tcBorders>
              <w:top w:val="single" w:color="auto" w:sz="4" w:space="0"/>
              <w:left w:val="single" w:color="auto" w:sz="4" w:space="0"/>
              <w:bottom w:val="single" w:color="auto"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1074" w:type="pct"/>
            <w:gridSpan w:val="2"/>
            <w:vMerge w:val="continue"/>
            <w:tcBorders>
              <w:top w:val="single" w:color="auto" w:sz="4" w:space="0"/>
              <w:left w:val="nil"/>
              <w:bottom w:val="single" w:color="auto" w:sz="4" w:space="0"/>
              <w:right w:val="single" w:color="auto"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2"/>
            <w:vMerge w:val="continue"/>
            <w:tcBorders>
              <w:left w:val="single" w:color="auto" w:sz="4" w:space="0"/>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709" w:type="pct"/>
            <w:gridSpan w:val="3"/>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c>
          <w:tcPr>
            <w:tcW w:w="919" w:type="pct"/>
            <w:vMerge w:val="continue"/>
            <w:tcBorders>
              <w:left w:val="nil"/>
              <w:bottom w:val="single" w:color="000000" w:sz="4" w:space="0"/>
              <w:right w:val="single" w:color="000000" w:sz="4" w:space="0"/>
            </w:tcBorders>
            <w:noWrap w:val="0"/>
            <w:vAlign w:val="center"/>
          </w:tcPr>
          <w:p>
            <w:pPr>
              <w:jc w:val="center"/>
              <w:rPr>
                <w:rFonts w:hint="eastAsia" w:ascii="方正仿宋_GB2312" w:hAnsi="方正仿宋_GB2312" w:eastAsia="方正仿宋_GB2312" w:cs="方正仿宋_GB2312"/>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auto" w:sz="4" w:space="0"/>
              <w:left w:val="single" w:color="auto" w:sz="4" w:space="0"/>
              <w:bottom w:val="single" w:color="000000" w:sz="4" w:space="0"/>
              <w:right w:val="single" w:color="auto"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栏次</w:t>
            </w:r>
          </w:p>
        </w:tc>
        <w:tc>
          <w:tcPr>
            <w:tcW w:w="706" w:type="pct"/>
            <w:tcBorders>
              <w:top w:val="nil"/>
              <w:left w:val="single" w:color="auto"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1</w:t>
            </w:r>
          </w:p>
        </w:tc>
        <w:tc>
          <w:tcPr>
            <w:tcW w:w="70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2</w:t>
            </w:r>
          </w:p>
        </w:tc>
        <w:tc>
          <w:tcPr>
            <w:tcW w:w="924"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Times New Roman" w:hAnsi="Times New Roman" w:eastAsia="方正仿宋_GB2312"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2662" w:type="pct"/>
            <w:gridSpan w:val="3"/>
            <w:tcBorders>
              <w:top w:val="single" w:color="000000" w:sz="4" w:space="0"/>
              <w:left w:val="single" w:color="000000" w:sz="4" w:space="0"/>
              <w:bottom w:val="single" w:color="000000" w:sz="4" w:space="0"/>
              <w:right w:val="single" w:color="000000" w:sz="4" w:space="0"/>
            </w:tcBorders>
            <w:noWrap/>
            <w:vAlign w:val="center"/>
          </w:tcPr>
          <w:p>
            <w:pPr>
              <w:jc w:val="center"/>
              <w:rPr>
                <w:rFonts w:hint="default" w:ascii="Times New Roman" w:hAnsi="Times New Roman" w:eastAsia="宋体" w:cs="Times New Roman"/>
                <w:i w:val="0"/>
                <w:iCs w:val="0"/>
                <w:color w:val="000000"/>
                <w:sz w:val="20"/>
                <w:szCs w:val="20"/>
                <w:highlight w:val="none"/>
                <w:u w:val="none"/>
                <w:lang w:val="en-US" w:eastAsia="zh-CN"/>
              </w:rPr>
            </w:pPr>
            <w:r>
              <w:rPr>
                <w:rFonts w:hint="eastAsia" w:ascii="Times New Roman" w:hAnsi="Times New Roman" w:eastAsia="方正仿宋_GB2312" w:cs="Times New Roman"/>
                <w:i w:val="0"/>
                <w:iCs w:val="0"/>
                <w:color w:val="000000"/>
                <w:sz w:val="20"/>
                <w:szCs w:val="20"/>
                <w:highlight w:val="none"/>
                <w:u w:val="none"/>
                <w:lang w:val="en-US" w:eastAsia="zh-CN"/>
              </w:rPr>
              <w:t>合计</w:t>
            </w:r>
          </w:p>
        </w:tc>
        <w:tc>
          <w:tcPr>
            <w:tcW w:w="706" w:type="pct"/>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706" w:type="pct"/>
            <w:gridSpan w:val="3"/>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c>
          <w:tcPr>
            <w:tcW w:w="924" w:type="pct"/>
            <w:gridSpan w:val="2"/>
            <w:tcBorders>
              <w:top w:val="single" w:color="000000" w:sz="4" w:space="0"/>
              <w:left w:val="single" w:color="000000" w:sz="4" w:space="0"/>
              <w:bottom w:val="single" w:color="000000" w:sz="4" w:space="0"/>
              <w:right w:val="single" w:color="000000" w:sz="4" w:space="0"/>
            </w:tcBorders>
            <w:noWrap/>
            <w:vAlign w:val="center"/>
          </w:tcPr>
          <w:p>
            <w:pPr>
              <w:jc w:val="right"/>
              <w:rPr>
                <w:rFonts w:hint="default" w:ascii="Times New Roman" w:hAnsi="Times New Roman" w:eastAsia="宋体" w:cs="Times New Roman"/>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8" w:hRule="atLeast"/>
        </w:trPr>
        <w:tc>
          <w:tcPr>
            <w:tcW w:w="5000" w:type="pct"/>
            <w:gridSpan w:val="9"/>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方正仿宋_GB2312" w:hAnsi="方正仿宋_GB2312" w:eastAsia="方正仿宋_GB2312" w:cs="方正仿宋_GB2312"/>
                <w:i w:val="0"/>
                <w:iCs w:val="0"/>
                <w:color w:val="000000"/>
                <w:kern w:val="0"/>
                <w:sz w:val="20"/>
                <w:szCs w:val="20"/>
                <w:highlight w:val="none"/>
                <w:u w:val="none"/>
                <w:lang w:val="en-US" w:eastAsia="zh-CN" w:bidi="ar"/>
              </w:rPr>
              <w:t>注：本表反映部门本年度国有资本经营预算财政拨款支出情况。本部门本年度无相关收入（或支出、收支及结转结余等）情况，按要求空表列示。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tbl>
      <w:tblPr>
        <w:tblStyle w:val="11"/>
        <w:tblpPr w:leftFromText="180" w:rightFromText="180" w:vertAnchor="text" w:horzAnchor="page" w:tblpX="282" w:tblpY="39"/>
        <w:tblOverlap w:val="never"/>
        <w:tblW w:w="7211"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87"/>
        <w:gridCol w:w="1226"/>
        <w:gridCol w:w="814"/>
        <w:gridCol w:w="946"/>
        <w:gridCol w:w="519"/>
        <w:gridCol w:w="544"/>
        <w:gridCol w:w="777"/>
        <w:gridCol w:w="845"/>
        <w:gridCol w:w="5"/>
        <w:gridCol w:w="1133"/>
        <w:gridCol w:w="640"/>
        <w:gridCol w:w="1027"/>
        <w:gridCol w:w="946"/>
        <w:gridCol w:w="118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0" w:hRule="atLeast"/>
        </w:trPr>
        <w:tc>
          <w:tcPr>
            <w:tcW w:w="5000" w:type="pct"/>
            <w:gridSpan w:val="14"/>
            <w:tcBorders>
              <w:top w:val="nil"/>
              <w:left w:val="nil"/>
              <w:bottom w:val="nil"/>
              <w:right w:val="nil"/>
            </w:tcBorders>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b w:val="0"/>
                <w:bCs/>
                <w:color w:val="auto"/>
                <w:kern w:val="0"/>
                <w:sz w:val="32"/>
                <w:szCs w:val="32"/>
                <w:highlight w:val="none"/>
                <w:lang w:val="en-US" w:eastAsia="zh-CN"/>
              </w:rPr>
              <w:t>财政拨款“三公”经费支出决算表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5000" w:type="pct"/>
            <w:gridSpan w:val="14"/>
            <w:tcBorders>
              <w:top w:val="nil"/>
              <w:left w:val="nil"/>
              <w:bottom w:val="nil"/>
              <w:right w:val="nil"/>
            </w:tcBorders>
            <w:noWrap/>
            <w:vAlign w:val="bottom"/>
          </w:tcPr>
          <w:p>
            <w:pPr>
              <w:keepNext w:val="0"/>
              <w:keepLines w:val="0"/>
              <w:widowControl/>
              <w:suppressLineNumbers w:val="0"/>
              <w:jc w:val="righ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公开</w:t>
            </w:r>
            <w:r>
              <w:rPr>
                <w:rFonts w:hint="default" w:ascii="Times New Roman" w:hAnsi="Times New Roman" w:eastAsia="方正仿宋_GB2312" w:cs="Times New Roman"/>
                <w:i w:val="0"/>
                <w:iCs w:val="0"/>
                <w:color w:val="000000"/>
                <w:kern w:val="0"/>
                <w:sz w:val="18"/>
                <w:szCs w:val="18"/>
                <w:highlight w:val="none"/>
                <w:u w:val="none"/>
                <w:lang w:val="en-US" w:eastAsia="zh-CN" w:bidi="ar"/>
              </w:rPr>
              <w:t>09</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0" w:hRule="atLeast"/>
        </w:trPr>
        <w:tc>
          <w:tcPr>
            <w:tcW w:w="1936" w:type="pct"/>
            <w:gridSpan w:val="5"/>
            <w:tcBorders>
              <w:top w:val="nil"/>
              <w:left w:val="nil"/>
              <w:bottom w:val="single" w:color="auto" w:sz="4" w:space="0"/>
              <w:right w:val="nil"/>
            </w:tcBorders>
            <w:noWrap/>
            <w:vAlign w:val="bottom"/>
          </w:tcPr>
          <w:p>
            <w:pPr>
              <w:keepNext w:val="0"/>
              <w:keepLines w:val="0"/>
              <w:widowControl/>
              <w:suppressLineNumbers w:val="0"/>
              <w:jc w:val="left"/>
              <w:textAlignment w:val="bottom"/>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部门（单位）：中共石家庄市鹿泉区委老干部局(本级)</w:t>
            </w:r>
          </w:p>
        </w:tc>
        <w:tc>
          <w:tcPr>
            <w:tcW w:w="933" w:type="pct"/>
            <w:gridSpan w:val="3"/>
            <w:tcBorders>
              <w:top w:val="nil"/>
              <w:left w:val="nil"/>
              <w:bottom w:val="single" w:color="auto" w:sz="4" w:space="0"/>
              <w:right w:val="nil"/>
            </w:tcBorders>
            <w:noWrap/>
            <w:vAlign w:val="bottom"/>
          </w:tcPr>
          <w:p>
            <w:pPr>
              <w:keepNext w:val="0"/>
              <w:keepLines w:val="0"/>
              <w:widowControl/>
              <w:suppressLineNumbers w:val="0"/>
              <w:jc w:val="center"/>
              <w:textAlignment w:val="bottom"/>
              <w:rPr>
                <w:rFonts w:hint="default" w:ascii="宋体" w:hAnsi="宋体" w:eastAsia="宋体" w:cs="宋体"/>
                <w:i w:val="0"/>
                <w:iCs w:val="0"/>
                <w:color w:val="000000"/>
                <w:kern w:val="0"/>
                <w:sz w:val="18"/>
                <w:szCs w:val="18"/>
                <w:highlight w:val="none"/>
                <w:u w:val="none"/>
                <w:lang w:val="en-US" w:eastAsia="zh-CN" w:bidi="ar"/>
              </w:rPr>
            </w:pPr>
            <w:r>
              <w:rPr>
                <w:rFonts w:hint="default" w:ascii="Times New Roman" w:hAnsi="Times New Roman" w:eastAsia="宋体" w:cs="Times New Roman"/>
                <w:i w:val="0"/>
                <w:iCs w:val="0"/>
                <w:color w:val="000000"/>
                <w:kern w:val="0"/>
                <w:sz w:val="18"/>
                <w:szCs w:val="18"/>
                <w:highlight w:val="none"/>
                <w:u w:val="none"/>
                <w:lang w:val="en-US" w:eastAsia="zh-CN" w:bidi="ar"/>
              </w:rPr>
              <w:t>202</w:t>
            </w:r>
            <w:r>
              <w:rPr>
                <w:rFonts w:hint="eastAsia" w:ascii="Times New Roman" w:hAnsi="Times New Roman" w:eastAsia="宋体" w:cs="Times New Roman"/>
                <w:i w:val="0"/>
                <w:iCs w:val="0"/>
                <w:color w:val="000000"/>
                <w:kern w:val="0"/>
                <w:sz w:val="18"/>
                <w:szCs w:val="18"/>
                <w:highlight w:val="none"/>
                <w:u w:val="none"/>
                <w:lang w:val="en-US" w:eastAsia="zh-CN" w:bidi="ar"/>
              </w:rPr>
              <w:t>4</w:t>
            </w: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年度</w:t>
            </w:r>
          </w:p>
        </w:tc>
        <w:tc>
          <w:tcPr>
            <w:tcW w:w="2129" w:type="pct"/>
            <w:gridSpan w:val="6"/>
            <w:tcBorders>
              <w:top w:val="nil"/>
              <w:left w:val="nil"/>
              <w:bottom w:val="single" w:color="auto" w:sz="4" w:space="0"/>
              <w:right w:val="nil"/>
            </w:tcBorders>
            <w:noWrap/>
            <w:vAlign w:val="bottom"/>
          </w:tcPr>
          <w:p>
            <w:pPr>
              <w:keepNext w:val="0"/>
              <w:keepLines w:val="0"/>
              <w:widowControl/>
              <w:suppressLineNumbers w:val="0"/>
              <w:jc w:val="right"/>
              <w:textAlignment w:val="bottom"/>
              <w:rPr>
                <w:rFonts w:hint="default" w:ascii="宋体" w:hAnsi="宋体" w:eastAsia="宋体" w:cs="宋体"/>
                <w:i w:val="0"/>
                <w:iCs w:val="0"/>
                <w:color w:val="000000"/>
                <w:kern w:val="0"/>
                <w:sz w:val="18"/>
                <w:szCs w:val="18"/>
                <w:highlight w:val="none"/>
                <w:u w:val="none"/>
                <w:lang w:val="en-US" w:eastAsia="zh-CN" w:bidi="ar"/>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2506" w:type="pct"/>
            <w:gridSpan w:val="7"/>
            <w:tcBorders>
              <w:top w:val="single" w:color="auto" w:sz="4" w:space="0"/>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预算数</w:t>
            </w:r>
          </w:p>
        </w:tc>
        <w:tc>
          <w:tcPr>
            <w:tcW w:w="2493" w:type="pct"/>
            <w:gridSpan w:val="7"/>
            <w:tcBorders>
              <w:top w:val="single" w:color="auto" w:sz="4" w:space="0"/>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决算数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restar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52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217" w:type="pct"/>
            <w:gridSpan w:val="4"/>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335"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c>
          <w:tcPr>
            <w:tcW w:w="366" w:type="pct"/>
            <w:gridSpan w:val="2"/>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合计</w:t>
            </w:r>
          </w:p>
        </w:tc>
        <w:tc>
          <w:tcPr>
            <w:tcW w:w="488"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因公出国（境）费</w:t>
            </w:r>
          </w:p>
        </w:tc>
        <w:tc>
          <w:tcPr>
            <w:tcW w:w="1126" w:type="pct"/>
            <w:gridSpan w:val="3"/>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公务用车购置及运行维护费</w:t>
            </w:r>
          </w:p>
        </w:tc>
        <w:tc>
          <w:tcPr>
            <w:tcW w:w="511" w:type="pct"/>
            <w:vMerge w:val="restar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公务接待费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vMerge w:val="continue"/>
            <w:tcBorders>
              <w:top w:val="nil"/>
              <w:left w:val="single" w:color="000000" w:sz="4" w:space="0"/>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52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335"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366" w:type="pct"/>
            <w:gridSpan w:val="2"/>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488"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小计</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公务用车购置费</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eastAsia" w:ascii="方正仿宋_GB2312" w:hAnsi="方正仿宋_GB2312" w:eastAsia="方正仿宋_GB2312" w:cs="方正仿宋_GB2312"/>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公务用车运行维护费</w:t>
            </w:r>
          </w:p>
        </w:tc>
        <w:tc>
          <w:tcPr>
            <w:tcW w:w="511" w:type="pct"/>
            <w:vMerge w:val="continue"/>
            <w:tcBorders>
              <w:top w:val="nil"/>
              <w:left w:val="nil"/>
              <w:bottom w:val="single" w:color="000000" w:sz="4" w:space="0"/>
              <w:right w:val="single" w:color="000000" w:sz="4" w:space="0"/>
            </w:tcBorders>
            <w:noWrap/>
            <w:vAlign w:val="center"/>
          </w:tcPr>
          <w:p>
            <w:pPr>
              <w:jc w:val="center"/>
              <w:rPr>
                <w:rFonts w:hint="eastAsia" w:ascii="方正仿宋_GB2312" w:hAnsi="方正仿宋_GB2312" w:eastAsia="方正仿宋_GB2312" w:cs="方正仿宋_GB2312"/>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w:t>
            </w:r>
          </w:p>
        </w:tc>
        <w:tc>
          <w:tcPr>
            <w:tcW w:w="52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2</w:t>
            </w:r>
          </w:p>
        </w:tc>
        <w:tc>
          <w:tcPr>
            <w:tcW w:w="350"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3</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4</w:t>
            </w:r>
          </w:p>
        </w:tc>
        <w:tc>
          <w:tcPr>
            <w:tcW w:w="458"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5</w:t>
            </w:r>
          </w:p>
        </w:tc>
        <w:tc>
          <w:tcPr>
            <w:tcW w:w="33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6</w:t>
            </w:r>
          </w:p>
        </w:tc>
        <w:tc>
          <w:tcPr>
            <w:tcW w:w="366" w:type="pct"/>
            <w:gridSpan w:val="2"/>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7</w:t>
            </w:r>
          </w:p>
        </w:tc>
        <w:tc>
          <w:tcPr>
            <w:tcW w:w="488"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8</w:t>
            </w:r>
          </w:p>
        </w:tc>
        <w:tc>
          <w:tcPr>
            <w:tcW w:w="275"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9</w:t>
            </w:r>
          </w:p>
        </w:tc>
        <w:tc>
          <w:tcPr>
            <w:tcW w:w="442"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10</w:t>
            </w:r>
          </w:p>
        </w:tc>
        <w:tc>
          <w:tcPr>
            <w:tcW w:w="407"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11</w:t>
            </w:r>
          </w:p>
        </w:tc>
        <w:tc>
          <w:tcPr>
            <w:tcW w:w="511" w:type="pct"/>
            <w:tcBorders>
              <w:top w:val="nil"/>
              <w:left w:val="nil"/>
              <w:bottom w:val="single" w:color="000000" w:sz="4" w:space="0"/>
              <w:right w:val="single" w:color="000000" w:sz="4" w:space="0"/>
            </w:tcBorders>
            <w:noWrap/>
            <w:vAlign w:val="center"/>
          </w:tcPr>
          <w:p>
            <w:pPr>
              <w:keepNext w:val="0"/>
              <w:keepLines w:val="0"/>
              <w:widowControl/>
              <w:suppressLineNumbers w:val="0"/>
              <w:jc w:val="center"/>
              <w:textAlignment w:val="center"/>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kern w:val="0"/>
                <w:sz w:val="18"/>
                <w:szCs w:val="18"/>
                <w:highlight w:val="none"/>
                <w:u w:val="none"/>
                <w:lang w:val="en-US" w:eastAsia="zh-CN" w:bidi="ar"/>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425" w:type="pct"/>
            <w:tcBorders>
              <w:top w:val="nil"/>
              <w:left w:val="single" w:color="000000" w:sz="4" w:space="0"/>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0.89</w:t>
            </w:r>
          </w:p>
        </w:tc>
        <w:tc>
          <w:tcPr>
            <w:tcW w:w="52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50"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0.89</w:t>
            </w: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58"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0.89</w:t>
            </w:r>
          </w:p>
        </w:tc>
        <w:tc>
          <w:tcPr>
            <w:tcW w:w="33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366" w:type="pct"/>
            <w:gridSpan w:val="2"/>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0.89</w:t>
            </w:r>
          </w:p>
        </w:tc>
        <w:tc>
          <w:tcPr>
            <w:tcW w:w="488"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275"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0.89</w:t>
            </w:r>
          </w:p>
        </w:tc>
        <w:tc>
          <w:tcPr>
            <w:tcW w:w="442"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c>
          <w:tcPr>
            <w:tcW w:w="407"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r>
              <w:rPr>
                <w:rFonts w:hint="default" w:ascii="Times New Roman" w:hAnsi="Times New Roman" w:eastAsia="方正仿宋_GB2312" w:cs="Times New Roman"/>
                <w:i w:val="0"/>
                <w:iCs w:val="0"/>
                <w:color w:val="000000"/>
                <w:sz w:val="18"/>
                <w:szCs w:val="18"/>
                <w:highlight w:val="none"/>
                <w:u w:val="none"/>
              </w:rPr>
              <w:t>0.89</w:t>
            </w:r>
          </w:p>
        </w:tc>
        <w:tc>
          <w:tcPr>
            <w:tcW w:w="511" w:type="pct"/>
            <w:tcBorders>
              <w:top w:val="nil"/>
              <w:left w:val="nil"/>
              <w:bottom w:val="single" w:color="000000" w:sz="4" w:space="0"/>
              <w:right w:val="single" w:color="000000" w:sz="4" w:space="0"/>
            </w:tcBorders>
            <w:noWrap/>
            <w:vAlign w:val="center"/>
          </w:tcPr>
          <w:p>
            <w:pPr>
              <w:jc w:val="right"/>
              <w:rPr>
                <w:rFonts w:hint="default" w:ascii="Times New Roman" w:hAnsi="Times New Roman" w:eastAsia="方正仿宋_GB2312" w:cs="Times New Roman"/>
                <w:i w:val="0"/>
                <w:iCs w:val="0"/>
                <w:color w:val="000000"/>
                <w:sz w:val="18"/>
                <w:szCs w:val="18"/>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5000" w:type="pct"/>
            <w:gridSpan w:val="14"/>
            <w:tcBorders>
              <w:top w:val="nil"/>
              <w:left w:val="nil"/>
              <w:bottom w:val="nil"/>
              <w:right w:val="nil"/>
            </w:tcBorders>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18"/>
                <w:szCs w:val="18"/>
                <w:highlight w:val="none"/>
                <w:u w:val="none"/>
              </w:rPr>
            </w:pPr>
            <w:r>
              <w:rPr>
                <w:rFonts w:hint="eastAsia" w:ascii="方正仿宋_GB2312" w:hAnsi="方正仿宋_GB2312" w:eastAsia="方正仿宋_GB2312" w:cs="方正仿宋_GB2312"/>
                <w:i w:val="0"/>
                <w:iCs w:val="0"/>
                <w:color w:val="000000"/>
                <w:kern w:val="0"/>
                <w:sz w:val="18"/>
                <w:szCs w:val="18"/>
                <w:highlight w:val="none"/>
                <w:u w:val="none"/>
                <w:lang w:val="en-US" w:eastAsia="zh-CN" w:bidi="ar"/>
              </w:rPr>
              <w:t>注：本表反映部门本年度财政拨款“三公”经费支出预决算情况。其中：预算数为“三公”经费全年预算数，反映按规定程序调整后的预算数；决算数是包括当年财政拨款和以前年度结转资金安排的实际支出。</w:t>
            </w:r>
          </w:p>
        </w:tc>
      </w:tr>
    </w:tbl>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pPr>
    </w:p>
    <w:p>
      <w:pPr>
        <w:rPr>
          <w:rFonts w:hint="eastAsia" w:ascii="仿宋_GB2312" w:hAnsi="宋体" w:eastAsia="仿宋_GB2312"/>
          <w:b/>
          <w:color w:val="auto"/>
          <w:kern w:val="0"/>
          <w:sz w:val="32"/>
          <w:szCs w:val="32"/>
          <w:highlight w:val="none"/>
        </w:rPr>
      </w:pPr>
      <w:r>
        <w:rPr>
          <w:rFonts w:hint="eastAsia" w:ascii="仿宋_GB2312" w:hAnsi="宋体" w:eastAsia="仿宋_GB2312"/>
          <w:b/>
          <w:color w:val="auto"/>
          <w:kern w:val="0"/>
          <w:sz w:val="32"/>
          <w:szCs w:val="32"/>
          <w:highlight w:val="none"/>
        </w:rPr>
        <w:br w:type="page"/>
      </w:r>
    </w:p>
    <w:p>
      <w:pPr>
        <w:keepNext w:val="0"/>
        <w:keepLines w:val="0"/>
        <w:pageBreakBefore w:val="0"/>
        <w:widowControl w:val="0"/>
        <w:kinsoku/>
        <w:wordWrap/>
        <w:overflowPunct/>
        <w:topLinePunct w:val="0"/>
        <w:autoSpaceDE/>
        <w:autoSpaceDN/>
        <w:bidi w:val="0"/>
        <w:adjustRightInd/>
        <w:snapToGrid/>
        <w:spacing w:line="240" w:lineRule="auto"/>
        <w:jc w:val="both"/>
        <w:textAlignment w:val="auto"/>
        <w:outlineLvl w:val="9"/>
        <w:rPr>
          <w:rFonts w:hint="eastAsia" w:ascii="仿宋_GB2312" w:hAnsi="宋体" w:eastAsia="仿宋_GB2312"/>
          <w:b/>
          <w:color w:val="auto"/>
          <w:kern w:val="0"/>
          <w:sz w:val="32"/>
          <w:szCs w:val="32"/>
          <w:highlight w:val="none"/>
        </w:rPr>
        <w:sectPr>
          <w:headerReference r:id="rId9" w:type="default"/>
          <w:footerReference r:id="rId10" w:type="default"/>
          <w:pgSz w:w="11906" w:h="16838"/>
          <w:pgMar w:top="1531" w:right="1984" w:bottom="1531" w:left="2098" w:header="851" w:footer="992" w:gutter="0"/>
          <w:pgBorders>
            <w:top w:val="none" w:sz="0" w:space="0"/>
            <w:left w:val="none" w:sz="0" w:space="0"/>
            <w:bottom w:val="none" w:sz="0" w:space="0"/>
            <w:right w:val="none" w:sz="0" w:space="0"/>
          </w:pgBorders>
          <w:cols w:space="720" w:num="1"/>
          <w:docGrid w:type="lines" w:linePitch="312" w:charSpace="0"/>
        </w:sectPr>
      </w:pPr>
    </w:p>
    <w:p>
      <w:pPr>
        <w:widowControl/>
        <w:spacing w:before="0" w:beforeLines="0" w:beforeAutospacing="0" w:after="0" w:afterLines="0" w:afterAutospacing="0" w:line="360" w:lineRule="auto"/>
        <w:jc w:val="center"/>
        <w:outlineLvl w:val="0"/>
        <w:rPr>
          <w:rFonts w:ascii="Times New Roman" w:eastAsia="黑体"/>
          <w:sz w:val="44"/>
          <w:szCs w:val="44"/>
          <w:highlight w:val="none"/>
        </w:rPr>
      </w:pPr>
      <w:r>
        <w:rPr>
          <w:rFonts w:ascii="Times New Roman" w:eastAsia="黑体"/>
          <w:b w:val="0"/>
          <w:sz w:val="44"/>
          <w:szCs w:val="44"/>
          <w:highlight w:val="none"/>
        </w:rPr>
        <w:t>第三部分   </w:t>
      </w:r>
      <w:r>
        <w:rPr>
          <w:rFonts w:ascii="Times New Roman" w:eastAsia="仿宋_GB2312"/>
          <w:b w:val="0"/>
          <w:sz w:val="44"/>
          <w:szCs w:val="44"/>
          <w:highlight w:val="none"/>
        </w:rPr>
        <w:t>2024</w:t>
      </w:r>
      <w:r>
        <w:rPr>
          <w:rFonts w:ascii="Times New Roman" w:eastAsia="黑体"/>
          <w:b w:val="0"/>
          <w:sz w:val="44"/>
          <w:szCs w:val="44"/>
          <w:highlight w:val="none"/>
        </w:rPr>
        <w:t>年度部门决算情况说明</w:t>
      </w:r>
    </w:p>
    <w:p>
      <w:pPr>
        <w:widowControl/>
        <w:spacing w:before="0" w:beforeLines="0" w:beforeAutospacing="0" w:after="0" w:afterLines="0" w:afterAutospacing="0" w:line="360" w:lineRule="auto"/>
        <w:jc w:val="left"/>
        <w:outlineLvl w:val="1"/>
        <w:rPr>
          <w:rFonts w:ascii="Times New Roman" w:eastAsia="黑体"/>
          <w:sz w:val="32"/>
          <w:szCs w:val="32"/>
          <w:highlight w:val="none"/>
        </w:rPr>
      </w:pPr>
      <w:r>
        <w:rPr>
          <w:rFonts w:ascii="Times New Roman" w:eastAsia="黑体"/>
          <w:b w:val="0"/>
          <w:sz w:val="32"/>
          <w:szCs w:val="32"/>
          <w:highlight w:val="none"/>
        </w:rPr>
        <w:t>一、收入支出决算总体情况说明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本单位2024年度收、支总计（含结转和结余）均为497.29万元。与2023年度决算相比，收支各减少66.55万元，下降11.8%，主要原因是</w:t>
      </w:r>
      <w:r>
        <w:rPr>
          <w:rFonts w:hint="eastAsia" w:ascii="Times New Roman" w:hAnsi="Times New Roman" w:eastAsia="仿宋_GB2312" w:cs="Times New Roman"/>
          <w:kern w:val="2"/>
          <w:sz w:val="32"/>
          <w:szCs w:val="32"/>
          <w:highlight w:val="none"/>
          <w:lang w:val="en-US" w:eastAsia="zh-CN"/>
        </w:rPr>
        <w:t>人员经费、公用经费和项目支出均减少</w:t>
      </w:r>
      <w:r>
        <w:rPr>
          <w:rFonts w:ascii="Times New Roman" w:eastAsia="仿宋_GB2312"/>
          <w:b w:val="0"/>
          <w:sz w:val="32"/>
          <w:szCs w:val="32"/>
          <w:highlight w:val="none"/>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Arial" w:cs="Times New Roman"/>
          <w:highlight w:val="none"/>
        </w:rPr>
      </w:pPr>
      <w:r>
        <w:rPr>
          <w:rFonts w:hint="eastAsia" w:ascii="Times New Roman" w:hAnsi="Times New Roman" w:eastAsia="宋体"/>
          <w:highlight w:val="none"/>
        </w:rPr>
        <w:drawing>
          <wp:inline distT="0" distB="0" distL="114300" distR="114300">
            <wp:extent cx="5256530" cy="2988310"/>
            <wp:effectExtent l="5080" t="4445" r="8890" b="17145"/>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Pr>
          <w:rFonts w:hint="default" w:ascii="Times New Roman" w:hAnsi="Times New Roman" w:eastAsia="Arial" w:cs="Times New Roman"/>
          <w:i w:val="0"/>
          <w:iCs w:val="0"/>
          <w:caps w:val="0"/>
          <w:color w:val="000000"/>
          <w:spacing w:val="0"/>
          <w:sz w:val="18"/>
          <w:szCs w:val="18"/>
          <w:highlight w:val="none"/>
          <w:shd w:val="clear" w:fill="FFFFFF"/>
        </w:rPr>
        <w:t> </w:t>
      </w:r>
    </w:p>
    <w:p>
      <w:pPr>
        <w:widowControl/>
        <w:spacing w:before="0" w:beforeLines="0" w:beforeAutospacing="0" w:after="0" w:afterLines="0" w:afterAutospacing="0" w:line="360" w:lineRule="auto"/>
        <w:jc w:val="left"/>
        <w:outlineLvl w:val="1"/>
        <w:rPr>
          <w:rFonts w:ascii="Times New Roman" w:eastAsia="黑体"/>
          <w:sz w:val="32"/>
          <w:szCs w:val="32"/>
          <w:highlight w:val="none"/>
        </w:rPr>
      </w:pPr>
      <w:r>
        <w:rPr>
          <w:rFonts w:ascii="Times New Roman" w:eastAsia="黑体"/>
          <w:b w:val="0"/>
          <w:sz w:val="32"/>
          <w:szCs w:val="32"/>
          <w:highlight w:val="none"/>
        </w:rPr>
        <w:t>二、收入决算情况说明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本单位2024年度本年收入合计497.29万元，其中：财政拨款收入497.29万元，占100%；上级补助收入0万元，占0%；事业收入0万元，占0%；经营收入0万元，占0%；附属单位上缴收入0万元，占0%；其他收入0万元，占0%。</w:t>
      </w:r>
    </w:p>
    <w:p>
      <w:pPr>
        <w:adjustRightInd w:val="0"/>
        <w:snapToGrid w:val="0"/>
        <w:spacing w:line="580" w:lineRule="exact"/>
        <w:jc w:val="both"/>
        <w:rPr>
          <w:rFonts w:hint="default" w:ascii="Times New Roman" w:hAnsi="Times New Roman" w:eastAsia="仿宋_GB2312" w:cs="Times New Roman"/>
          <w:kern w:val="2"/>
          <w:sz w:val="32"/>
          <w:szCs w:val="32"/>
          <w:highlight w:val="none"/>
          <w:lang w:val="zh-CN"/>
        </w:rPr>
      </w:pPr>
      <w:r>
        <w:rPr>
          <w:rFonts w:ascii="Times New Roman" w:hAnsi="Times New Roman" w:eastAsia="仿宋_GB2312"/>
          <w:kern w:val="2"/>
          <w:sz w:val="32"/>
          <w:szCs w:val="32"/>
          <w:highlight w:val="none"/>
          <w:lang w:val="zh-CN"/>
        </w:rPr>
        <w:drawing>
          <wp:anchor distT="0" distB="0" distL="114300" distR="114300" simplePos="0" relativeHeight="251661312" behindDoc="0" locked="0" layoutInCell="1" allowOverlap="1">
            <wp:simplePos x="0" y="0"/>
            <wp:positionH relativeFrom="column">
              <wp:posOffset>-16510</wp:posOffset>
            </wp:positionH>
            <wp:positionV relativeFrom="paragraph">
              <wp:posOffset>201930</wp:posOffset>
            </wp:positionV>
            <wp:extent cx="5256530" cy="2988310"/>
            <wp:effectExtent l="5080" t="4445" r="8890" b="17145"/>
            <wp:wrapTopAndBottom/>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pPr>
        <w:widowControl/>
        <w:spacing w:before="0" w:beforeLines="0" w:beforeAutospacing="0" w:after="0" w:afterLines="0" w:afterAutospacing="0" w:line="360" w:lineRule="auto"/>
        <w:jc w:val="left"/>
        <w:outlineLvl w:val="1"/>
        <w:rPr>
          <w:rFonts w:ascii="Times New Roman" w:eastAsia="黑体"/>
          <w:sz w:val="32"/>
          <w:szCs w:val="32"/>
          <w:highlight w:val="none"/>
        </w:rPr>
      </w:pPr>
      <w:r>
        <w:rPr>
          <w:rFonts w:ascii="Times New Roman" w:eastAsia="黑体"/>
          <w:b w:val="0"/>
          <w:sz w:val="32"/>
          <w:szCs w:val="32"/>
          <w:highlight w:val="none"/>
        </w:rPr>
        <w:t>三、支出决算情况说明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本单位2024年度本年支出合计497.29万元，其中：基本支出440.97万元，占88.7%；项目支出56.32万元，占11.3%；上缴上级支出0万元，占0%；经营支出0万元，占0%；对附属单位补助支出0万元，占0%。</w:t>
      </w:r>
    </w:p>
    <w:p>
      <w:pPr>
        <w:autoSpaceDE w:val="0"/>
        <w:autoSpaceDN w:val="0"/>
        <w:adjustRightInd w:val="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cs="Times New Roman"/>
          <w:sz w:val="32"/>
          <w:szCs w:val="32"/>
          <w:highlight w:val="none"/>
        </w:rPr>
        <w:drawing>
          <wp:inline distT="0" distB="0" distL="114300" distR="114300">
            <wp:extent cx="5256530" cy="2988310"/>
            <wp:effectExtent l="5080" t="4445" r="11430" b="9525"/>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highlight w:val="none"/>
        </w:rPr>
      </w:pPr>
      <w:r>
        <w:rPr>
          <w:rFonts w:ascii="Times New Roman" w:eastAsia="黑体"/>
          <w:b w:val="0"/>
          <w:sz w:val="32"/>
          <w:szCs w:val="32"/>
          <w:highlight w:val="none"/>
        </w:rPr>
        <w:t>四、财政拨款收入支出决算总体情况说明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highlight w:val="none"/>
        </w:rPr>
      </w:pPr>
      <w:r>
        <w:rPr>
          <w:rFonts w:ascii="Times New Roman" w:eastAsia="楷体_GB2312"/>
          <w:b/>
          <w:sz w:val="32"/>
          <w:szCs w:val="32"/>
          <w:highlight w:val="none"/>
        </w:rPr>
        <w:t>（一）财政拨款收支与</w:t>
      </w:r>
      <w:r>
        <w:rPr>
          <w:rFonts w:ascii="Times New Roman" w:eastAsia="仿宋_GB2312"/>
          <w:b/>
          <w:sz w:val="32"/>
          <w:szCs w:val="32"/>
          <w:highlight w:val="none"/>
        </w:rPr>
        <w:t>2023</w:t>
      </w:r>
      <w:r>
        <w:rPr>
          <w:rFonts w:ascii="Times New Roman" w:eastAsia="楷体_GB2312"/>
          <w:b/>
          <w:sz w:val="32"/>
          <w:szCs w:val="32"/>
          <w:highlight w:val="none"/>
        </w:rPr>
        <w:t>年度决算对比情况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本单位2024年度财政拨款收、支总计（含结转和结余）均为497.29万元。与2023年度相比，财政拨款收支各减少66.55万元，降低11.8%，主要原因是</w:t>
      </w:r>
      <w:r>
        <w:rPr>
          <w:rFonts w:hint="eastAsia" w:ascii="Times New Roman" w:eastAsia="仿宋_GB2312"/>
          <w:b w:val="0"/>
          <w:sz w:val="32"/>
          <w:szCs w:val="32"/>
          <w:highlight w:val="none"/>
        </w:rPr>
        <w:t>人员经费、公用经费和项目支出均减少</w:t>
      </w:r>
      <w:r>
        <w:rPr>
          <w:rFonts w:ascii="Times New Roman" w:eastAsia="仿宋_GB2312"/>
          <w:b w:val="0"/>
          <w:sz w:val="32"/>
          <w:szCs w:val="32"/>
          <w:highlight w:val="none"/>
        </w:rPr>
        <w:t>。</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本单位2024年度财政拨款本年收入497.29万元,比上年减少66.55万元，降低11.8%，主要原因是</w:t>
      </w:r>
      <w:r>
        <w:rPr>
          <w:rFonts w:hint="eastAsia" w:ascii="Times New Roman" w:eastAsia="仿宋_GB2312"/>
          <w:b w:val="0"/>
          <w:sz w:val="32"/>
          <w:szCs w:val="32"/>
          <w:highlight w:val="none"/>
        </w:rPr>
        <w:t>人员经费、公用经费和项目支出均减少</w:t>
      </w:r>
      <w:r>
        <w:rPr>
          <w:rFonts w:ascii="Times New Roman" w:eastAsia="仿宋_GB2312"/>
          <w:b w:val="0"/>
          <w:sz w:val="32"/>
          <w:szCs w:val="32"/>
          <w:highlight w:val="none"/>
        </w:rPr>
        <w:t>；本年支出497.29万元，比上年减少66.55万元，降低11.8%，主要原因是</w:t>
      </w:r>
      <w:r>
        <w:rPr>
          <w:rFonts w:hint="eastAsia" w:ascii="Times New Roman" w:eastAsia="仿宋_GB2312"/>
          <w:b w:val="0"/>
          <w:sz w:val="32"/>
          <w:szCs w:val="32"/>
          <w:highlight w:val="none"/>
        </w:rPr>
        <w:t>人员经费、公用经费和项目支出均减少</w:t>
      </w:r>
      <w:r>
        <w:rPr>
          <w:rFonts w:ascii="Times New Roman" w:eastAsia="仿宋_GB2312"/>
          <w:b w:val="0"/>
          <w:sz w:val="32"/>
          <w:szCs w:val="32"/>
          <w:highlight w:val="none"/>
        </w:rPr>
        <w:t>。具体情况如下：</w:t>
      </w:r>
    </w:p>
    <w:p>
      <w:pPr>
        <w:widowControl/>
        <w:spacing w:before="0" w:beforeLines="0" w:beforeAutospacing="0" w:after="0" w:afterLines="0" w:afterAutospacing="0" w:line="360" w:lineRule="auto"/>
        <w:ind w:firstLine="640" w:firstLineChars="200"/>
        <w:jc w:val="left"/>
        <w:outlineLvl w:val="1"/>
        <w:rPr>
          <w:rFonts w:ascii="Times New Roman" w:eastAsia="仿宋_GB2312"/>
          <w:sz w:val="32"/>
          <w:szCs w:val="32"/>
          <w:highlight w:val="none"/>
        </w:rPr>
      </w:pPr>
      <w:r>
        <w:rPr>
          <w:rFonts w:ascii="Times New Roman" w:eastAsia="仿宋_GB2312"/>
          <w:b w:val="0"/>
          <w:sz w:val="32"/>
          <w:szCs w:val="32"/>
          <w:highlight w:val="none"/>
        </w:rPr>
        <w:t>1. 一般公共预算财政拨款本年收入497.29万元,比上年减少66.55万元，降低11.8%，主要原因是</w:t>
      </w:r>
      <w:r>
        <w:rPr>
          <w:rFonts w:hint="eastAsia" w:ascii="Times New Roman" w:eastAsia="仿宋_GB2312"/>
          <w:b w:val="0"/>
          <w:sz w:val="32"/>
          <w:szCs w:val="32"/>
          <w:highlight w:val="none"/>
        </w:rPr>
        <w:t>人员经费、公用经费和项目支出均减少</w:t>
      </w:r>
      <w:r>
        <w:rPr>
          <w:rFonts w:ascii="Times New Roman" w:eastAsia="仿宋_GB2312"/>
          <w:b w:val="0"/>
          <w:sz w:val="32"/>
          <w:szCs w:val="32"/>
          <w:highlight w:val="none"/>
        </w:rPr>
        <w:t>；本年支出497.29万元，比上年减少66.55万元，降低11.8%，主要原因是</w:t>
      </w:r>
      <w:r>
        <w:rPr>
          <w:rFonts w:hint="eastAsia" w:ascii="Times New Roman" w:eastAsia="仿宋_GB2312"/>
          <w:b w:val="0"/>
          <w:sz w:val="32"/>
          <w:szCs w:val="32"/>
          <w:highlight w:val="none"/>
        </w:rPr>
        <w:t>人员经费、公用经费和项目支出均减少</w:t>
      </w:r>
      <w:r>
        <w:rPr>
          <w:rFonts w:ascii="Times New Roman" w:eastAsia="仿宋_GB2312"/>
          <w:b w:val="0"/>
          <w:sz w:val="32"/>
          <w:szCs w:val="32"/>
          <w:highlight w:val="none"/>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kern w:val="2"/>
          <w:sz w:val="32"/>
          <w:szCs w:val="32"/>
          <w:highlight w:val="none"/>
          <w:lang w:val="zh-CN"/>
        </w:rPr>
        <w:t>2. 政府性基金预算财政拨款本年收入0</w:t>
      </w:r>
      <w:r>
        <w:rPr>
          <w:rFonts w:hint="default" w:ascii="Times New Roman" w:hAnsi="Times New Roman" w:eastAsia="仿宋_GB2312" w:cs="Times New Roman"/>
          <w:kern w:val="2"/>
          <w:sz w:val="32"/>
          <w:szCs w:val="32"/>
          <w:highlight w:val="none"/>
          <w:lang w:val="en-US" w:eastAsia="zh-CN"/>
        </w:rPr>
        <w:t>万</w:t>
      </w:r>
      <w:r>
        <w:rPr>
          <w:rFonts w:hint="default" w:ascii="Times New Roman" w:hAnsi="Times New Roman" w:eastAsia="仿宋_GB2312" w:cs="Times New Roman"/>
          <w:kern w:val="2"/>
          <w:sz w:val="32"/>
          <w:szCs w:val="32"/>
          <w:highlight w:val="none"/>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highlight w:val="none"/>
          <w:lang w:val="zh-CN"/>
        </w:rPr>
        <w:t>，</w:t>
      </w:r>
      <w:r>
        <w:rPr>
          <w:rFonts w:hint="eastAsia" w:ascii="仿宋_GB2312" w:hAnsi="Times New Roman" w:eastAsia="仿宋_GB2312" w:cs="仿宋_GB2312"/>
          <w:sz w:val="32"/>
          <w:szCs w:val="32"/>
          <w:highlight w:val="none"/>
          <w:lang w:eastAsia="zh-CN"/>
        </w:rPr>
        <w:t>无增减变化</w:t>
      </w:r>
      <w:r>
        <w:rPr>
          <w:rFonts w:hint="default" w:ascii="Times New Roman" w:hAnsi="Times New Roman" w:eastAsia="仿宋_GB2312" w:cs="Times New Roman"/>
          <w:kern w:val="2"/>
          <w:sz w:val="32"/>
          <w:szCs w:val="32"/>
          <w:highlight w:val="none"/>
          <w:lang w:val="zh-CN"/>
        </w:rPr>
        <w:t>；本年支出0</w:t>
      </w:r>
      <w:r>
        <w:rPr>
          <w:rFonts w:hint="default" w:ascii="Times New Roman" w:hAnsi="Times New Roman" w:eastAsia="仿宋_GB2312" w:cs="Times New Roman"/>
          <w:kern w:val="2"/>
          <w:sz w:val="32"/>
          <w:szCs w:val="32"/>
          <w:highlight w:val="none"/>
          <w:lang w:val="en-US" w:eastAsia="zh-CN"/>
        </w:rPr>
        <w:t>万</w:t>
      </w:r>
      <w:r>
        <w:rPr>
          <w:rFonts w:hint="default" w:ascii="Times New Roman" w:hAnsi="Times New Roman" w:eastAsia="仿宋_GB2312" w:cs="Times New Roman"/>
          <w:kern w:val="2"/>
          <w:sz w:val="32"/>
          <w:szCs w:val="32"/>
          <w:highlight w:val="none"/>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highlight w:val="none"/>
          <w:lang w:val="zh-CN"/>
        </w:rPr>
        <w:t>，</w:t>
      </w:r>
      <w:r>
        <w:rPr>
          <w:rFonts w:hint="eastAsia" w:ascii="仿宋_GB2312" w:hAnsi="Times New Roman" w:eastAsia="仿宋_GB2312" w:cs="仿宋_GB2312"/>
          <w:sz w:val="32"/>
          <w:szCs w:val="32"/>
          <w:highlight w:val="none"/>
          <w:lang w:eastAsia="zh-CN"/>
        </w:rPr>
        <w:t>无增减变化</w:t>
      </w:r>
      <w:r>
        <w:rPr>
          <w:rFonts w:hint="default" w:ascii="Times New Roman" w:hAnsi="Times New Roman" w:eastAsia="仿宋_GB2312" w:cs="Times New Roman"/>
          <w:kern w:val="2"/>
          <w:sz w:val="32"/>
          <w:szCs w:val="32"/>
          <w:highlight w:val="none"/>
          <w:lang w:val="zh-CN"/>
        </w:rPr>
        <w:t>。</w:t>
      </w:r>
    </w:p>
    <w:p>
      <w:pPr>
        <w:autoSpaceDE w:val="0"/>
        <w:autoSpaceDN w:val="0"/>
        <w:adjustRightInd w:val="0"/>
        <w:spacing w:line="580" w:lineRule="exact"/>
        <w:ind w:firstLine="640" w:firstLineChars="200"/>
        <w:jc w:val="left"/>
        <w:rPr>
          <w:rFonts w:hint="default" w:ascii="Times New Roman" w:hAnsi="Times New Roman" w:eastAsia="仿宋_GB2312" w:cs="Times New Roman"/>
          <w:kern w:val="2"/>
          <w:sz w:val="32"/>
          <w:szCs w:val="32"/>
          <w:highlight w:val="none"/>
          <w:lang w:val="zh-CN"/>
        </w:rPr>
      </w:pPr>
      <w:r>
        <w:rPr>
          <w:rFonts w:hint="default" w:ascii="Times New Roman" w:hAnsi="Times New Roman" w:eastAsia="仿宋_GB2312" w:cs="Times New Roman"/>
          <w:kern w:val="2"/>
          <w:sz w:val="32"/>
          <w:szCs w:val="32"/>
          <w:highlight w:val="none"/>
          <w:lang w:val="zh-CN"/>
        </w:rPr>
        <w:t>3. 国有资本经营预算财政拨款本年收入0</w:t>
      </w:r>
      <w:r>
        <w:rPr>
          <w:rFonts w:hint="default" w:ascii="Times New Roman" w:hAnsi="Times New Roman" w:eastAsia="仿宋_GB2312" w:cs="Times New Roman"/>
          <w:kern w:val="2"/>
          <w:sz w:val="32"/>
          <w:szCs w:val="32"/>
          <w:highlight w:val="none"/>
          <w:lang w:val="en-US" w:eastAsia="zh-CN"/>
        </w:rPr>
        <w:t>万</w:t>
      </w:r>
      <w:r>
        <w:rPr>
          <w:rFonts w:hint="default" w:ascii="Times New Roman" w:hAnsi="Times New Roman" w:eastAsia="仿宋_GB2312" w:cs="Times New Roman"/>
          <w:kern w:val="2"/>
          <w:sz w:val="32"/>
          <w:szCs w:val="32"/>
          <w:highlight w:val="none"/>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highlight w:val="none"/>
          <w:lang w:val="zh-CN"/>
        </w:rPr>
        <w:t>，</w:t>
      </w:r>
      <w:r>
        <w:rPr>
          <w:rFonts w:hint="eastAsia" w:ascii="仿宋_GB2312" w:hAnsi="Times New Roman" w:eastAsia="仿宋_GB2312" w:cs="仿宋_GB2312"/>
          <w:sz w:val="32"/>
          <w:szCs w:val="32"/>
          <w:highlight w:val="none"/>
          <w:lang w:eastAsia="zh-CN"/>
        </w:rPr>
        <w:t>无增减变化</w:t>
      </w:r>
      <w:r>
        <w:rPr>
          <w:rFonts w:hint="default" w:ascii="Times New Roman" w:hAnsi="Times New Roman" w:eastAsia="仿宋_GB2312" w:cs="Times New Roman"/>
          <w:kern w:val="2"/>
          <w:sz w:val="32"/>
          <w:szCs w:val="32"/>
          <w:highlight w:val="none"/>
          <w:lang w:val="zh-CN"/>
        </w:rPr>
        <w:t>；本年支出0</w:t>
      </w:r>
      <w:r>
        <w:rPr>
          <w:rFonts w:hint="default" w:ascii="Times New Roman" w:hAnsi="Times New Roman" w:eastAsia="仿宋_GB2312" w:cs="Times New Roman"/>
          <w:kern w:val="2"/>
          <w:sz w:val="32"/>
          <w:szCs w:val="32"/>
          <w:highlight w:val="none"/>
          <w:lang w:val="en-US" w:eastAsia="zh-CN"/>
        </w:rPr>
        <w:t>万</w:t>
      </w:r>
      <w:r>
        <w:rPr>
          <w:rFonts w:hint="default" w:ascii="Times New Roman" w:hAnsi="Times New Roman" w:eastAsia="仿宋_GB2312" w:cs="Times New Roman"/>
          <w:kern w:val="2"/>
          <w:sz w:val="32"/>
          <w:szCs w:val="32"/>
          <w:highlight w:val="none"/>
          <w:lang w:val="zh-CN"/>
        </w:rPr>
        <w:t>元，比上年</w:t>
      </w:r>
      <w:r>
        <w:rPr>
          <w:rFonts w:hint="eastAsia" w:ascii="Times New Roman" w:hAnsi="Times New Roman" w:eastAsia="仿宋_GB2312" w:cs="Times New Roman"/>
          <w:sz w:val="30"/>
          <w:szCs w:val="30"/>
          <w:highlight w:val="none"/>
          <w:lang w:val="zh-CN"/>
        </w:rPr>
        <w:t>持平</w:t>
      </w:r>
      <w:r>
        <w:rPr>
          <w:rFonts w:hint="default" w:ascii="Times New Roman" w:hAnsi="Times New Roman" w:eastAsia="仿宋_GB2312" w:cs="Times New Roman"/>
          <w:kern w:val="2"/>
          <w:sz w:val="32"/>
          <w:szCs w:val="32"/>
          <w:highlight w:val="none"/>
          <w:lang w:val="zh-CN"/>
        </w:rPr>
        <w:t>，</w:t>
      </w:r>
      <w:r>
        <w:rPr>
          <w:rFonts w:hint="eastAsia" w:ascii="仿宋_GB2312" w:hAnsi="Times New Roman" w:eastAsia="仿宋_GB2312" w:cs="仿宋_GB2312"/>
          <w:sz w:val="32"/>
          <w:szCs w:val="32"/>
          <w:highlight w:val="none"/>
          <w:lang w:eastAsia="zh-CN"/>
        </w:rPr>
        <w:t>无增减变化</w:t>
      </w:r>
      <w:r>
        <w:rPr>
          <w:rFonts w:hint="default" w:ascii="Times New Roman" w:hAnsi="Times New Roman" w:eastAsia="仿宋_GB2312" w:cs="Times New Roman"/>
          <w:kern w:val="2"/>
          <w:sz w:val="32"/>
          <w:szCs w:val="32"/>
          <w:highlight w:val="none"/>
          <w:lang w:val="zh-CN"/>
        </w:rPr>
        <w:t>。</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sz w:val="32"/>
          <w:szCs w:val="32"/>
          <w:highlight w:val="none"/>
          <w:lang w:val="en-US" w:eastAsia="zh-CN"/>
        </w:rPr>
      </w:pPr>
      <w:r>
        <w:rPr>
          <w:rFonts w:ascii="Times New Roman" w:hAnsi="Times New Roman" w:eastAsia="仿宋_GB2312"/>
          <w:sz w:val="32"/>
          <w:szCs w:val="32"/>
          <w:highlight w:val="none"/>
        </w:rPr>
        <w:drawing>
          <wp:inline distT="0" distB="0" distL="114300" distR="114300">
            <wp:extent cx="5256530" cy="2988310"/>
            <wp:effectExtent l="5080" t="4445" r="8890" b="17145"/>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highlight w:val="none"/>
        </w:rPr>
      </w:pPr>
      <w:r>
        <w:rPr>
          <w:rFonts w:ascii="Times New Roman" w:eastAsia="楷体_GB2312"/>
          <w:b/>
          <w:sz w:val="32"/>
          <w:szCs w:val="32"/>
          <w:highlight w:val="none"/>
        </w:rPr>
        <w:t>（二）财政拨款收支与年初预算数对比情况</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eastAsia" w:ascii="Times New Roman" w:eastAsia="仿宋_GB2312"/>
          <w:b w:val="0"/>
          <w:sz w:val="32"/>
          <w:szCs w:val="32"/>
          <w:highlight w:val="none"/>
        </w:rPr>
      </w:pPr>
      <w:r>
        <w:rPr>
          <w:rFonts w:hint="eastAsia" w:ascii="Times New Roman" w:eastAsia="仿宋_GB2312"/>
          <w:b w:val="0"/>
          <w:sz w:val="32"/>
          <w:szCs w:val="32"/>
          <w:highlight w:val="none"/>
        </w:rPr>
        <w:t>本单位2024年度财政拨款本年收入497.29万元，完成年初预算的92.6%，比年初预算减少39.79万元，决算数少于预算数主要原因是基本支出和项目支出均减少；本年支出497.29万元，完成年初预算的92.6%，比年初预算减少39.79万元，决算数少于预算数主要原因是基本支出和项目支出均减少。具体情况如下：</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eastAsia" w:ascii="Times New Roman" w:eastAsia="仿宋_GB2312"/>
          <w:b w:val="0"/>
          <w:sz w:val="32"/>
          <w:szCs w:val="32"/>
          <w:highlight w:val="none"/>
        </w:rPr>
      </w:pPr>
      <w:r>
        <w:rPr>
          <w:rFonts w:hint="eastAsia" w:ascii="Times New Roman" w:eastAsia="仿宋_GB2312"/>
          <w:b w:val="0"/>
          <w:sz w:val="32"/>
          <w:szCs w:val="32"/>
          <w:highlight w:val="none"/>
        </w:rPr>
        <w:t>1.一般公共预算财政拨款本年收入完成年初预算的92.6%，比年初预算减少39.79万元，主要原因是基本支出和项目支出均减少；支出完成年初预算的92.6%，比年初预算减少39.79万元，主要原因是基本支出和项目支出均减少。</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eastAsia" w:ascii="Times New Roman" w:eastAsia="仿宋_GB2312"/>
          <w:b w:val="0"/>
          <w:sz w:val="32"/>
          <w:szCs w:val="32"/>
          <w:highlight w:val="none"/>
        </w:rPr>
      </w:pPr>
      <w:r>
        <w:rPr>
          <w:rFonts w:hint="eastAsia" w:ascii="Times New Roman" w:eastAsia="仿宋_GB2312"/>
          <w:b w:val="0"/>
          <w:sz w:val="32"/>
          <w:szCs w:val="32"/>
          <w:highlight w:val="none"/>
        </w:rPr>
        <w:t>2.政府性基金预算财政拨款本年收入完成年初预算的0%，与年初预算持平，无增减变化；支出完成年初预算的0%，与年初预算持平，无增减变化。</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0" w:firstLineChars="200"/>
        <w:jc w:val="left"/>
        <w:rPr>
          <w:rFonts w:hint="default" w:ascii="Times New Roman" w:hAnsi="Times New Roman" w:eastAsia="Arial" w:cs="Times New Roman"/>
          <w:highlight w:val="none"/>
        </w:rPr>
      </w:pPr>
      <w:r>
        <w:rPr>
          <w:rFonts w:hint="eastAsia" w:ascii="Times New Roman" w:eastAsia="仿宋_GB2312"/>
          <w:b w:val="0"/>
          <w:sz w:val="32"/>
          <w:szCs w:val="32"/>
          <w:highlight w:val="none"/>
        </w:rPr>
        <w:t>3.国有资本经营预算财政拨款本年收入完成年初预算的0%，与年初预算持平，无增减变化；支出完成年初预算的0%，与年初预算持平，无增减变化。</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eastAsia="仿宋_GB2312" w:cs="Times New Roman"/>
          <w:color w:val="auto"/>
          <w:kern w:val="0"/>
          <w:sz w:val="32"/>
          <w:szCs w:val="32"/>
          <w:highlight w:val="none"/>
          <w:lang w:val="en-US" w:eastAsia="zh-CN" w:bidi="ar-SA"/>
        </w:rPr>
      </w:pPr>
      <w:r>
        <w:rPr>
          <w:rFonts w:ascii="Times New Roman" w:hAnsi="Times New Roman" w:eastAsia="仿宋_GB2312"/>
          <w:sz w:val="32"/>
          <w:szCs w:val="32"/>
          <w:highlight w:val="none"/>
        </w:rPr>
        <w:drawing>
          <wp:inline distT="0" distB="0" distL="114300" distR="114300">
            <wp:extent cx="5256530" cy="2988310"/>
            <wp:effectExtent l="5080" t="4445" r="8890" b="1714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highlight w:val="none"/>
        </w:rPr>
      </w:pPr>
      <w:r>
        <w:rPr>
          <w:rFonts w:ascii="Times New Roman" w:eastAsia="楷体_GB2312"/>
          <w:b/>
          <w:sz w:val="32"/>
          <w:szCs w:val="32"/>
          <w:highlight w:val="none"/>
        </w:rPr>
        <w:t>（三）财政拨款支出决算结构情况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  2024年度财政拨款支出497.29万元，主要用于以下方面：</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一般公共预算财政拨款支出：</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Times New Roman" w:eastAsia="仿宋_GB2312"/>
          <w:b w:val="0"/>
          <w:sz w:val="32"/>
          <w:szCs w:val="32"/>
          <w:highlight w:val="none"/>
          <w:lang w:eastAsia="zh-CN"/>
        </w:rPr>
      </w:pPr>
      <w:r>
        <w:rPr>
          <w:rFonts w:hint="eastAsia" w:ascii="Times New Roman" w:eastAsia="仿宋_GB2312"/>
          <w:b w:val="0"/>
          <w:sz w:val="32"/>
          <w:szCs w:val="32"/>
          <w:highlight w:val="none"/>
        </w:rPr>
        <w:t>社会保障和就业（类）支出457.71万元，占92%；卫生健康（类）支出16.65万元，占3.</w:t>
      </w:r>
      <w:r>
        <w:rPr>
          <w:rFonts w:hint="eastAsia" w:ascii="Times New Roman" w:eastAsia="仿宋_GB2312"/>
          <w:b w:val="0"/>
          <w:sz w:val="32"/>
          <w:szCs w:val="32"/>
          <w:highlight w:val="none"/>
          <w:lang w:val="en-US" w:eastAsia="zh-CN"/>
        </w:rPr>
        <w:t>4</w:t>
      </w:r>
      <w:r>
        <w:rPr>
          <w:rFonts w:hint="eastAsia" w:ascii="Times New Roman" w:eastAsia="仿宋_GB2312"/>
          <w:b w:val="0"/>
          <w:sz w:val="32"/>
          <w:szCs w:val="32"/>
          <w:highlight w:val="none"/>
        </w:rPr>
        <w:t>%；住房保障（类）支出22.93</w:t>
      </w:r>
      <w:r>
        <w:rPr>
          <w:rFonts w:hint="eastAsia" w:ascii="Times New Roman" w:eastAsia="仿宋_GB2312"/>
          <w:b w:val="0"/>
          <w:sz w:val="32"/>
          <w:szCs w:val="32"/>
          <w:highlight w:val="none"/>
          <w:lang w:eastAsia="zh-CN"/>
        </w:rPr>
        <w:t>万元</w:t>
      </w:r>
      <w:r>
        <w:rPr>
          <w:rFonts w:hint="eastAsia" w:ascii="Times New Roman" w:eastAsia="仿宋_GB2312"/>
          <w:b w:val="0"/>
          <w:sz w:val="32"/>
          <w:szCs w:val="32"/>
          <w:highlight w:val="none"/>
        </w:rPr>
        <w:t>，占4.6%。</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left="0" w:right="0" w:firstLine="640" w:firstLineChars="200"/>
        <w:jc w:val="left"/>
        <w:textAlignment w:val="auto"/>
        <w:rPr>
          <w:rFonts w:hint="eastAsia" w:ascii="Times New Roman" w:eastAsia="仿宋_GB2312"/>
          <w:b w:val="0"/>
          <w:sz w:val="32"/>
          <w:szCs w:val="32"/>
          <w:highlight w:val="none"/>
        </w:rPr>
      </w:pP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jc w:val="left"/>
        <w:textAlignment w:val="auto"/>
        <w:rPr>
          <w:rFonts w:hint="default" w:ascii="Times New Roman" w:hAnsi="Times New Roman" w:eastAsia="仿宋_GB2312" w:cs="Times New Roman"/>
          <w:color w:val="auto"/>
          <w:kern w:val="2"/>
          <w:sz w:val="32"/>
          <w:szCs w:val="32"/>
          <w:highlight w:val="none"/>
          <w:lang w:val="zh-CN" w:eastAsia="zh-CN" w:bidi="ar-SA"/>
        </w:rPr>
      </w:pPr>
      <w:r>
        <w:rPr>
          <w:rFonts w:ascii="Times New Roman" w:hAnsi="Times New Roman" w:eastAsia="仿宋_GB2312"/>
          <w:kern w:val="2"/>
          <w:sz w:val="32"/>
          <w:szCs w:val="32"/>
          <w:highlight w:val="none"/>
          <w:lang w:val="zh-CN"/>
        </w:rPr>
        <w:drawing>
          <wp:inline distT="0" distB="0" distL="114300" distR="114300">
            <wp:extent cx="5859145" cy="2988310"/>
            <wp:effectExtent l="5080" t="4445" r="15875" b="17145"/>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widowControl/>
        <w:spacing w:before="0" w:beforeLines="0" w:beforeAutospacing="0" w:after="0" w:afterLines="0" w:afterAutospacing="0" w:line="360" w:lineRule="auto"/>
        <w:ind w:firstLine="643" w:firstLineChars="200"/>
        <w:jc w:val="left"/>
        <w:rPr>
          <w:rFonts w:ascii="Times New Roman" w:eastAsia="楷体_GB2312"/>
          <w:sz w:val="32"/>
          <w:szCs w:val="32"/>
          <w:highlight w:val="none"/>
        </w:rPr>
      </w:pPr>
      <w:r>
        <w:rPr>
          <w:rFonts w:ascii="Times New Roman" w:eastAsia="楷体_GB2312"/>
          <w:b/>
          <w:sz w:val="32"/>
          <w:szCs w:val="32"/>
          <w:highlight w:val="none"/>
        </w:rPr>
        <w:t>（四）一般公共预算基本支出决算情况说明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  2024年度财政拨款基本支出440.97万元，其中：</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人员经费388.99万元，主要包括基本工资、津贴补贴、奖金、绩效工资、机关事业部门基本养老保险缴费、职工基本医疗保险缴费、</w:t>
      </w:r>
      <w:r>
        <w:rPr>
          <w:rFonts w:hint="eastAsia" w:ascii="Times New Roman" w:eastAsia="仿宋_GB2312"/>
          <w:b w:val="0"/>
          <w:sz w:val="32"/>
          <w:szCs w:val="32"/>
          <w:highlight w:val="none"/>
          <w:lang w:val="en-US" w:eastAsia="zh-CN"/>
        </w:rPr>
        <w:t>其他社会保障缴费、</w:t>
      </w:r>
      <w:r>
        <w:rPr>
          <w:rFonts w:ascii="Times New Roman" w:eastAsia="仿宋_GB2312"/>
          <w:b w:val="0"/>
          <w:sz w:val="32"/>
          <w:szCs w:val="32"/>
          <w:highlight w:val="none"/>
        </w:rPr>
        <w:t>住房公积金、离休费、退休费、生活补助、奖励金、其他对个人和家庭的补助支出。</w:t>
      </w:r>
    </w:p>
    <w:p>
      <w:pPr>
        <w:widowControl/>
        <w:spacing w:before="0" w:beforeLines="0" w:beforeAutospacing="0" w:after="0" w:afterLines="0" w:afterAutospacing="0" w:line="360" w:lineRule="auto"/>
        <w:ind w:firstLine="640" w:firstLineChars="200"/>
        <w:jc w:val="left"/>
        <w:rPr>
          <w:rFonts w:hint="eastAsia" w:ascii="Times New Roman" w:eastAsia="仿宋_GB2312"/>
          <w:sz w:val="32"/>
          <w:szCs w:val="32"/>
          <w:highlight w:val="none"/>
          <w:lang w:eastAsia="zh-CN"/>
        </w:rPr>
      </w:pPr>
      <w:r>
        <w:rPr>
          <w:rFonts w:ascii="Times New Roman" w:eastAsia="仿宋_GB2312"/>
          <w:b w:val="0"/>
          <w:sz w:val="32"/>
          <w:szCs w:val="32"/>
          <w:highlight w:val="none"/>
        </w:rPr>
        <w:t>公用经费51.97万元，主要包括办公费、印刷费、水费、电费、邮电费、取暖费、差旅费、维修（护）费、劳务费、委托业务费、工会经费、福利费、公务用车运行维护费、其他交通费用、其他商品和服务支出</w:t>
      </w:r>
      <w:r>
        <w:rPr>
          <w:rFonts w:hint="eastAsia" w:ascii="Times New Roman" w:eastAsia="仿宋_GB2312"/>
          <w:b w:val="0"/>
          <w:sz w:val="32"/>
          <w:szCs w:val="32"/>
          <w:highlight w:val="none"/>
          <w:lang w:eastAsia="zh-CN"/>
        </w:rPr>
        <w:t>。</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highlight w:val="none"/>
        </w:rPr>
      </w:pPr>
      <w:r>
        <w:rPr>
          <w:rFonts w:ascii="Times New Roman" w:eastAsia="黑体"/>
          <w:b w:val="0"/>
          <w:sz w:val="32"/>
          <w:szCs w:val="32"/>
          <w:highlight w:val="none"/>
        </w:rPr>
        <w:t>五、财政拨款“三公”经费支出决算情况说明</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highlight w:val="none"/>
        </w:rPr>
      </w:pPr>
      <w:r>
        <w:rPr>
          <w:rFonts w:ascii="Times New Roman" w:eastAsia="楷体_GB2312"/>
          <w:b/>
          <w:sz w:val="32"/>
          <w:szCs w:val="32"/>
          <w:highlight w:val="none"/>
        </w:rPr>
        <w:t>（一）“三公”经费财政拨款支出决算总体情况说明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本单位2024年度“三公”经费财政拨款支出预算为0.89万元，支出决算为0.89万元，完成预算的100%，</w:t>
      </w:r>
      <w:r>
        <w:rPr>
          <w:rFonts w:hint="eastAsia" w:ascii="Times New Roman" w:eastAsia="仿宋_GB2312"/>
          <w:b w:val="0"/>
          <w:sz w:val="32"/>
          <w:szCs w:val="32"/>
          <w:highlight w:val="none"/>
        </w:rPr>
        <w:t>与预算持平</w:t>
      </w:r>
      <w:r>
        <w:rPr>
          <w:rFonts w:ascii="Times New Roman" w:eastAsia="仿宋_GB2312"/>
          <w:b w:val="0"/>
          <w:sz w:val="32"/>
          <w:szCs w:val="32"/>
          <w:highlight w:val="none"/>
        </w:rPr>
        <w:t>；较2023年度决算减少0.80万元，降低47.3%，主要原因是</w:t>
      </w:r>
      <w:r>
        <w:rPr>
          <w:rFonts w:hint="eastAsia" w:ascii="Times New Roman" w:eastAsia="仿宋_GB2312"/>
          <w:b w:val="0"/>
          <w:sz w:val="32"/>
          <w:szCs w:val="32"/>
          <w:highlight w:val="none"/>
        </w:rPr>
        <w:t>公车使用减少，油费降低</w:t>
      </w:r>
      <w:r>
        <w:rPr>
          <w:rFonts w:ascii="Times New Roman" w:eastAsia="仿宋_GB2312"/>
          <w:b w:val="0"/>
          <w:sz w:val="32"/>
          <w:szCs w:val="32"/>
          <w:highlight w:val="none"/>
        </w:rPr>
        <w:t>。</w:t>
      </w:r>
    </w:p>
    <w:p>
      <w:pPr>
        <w:widowControl/>
        <w:spacing w:before="0" w:beforeLines="0" w:beforeAutospacing="0" w:after="0" w:afterLines="0" w:afterAutospacing="0" w:line="360" w:lineRule="auto"/>
        <w:ind w:firstLine="643" w:firstLineChars="200"/>
        <w:jc w:val="left"/>
        <w:rPr>
          <w:rFonts w:ascii="Times New Roman" w:eastAsia="楷体_GB2312"/>
          <w:sz w:val="32"/>
          <w:szCs w:val="32"/>
          <w:highlight w:val="none"/>
        </w:rPr>
      </w:pPr>
      <w:r>
        <w:rPr>
          <w:rFonts w:ascii="Times New Roman" w:eastAsia="楷体_GB2312"/>
          <w:b/>
          <w:sz w:val="32"/>
          <w:szCs w:val="32"/>
          <w:highlight w:val="none"/>
        </w:rPr>
        <w:t>（二）“三公”经费财政拨款支出决算具体情况说明</w:t>
      </w:r>
    </w:p>
    <w:p>
      <w:pPr>
        <w:pStyle w:val="10"/>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643" w:firstLineChars="200"/>
        <w:jc w:val="left"/>
        <w:rPr>
          <w:rFonts w:hint="default" w:ascii="Times New Roman" w:hAnsi="Times New Roman" w:eastAsia="仿宋_GB2312" w:cs="Times New Roman"/>
          <w:color w:val="auto"/>
          <w:kern w:val="2"/>
          <w:sz w:val="32"/>
          <w:szCs w:val="32"/>
          <w:highlight w:val="none"/>
          <w:lang w:val="en-US" w:eastAsia="zh-CN" w:bidi="ar-SA"/>
        </w:rPr>
      </w:pPr>
      <w:r>
        <w:rPr>
          <w:rFonts w:ascii="Times New Roman" w:eastAsia="楷体_GB2312"/>
          <w:b/>
          <w:sz w:val="32"/>
          <w:szCs w:val="32"/>
          <w:highlight w:val="none"/>
        </w:rPr>
        <w:t> 1.因公出国（境）费支出情况。</w:t>
      </w:r>
      <w:r>
        <w:rPr>
          <w:rFonts w:ascii="Times New Roman" w:eastAsia="仿宋_GB2312"/>
          <w:b w:val="0"/>
          <w:sz w:val="32"/>
          <w:szCs w:val="32"/>
          <w:highlight w:val="none"/>
        </w:rPr>
        <w:t>本单位</w:t>
      </w:r>
      <w:r>
        <w:rPr>
          <w:rFonts w:hint="default" w:ascii="Times New Roman" w:hAnsi="Times New Roman" w:eastAsia="仿宋_GB2312" w:cs="Times New Roman"/>
          <w:color w:val="auto"/>
          <w:kern w:val="2"/>
          <w:sz w:val="32"/>
          <w:szCs w:val="32"/>
          <w:highlight w:val="none"/>
          <w:lang w:val="en-US" w:eastAsia="zh-CN" w:bidi="ar-SA"/>
        </w:rPr>
        <w:t>202</w:t>
      </w:r>
      <w:r>
        <w:rPr>
          <w:rFonts w:hint="eastAsia" w:ascii="Times New Roman" w:hAnsi="Times New Roman" w:eastAsia="仿宋_GB2312" w:cs="Times New Roman"/>
          <w:color w:val="auto"/>
          <w:kern w:val="2"/>
          <w:sz w:val="32"/>
          <w:szCs w:val="32"/>
          <w:highlight w:val="none"/>
          <w:lang w:val="en-US" w:eastAsia="zh-CN" w:bidi="ar-SA"/>
        </w:rPr>
        <w:t>4</w:t>
      </w:r>
      <w:r>
        <w:rPr>
          <w:rFonts w:hint="default" w:ascii="Times New Roman" w:hAnsi="Times New Roman" w:eastAsia="仿宋_GB2312" w:cs="Times New Roman"/>
          <w:color w:val="auto"/>
          <w:kern w:val="2"/>
          <w:sz w:val="32"/>
          <w:szCs w:val="32"/>
          <w:highlight w:val="none"/>
          <w:lang w:val="en-US" w:eastAsia="zh-CN" w:bidi="ar-SA"/>
        </w:rPr>
        <w:t>年度因公出国（境）费支出预算为0万元,支出决算0万元。完成预算的0%。因公出国（境）费支出较预算</w:t>
      </w:r>
      <w:r>
        <w:rPr>
          <w:rFonts w:hint="eastAsia" w:ascii="Times New Roman" w:hAnsi="Times New Roman" w:eastAsia="仿宋_GB2312" w:cs="Times New Roman"/>
          <w:color w:val="auto"/>
          <w:kern w:val="2"/>
          <w:sz w:val="32"/>
          <w:szCs w:val="32"/>
          <w:highlight w:val="none"/>
          <w:lang w:val="zh-CN" w:eastAsia="zh-CN" w:bidi="ar-SA"/>
        </w:rPr>
        <w:t>持平</w:t>
      </w:r>
      <w:r>
        <w:rPr>
          <w:rFonts w:hint="default" w:ascii="Times New Roman" w:hAnsi="Times New Roman" w:eastAsia="仿宋_GB2312" w:cs="Times New Roman"/>
          <w:color w:val="auto"/>
          <w:kern w:val="2"/>
          <w:sz w:val="32"/>
          <w:szCs w:val="32"/>
          <w:highlight w:val="none"/>
          <w:lang w:val="en-US" w:eastAsia="zh-CN" w:bidi="ar-SA"/>
        </w:rPr>
        <w:t>；较上年</w:t>
      </w:r>
      <w:r>
        <w:rPr>
          <w:rFonts w:hint="eastAsia" w:ascii="Times New Roman" w:hAnsi="Times New Roman" w:eastAsia="仿宋_GB2312" w:cs="Times New Roman"/>
          <w:color w:val="auto"/>
          <w:kern w:val="2"/>
          <w:sz w:val="32"/>
          <w:szCs w:val="32"/>
          <w:highlight w:val="none"/>
          <w:lang w:val="zh-CN" w:eastAsia="zh-CN" w:bidi="ar-SA"/>
        </w:rPr>
        <w:t>持平</w:t>
      </w:r>
      <w:r>
        <w:rPr>
          <w:rFonts w:hint="default" w:ascii="Times New Roman" w:hAnsi="Times New Roman" w:eastAsia="仿宋_GB2312" w:cs="Times New Roman"/>
          <w:color w:val="auto"/>
          <w:kern w:val="2"/>
          <w:sz w:val="32"/>
          <w:szCs w:val="32"/>
          <w:highlight w:val="none"/>
          <w:lang w:val="en-US" w:eastAsia="zh-CN" w:bidi="ar-SA"/>
        </w:rPr>
        <w:t>，</w:t>
      </w:r>
      <w:r>
        <w:rPr>
          <w:rFonts w:hint="eastAsia" w:ascii="Times New Roman" w:hAnsi="Times New Roman" w:eastAsia="仿宋_GB2312" w:cs="Times New Roman"/>
          <w:color w:val="auto"/>
          <w:kern w:val="2"/>
          <w:sz w:val="32"/>
          <w:szCs w:val="32"/>
          <w:highlight w:val="none"/>
          <w:lang w:val="en-US" w:eastAsia="zh-CN" w:bidi="ar-SA"/>
        </w:rPr>
        <w:t>无增减变化</w:t>
      </w:r>
      <w:r>
        <w:rPr>
          <w:rFonts w:hint="default" w:ascii="Times New Roman" w:hAnsi="Times New Roman" w:eastAsia="仿宋_GB2312" w:cs="Times New Roman"/>
          <w:color w:val="auto"/>
          <w:kern w:val="2"/>
          <w:sz w:val="32"/>
          <w:szCs w:val="32"/>
          <w:highlight w:val="none"/>
          <w:lang w:val="en-US" w:eastAsia="zh-CN" w:bidi="ar-SA"/>
        </w:rPr>
        <w:t>。因公出国（境）团组0个、共0人、参加其他单位组织的因公出国（境）团组</w:t>
      </w:r>
      <w:r>
        <w:rPr>
          <w:rFonts w:hint="eastAsia" w:ascii="Times New Roman" w:hAnsi="Times New Roman" w:eastAsia="仿宋_GB2312" w:cs="Times New Roman"/>
          <w:color w:val="auto"/>
          <w:kern w:val="2"/>
          <w:sz w:val="32"/>
          <w:szCs w:val="32"/>
          <w:highlight w:val="none"/>
          <w:lang w:val="en-US" w:eastAsia="zh-CN" w:bidi="ar-SA"/>
        </w:rPr>
        <w:t>0</w:t>
      </w:r>
      <w:r>
        <w:rPr>
          <w:rFonts w:hint="default" w:ascii="Times New Roman" w:hAnsi="Times New Roman" w:eastAsia="仿宋_GB2312" w:cs="Times New Roman"/>
          <w:color w:val="auto"/>
          <w:kern w:val="2"/>
          <w:sz w:val="32"/>
          <w:szCs w:val="32"/>
          <w:highlight w:val="none"/>
          <w:lang w:val="en-US" w:eastAsia="zh-CN" w:bidi="ar-SA"/>
        </w:rPr>
        <w:t>个、共</w:t>
      </w:r>
      <w:r>
        <w:rPr>
          <w:rFonts w:hint="eastAsia" w:ascii="Times New Roman" w:hAnsi="Times New Roman" w:eastAsia="仿宋_GB2312" w:cs="Times New Roman"/>
          <w:color w:val="auto"/>
          <w:kern w:val="2"/>
          <w:sz w:val="32"/>
          <w:szCs w:val="32"/>
          <w:highlight w:val="none"/>
          <w:lang w:val="en-US" w:eastAsia="zh-CN" w:bidi="ar-SA"/>
        </w:rPr>
        <w:t>0</w:t>
      </w:r>
      <w:r>
        <w:rPr>
          <w:rFonts w:hint="default" w:ascii="Times New Roman" w:hAnsi="Times New Roman" w:eastAsia="仿宋_GB2312" w:cs="Times New Roman"/>
          <w:color w:val="auto"/>
          <w:kern w:val="2"/>
          <w:sz w:val="32"/>
          <w:szCs w:val="32"/>
          <w:highlight w:val="none"/>
          <w:lang w:val="en-US" w:eastAsia="zh-CN" w:bidi="ar-SA"/>
        </w:rPr>
        <w:t>人/无本部门组织的出国（境）团组。</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楷体_GB2312"/>
          <w:b/>
          <w:sz w:val="32"/>
          <w:szCs w:val="32"/>
          <w:highlight w:val="none"/>
        </w:rPr>
        <w:t> 2.公务用车购置及运行维护费支出情况。</w:t>
      </w:r>
      <w:r>
        <w:rPr>
          <w:rFonts w:ascii="Times New Roman" w:eastAsia="仿宋_GB2312"/>
          <w:b w:val="0"/>
          <w:sz w:val="32"/>
          <w:szCs w:val="32"/>
          <w:highlight w:val="none"/>
        </w:rPr>
        <w:t>本单位2024年度公务用车购置及运行维护费预算为0.89万元，支出决算0.89万元，完成预算的100%,</w:t>
      </w:r>
      <w:r>
        <w:rPr>
          <w:rFonts w:hint="eastAsia" w:ascii="Times New Roman" w:eastAsia="仿宋_GB2312"/>
          <w:b w:val="0"/>
          <w:sz w:val="32"/>
          <w:szCs w:val="32"/>
          <w:highlight w:val="none"/>
        </w:rPr>
        <w:t>与预算持平</w:t>
      </w:r>
      <w:r>
        <w:rPr>
          <w:rFonts w:ascii="Times New Roman" w:eastAsia="仿宋_GB2312"/>
          <w:b w:val="0"/>
          <w:sz w:val="32"/>
          <w:szCs w:val="32"/>
          <w:highlight w:val="none"/>
        </w:rPr>
        <w:t>；较上年减少0.8万元，降低47.3%,主要原因是</w:t>
      </w:r>
      <w:r>
        <w:rPr>
          <w:rFonts w:hint="eastAsia" w:ascii="Times New Roman" w:eastAsia="仿宋_GB2312"/>
          <w:b w:val="0"/>
          <w:sz w:val="32"/>
          <w:szCs w:val="32"/>
          <w:highlight w:val="none"/>
          <w:lang w:eastAsia="zh-CN"/>
        </w:rPr>
        <w:t>公车使用减少，油费降低</w:t>
      </w:r>
      <w:r>
        <w:rPr>
          <w:rFonts w:ascii="Times New Roman" w:eastAsia="仿宋_GB2312"/>
          <w:b w:val="0"/>
          <w:sz w:val="32"/>
          <w:szCs w:val="32"/>
          <w:highlight w:val="none"/>
        </w:rPr>
        <w:t>。其中：</w:t>
      </w:r>
    </w:p>
    <w:p>
      <w:pPr>
        <w:widowControl/>
        <w:spacing w:before="0" w:beforeLines="0" w:beforeAutospacing="0" w:after="0" w:afterLines="0" w:afterAutospacing="0" w:line="360" w:lineRule="auto"/>
        <w:ind w:firstLine="643" w:firstLineChars="200"/>
        <w:jc w:val="left"/>
        <w:rPr>
          <w:rFonts w:hint="default" w:ascii="Times New Roman" w:hAnsi="Times New Roman" w:eastAsia="仿宋_GB2312" w:cs="Times New Roman"/>
          <w:color w:val="auto"/>
          <w:kern w:val="2"/>
          <w:sz w:val="32"/>
          <w:szCs w:val="32"/>
          <w:highlight w:val="none"/>
          <w:lang w:val="zh-CN" w:eastAsia="zh-CN" w:bidi="ar-SA"/>
        </w:rPr>
      </w:pPr>
      <w:r>
        <w:rPr>
          <w:rFonts w:ascii="Times New Roman" w:eastAsia="仿宋_GB2312"/>
          <w:b/>
          <w:sz w:val="32"/>
          <w:szCs w:val="32"/>
          <w:highlight w:val="none"/>
        </w:rPr>
        <w:t>公务用车购置费支出0.00万元：</w:t>
      </w:r>
      <w:r>
        <w:rPr>
          <w:rFonts w:ascii="Times New Roman" w:eastAsia="仿宋_GB2312"/>
          <w:b w:val="0"/>
          <w:sz w:val="32"/>
          <w:szCs w:val="32"/>
          <w:highlight w:val="none"/>
        </w:rPr>
        <w:t>本单位</w:t>
      </w:r>
      <w:r>
        <w:rPr>
          <w:rFonts w:hint="eastAsia" w:ascii="Times New Roman" w:eastAsia="仿宋_GB2312"/>
          <w:b w:val="0"/>
          <w:sz w:val="32"/>
          <w:szCs w:val="32"/>
          <w:highlight w:val="none"/>
          <w:lang w:val="en-US" w:eastAsia="zh-CN"/>
        </w:rPr>
        <w:t>2</w:t>
      </w:r>
      <w:r>
        <w:rPr>
          <w:rFonts w:hint="default" w:ascii="Times New Roman" w:hAnsi="Times New Roman" w:eastAsia="仿宋_GB2312" w:cs="Times New Roman"/>
          <w:color w:val="auto"/>
          <w:kern w:val="2"/>
          <w:sz w:val="32"/>
          <w:szCs w:val="32"/>
          <w:highlight w:val="none"/>
          <w:lang w:val="zh-CN" w:eastAsia="zh-CN" w:bidi="ar-SA"/>
        </w:rPr>
        <w:t>02</w:t>
      </w:r>
      <w:r>
        <w:rPr>
          <w:rFonts w:hint="eastAsia" w:ascii="Times New Roman" w:hAnsi="Times New Roman" w:eastAsia="仿宋_GB2312" w:cs="Times New Roman"/>
          <w:color w:val="auto"/>
          <w:kern w:val="2"/>
          <w:sz w:val="32"/>
          <w:szCs w:val="32"/>
          <w:highlight w:val="none"/>
          <w:lang w:val="en-US" w:eastAsia="zh-CN" w:bidi="ar-SA"/>
        </w:rPr>
        <w:t>4</w:t>
      </w:r>
      <w:r>
        <w:rPr>
          <w:rFonts w:hint="default" w:ascii="Times New Roman" w:hAnsi="Times New Roman" w:eastAsia="仿宋_GB2312" w:cs="Times New Roman"/>
          <w:color w:val="auto"/>
          <w:kern w:val="2"/>
          <w:sz w:val="32"/>
          <w:szCs w:val="32"/>
          <w:highlight w:val="none"/>
          <w:lang w:val="zh-CN" w:eastAsia="zh-CN" w:bidi="ar-SA"/>
        </w:rPr>
        <w:t>年度公务用车购置量0辆，发生“公务用车购置”经费支出0万元。公务用车购置费支出较预算</w:t>
      </w:r>
      <w:r>
        <w:rPr>
          <w:rFonts w:hint="eastAsia" w:ascii="Times New Roman" w:hAnsi="Times New Roman" w:eastAsia="仿宋_GB2312" w:cs="Times New Roman"/>
          <w:color w:val="auto"/>
          <w:kern w:val="2"/>
          <w:sz w:val="32"/>
          <w:szCs w:val="32"/>
          <w:highlight w:val="none"/>
          <w:lang w:val="zh-CN" w:eastAsia="zh-CN" w:bidi="ar-SA"/>
        </w:rPr>
        <w:t>持平</w:t>
      </w:r>
      <w:r>
        <w:rPr>
          <w:rFonts w:hint="default" w:ascii="Times New Roman" w:hAnsi="Times New Roman" w:eastAsia="仿宋_GB2312" w:cs="Times New Roman"/>
          <w:color w:val="auto"/>
          <w:kern w:val="2"/>
          <w:sz w:val="32"/>
          <w:szCs w:val="32"/>
          <w:highlight w:val="none"/>
          <w:lang w:val="zh-CN" w:eastAsia="zh-CN" w:bidi="ar-SA"/>
        </w:rPr>
        <w:t>；较上年</w:t>
      </w:r>
      <w:r>
        <w:rPr>
          <w:rFonts w:hint="eastAsia" w:ascii="Times New Roman" w:hAnsi="Times New Roman" w:eastAsia="仿宋_GB2312" w:cs="Times New Roman"/>
          <w:color w:val="auto"/>
          <w:kern w:val="2"/>
          <w:sz w:val="32"/>
          <w:szCs w:val="32"/>
          <w:highlight w:val="none"/>
          <w:lang w:val="zh-CN" w:eastAsia="zh-CN" w:bidi="ar-SA"/>
        </w:rPr>
        <w:t>持平</w:t>
      </w:r>
      <w:r>
        <w:rPr>
          <w:rFonts w:hint="default" w:ascii="Times New Roman" w:hAnsi="Times New Roman" w:eastAsia="仿宋_GB2312" w:cs="Times New Roman"/>
          <w:color w:val="auto"/>
          <w:kern w:val="2"/>
          <w:sz w:val="32"/>
          <w:szCs w:val="32"/>
          <w:highlight w:val="none"/>
          <w:lang w:val="zh-CN" w:eastAsia="zh-CN" w:bidi="ar-SA"/>
        </w:rPr>
        <w:t>，</w:t>
      </w:r>
      <w:r>
        <w:rPr>
          <w:rFonts w:hint="eastAsia" w:ascii="Times New Roman" w:hAnsi="Times New Roman" w:eastAsia="仿宋_GB2312" w:cs="Times New Roman"/>
          <w:color w:val="auto"/>
          <w:kern w:val="2"/>
          <w:sz w:val="32"/>
          <w:szCs w:val="32"/>
          <w:highlight w:val="none"/>
          <w:lang w:val="en-US" w:eastAsia="zh-CN" w:bidi="ar-SA"/>
        </w:rPr>
        <w:t>无增减变化</w:t>
      </w:r>
      <w:r>
        <w:rPr>
          <w:rFonts w:hint="default" w:ascii="Times New Roman" w:hAnsi="Times New Roman" w:eastAsia="仿宋_GB2312" w:cs="Times New Roman"/>
          <w:color w:val="auto"/>
          <w:kern w:val="2"/>
          <w:sz w:val="32"/>
          <w:szCs w:val="32"/>
          <w:highlight w:val="none"/>
          <w:lang w:val="zh-CN" w:eastAsia="zh-CN" w:bidi="ar-SA"/>
        </w:rPr>
        <w:t>。</w:t>
      </w:r>
    </w:p>
    <w:p>
      <w:pPr>
        <w:widowControl/>
        <w:spacing w:before="0" w:beforeLines="0" w:beforeAutospacing="0" w:after="0" w:afterLines="0" w:afterAutospacing="0" w:line="360" w:lineRule="auto"/>
        <w:ind w:firstLine="643" w:firstLineChars="200"/>
        <w:jc w:val="left"/>
        <w:rPr>
          <w:rFonts w:hint="eastAsia" w:ascii="Times New Roman" w:eastAsia="仿宋_GB2312"/>
          <w:b w:val="0"/>
          <w:sz w:val="32"/>
          <w:szCs w:val="32"/>
          <w:highlight w:val="none"/>
        </w:rPr>
      </w:pPr>
      <w:r>
        <w:rPr>
          <w:rFonts w:ascii="Times New Roman" w:eastAsia="仿宋_GB2312"/>
          <w:b/>
          <w:sz w:val="32"/>
          <w:szCs w:val="32"/>
          <w:highlight w:val="none"/>
        </w:rPr>
        <w:t>公务用车运行维护费支出0.89万元：</w:t>
      </w:r>
      <w:r>
        <w:rPr>
          <w:rFonts w:ascii="Times New Roman" w:eastAsia="仿宋_GB2312"/>
          <w:b w:val="0"/>
          <w:sz w:val="32"/>
          <w:szCs w:val="32"/>
          <w:highlight w:val="none"/>
        </w:rPr>
        <w:t>本单位2024年度单位公务用车保有量2辆，发生运行维护费支出0.89万元。公车运行维护费支出</w:t>
      </w:r>
      <w:r>
        <w:rPr>
          <w:rFonts w:hint="eastAsia" w:ascii="Times New Roman" w:eastAsia="仿宋_GB2312"/>
          <w:b w:val="0"/>
          <w:sz w:val="32"/>
          <w:szCs w:val="32"/>
          <w:highlight w:val="none"/>
        </w:rPr>
        <w:t>与预算持平；较</w:t>
      </w:r>
      <w:r>
        <w:rPr>
          <w:rFonts w:hint="eastAsia" w:ascii="Times New Roman" w:eastAsia="仿宋_GB2312"/>
          <w:b w:val="0"/>
          <w:sz w:val="32"/>
          <w:szCs w:val="32"/>
          <w:highlight w:val="none"/>
          <w:lang w:eastAsia="zh-CN"/>
        </w:rPr>
        <w:t>上年</w:t>
      </w:r>
      <w:r>
        <w:rPr>
          <w:rFonts w:hint="eastAsia" w:ascii="Times New Roman" w:eastAsia="仿宋_GB2312"/>
          <w:b w:val="0"/>
          <w:sz w:val="32"/>
          <w:szCs w:val="32"/>
          <w:highlight w:val="none"/>
        </w:rPr>
        <w:t>减少0.8万元，降低47.3%，主要原因是</w:t>
      </w:r>
      <w:r>
        <w:rPr>
          <w:rFonts w:hint="eastAsia" w:ascii="Times New Roman" w:eastAsia="仿宋_GB2312"/>
          <w:b w:val="0"/>
          <w:sz w:val="32"/>
          <w:szCs w:val="32"/>
          <w:highlight w:val="none"/>
          <w:lang w:eastAsia="zh-CN"/>
        </w:rPr>
        <w:t>公车使用减少，油费降低</w:t>
      </w:r>
      <w:r>
        <w:rPr>
          <w:rFonts w:hint="eastAsia" w:ascii="Times New Roman" w:eastAsia="仿宋_GB2312"/>
          <w:b w:val="0"/>
          <w:sz w:val="32"/>
          <w:szCs w:val="32"/>
          <w:highlight w:val="none"/>
        </w:rPr>
        <w:t>。</w:t>
      </w:r>
    </w:p>
    <w:p>
      <w:pPr>
        <w:keepNext w:val="0"/>
        <w:keepLines w:val="0"/>
        <w:pageBreakBefore w:val="0"/>
        <w:widowControl w:val="0"/>
        <w:kinsoku/>
        <w:wordWrap/>
        <w:overflowPunct/>
        <w:topLinePunct w:val="0"/>
        <w:autoSpaceDE/>
        <w:autoSpaceDN/>
        <w:bidi w:val="0"/>
        <w:adjustRightInd w:val="0"/>
        <w:snapToGrid w:val="0"/>
        <w:spacing w:line="580" w:lineRule="exact"/>
        <w:ind w:firstLine="643" w:firstLineChars="200"/>
        <w:jc w:val="left"/>
        <w:textAlignment w:val="auto"/>
        <w:rPr>
          <w:rFonts w:ascii="Times New Roman" w:eastAsia="仿宋_GB2312"/>
          <w:sz w:val="32"/>
          <w:szCs w:val="32"/>
          <w:highlight w:val="none"/>
        </w:rPr>
      </w:pPr>
      <w:r>
        <w:rPr>
          <w:rFonts w:ascii="Times New Roman" w:eastAsia="楷体_GB2312"/>
          <w:b/>
          <w:sz w:val="32"/>
          <w:szCs w:val="32"/>
          <w:highlight w:val="none"/>
        </w:rPr>
        <w:t>3.公务接待费支出情况。</w:t>
      </w:r>
      <w:r>
        <w:rPr>
          <w:rFonts w:ascii="Times New Roman" w:eastAsia="仿宋_GB2312"/>
          <w:b w:val="0"/>
          <w:sz w:val="32"/>
          <w:szCs w:val="32"/>
          <w:highlight w:val="none"/>
        </w:rPr>
        <w:t>本单位</w:t>
      </w:r>
      <w:r>
        <w:rPr>
          <w:rFonts w:hint="default" w:ascii="Times New Roman" w:hAnsi="Times New Roman" w:eastAsia="仿宋_GB2312" w:cs="Times New Roman"/>
          <w:color w:val="auto"/>
          <w:kern w:val="2"/>
          <w:sz w:val="32"/>
          <w:szCs w:val="32"/>
          <w:highlight w:val="none"/>
          <w:lang w:val="zh-CN" w:eastAsia="zh-CN" w:bidi="ar-SA"/>
        </w:rPr>
        <w:t>202</w:t>
      </w:r>
      <w:r>
        <w:rPr>
          <w:rFonts w:hint="eastAsia" w:ascii="Times New Roman" w:hAnsi="Times New Roman" w:eastAsia="仿宋_GB2312" w:cs="Times New Roman"/>
          <w:color w:val="auto"/>
          <w:kern w:val="2"/>
          <w:sz w:val="32"/>
          <w:szCs w:val="32"/>
          <w:highlight w:val="none"/>
          <w:lang w:val="en-US" w:eastAsia="zh-CN" w:bidi="ar-SA"/>
        </w:rPr>
        <w:t>4</w:t>
      </w:r>
      <w:r>
        <w:rPr>
          <w:rFonts w:hint="default" w:ascii="Times New Roman" w:hAnsi="Times New Roman" w:eastAsia="仿宋_GB2312" w:cs="Times New Roman"/>
          <w:color w:val="auto"/>
          <w:kern w:val="2"/>
          <w:sz w:val="32"/>
          <w:szCs w:val="32"/>
          <w:highlight w:val="none"/>
          <w:lang w:val="zh-CN" w:eastAsia="zh-CN" w:bidi="ar-SA"/>
        </w:rPr>
        <w:t>年度公务接待费支出预算为0万元，支出决算0万元，完成预算的0%。公务接待费支出较预算</w:t>
      </w:r>
      <w:r>
        <w:rPr>
          <w:rFonts w:hint="eastAsia" w:ascii="Times New Roman" w:hAnsi="Times New Roman" w:eastAsia="仿宋_GB2312" w:cs="Times New Roman"/>
          <w:color w:val="auto"/>
          <w:kern w:val="2"/>
          <w:sz w:val="32"/>
          <w:szCs w:val="32"/>
          <w:highlight w:val="none"/>
          <w:lang w:val="zh-CN" w:eastAsia="zh-CN" w:bidi="ar-SA"/>
        </w:rPr>
        <w:t>持平</w:t>
      </w:r>
      <w:r>
        <w:rPr>
          <w:rFonts w:hint="default" w:ascii="Times New Roman" w:hAnsi="Times New Roman" w:eastAsia="仿宋_GB2312" w:cs="Times New Roman"/>
          <w:color w:val="auto"/>
          <w:kern w:val="2"/>
          <w:sz w:val="32"/>
          <w:szCs w:val="32"/>
          <w:highlight w:val="none"/>
          <w:lang w:val="zh-CN" w:eastAsia="zh-CN" w:bidi="ar-SA"/>
        </w:rPr>
        <w:t>；较上年度</w:t>
      </w:r>
      <w:r>
        <w:rPr>
          <w:rFonts w:hint="eastAsia" w:ascii="Times New Roman" w:hAnsi="Times New Roman" w:eastAsia="仿宋_GB2312" w:cs="Times New Roman"/>
          <w:color w:val="auto"/>
          <w:kern w:val="2"/>
          <w:sz w:val="32"/>
          <w:szCs w:val="32"/>
          <w:highlight w:val="none"/>
          <w:lang w:val="en-US" w:eastAsia="zh-CN" w:bidi="ar-SA"/>
        </w:rPr>
        <w:t>决算持平</w:t>
      </w:r>
      <w:r>
        <w:rPr>
          <w:rFonts w:hint="default" w:ascii="Times New Roman" w:hAnsi="Times New Roman" w:eastAsia="仿宋_GB2312" w:cs="Times New Roman"/>
          <w:color w:val="auto"/>
          <w:kern w:val="2"/>
          <w:sz w:val="32"/>
          <w:szCs w:val="32"/>
          <w:highlight w:val="none"/>
          <w:lang w:val="zh-CN" w:eastAsia="zh-CN" w:bidi="ar-SA"/>
        </w:rPr>
        <w:t>。本年度共发生公务接待</w:t>
      </w:r>
      <w:r>
        <w:rPr>
          <w:rFonts w:hint="eastAsia" w:ascii="Times New Roman" w:hAnsi="Times New Roman" w:eastAsia="仿宋_GB2312" w:cs="Times New Roman"/>
          <w:color w:val="auto"/>
          <w:kern w:val="2"/>
          <w:sz w:val="32"/>
          <w:szCs w:val="32"/>
          <w:highlight w:val="none"/>
          <w:lang w:val="en-US" w:eastAsia="zh-CN" w:bidi="ar-SA"/>
        </w:rPr>
        <w:t>0</w:t>
      </w:r>
      <w:r>
        <w:rPr>
          <w:rFonts w:hint="default" w:ascii="Times New Roman" w:hAnsi="Times New Roman" w:eastAsia="仿宋_GB2312" w:cs="Times New Roman"/>
          <w:color w:val="auto"/>
          <w:kern w:val="2"/>
          <w:sz w:val="32"/>
          <w:szCs w:val="32"/>
          <w:highlight w:val="none"/>
          <w:lang w:val="zh-CN" w:eastAsia="zh-CN" w:bidi="ar-SA"/>
        </w:rPr>
        <w:t>批次、</w:t>
      </w:r>
      <w:r>
        <w:rPr>
          <w:rFonts w:hint="eastAsia" w:ascii="Times New Roman" w:hAnsi="Times New Roman" w:eastAsia="仿宋_GB2312" w:cs="Times New Roman"/>
          <w:color w:val="auto"/>
          <w:kern w:val="2"/>
          <w:sz w:val="32"/>
          <w:szCs w:val="32"/>
          <w:highlight w:val="none"/>
          <w:lang w:val="en-US" w:eastAsia="zh-CN" w:bidi="ar-SA"/>
        </w:rPr>
        <w:t>0</w:t>
      </w:r>
      <w:r>
        <w:rPr>
          <w:rFonts w:hint="default" w:ascii="Times New Roman" w:hAnsi="Times New Roman" w:eastAsia="仿宋_GB2312" w:cs="Times New Roman"/>
          <w:color w:val="auto"/>
          <w:kern w:val="2"/>
          <w:sz w:val="32"/>
          <w:szCs w:val="32"/>
          <w:highlight w:val="none"/>
          <w:lang w:val="zh-CN" w:eastAsia="zh-CN" w:bidi="ar-SA"/>
        </w:rPr>
        <w:t>人次。</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highlight w:val="none"/>
        </w:rPr>
      </w:pPr>
      <w:r>
        <w:rPr>
          <w:rFonts w:ascii="Times New Roman" w:eastAsia="黑体"/>
          <w:b w:val="0"/>
          <w:sz w:val="32"/>
          <w:szCs w:val="32"/>
          <w:highlight w:val="none"/>
        </w:rPr>
        <w:t>六、机关运行经费支出说明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本单位2024年度机关运行经费支出51.97万元，较2023年度减少14.06万元，降低21.3%。</w:t>
      </w:r>
      <w:r>
        <w:rPr>
          <w:rFonts w:hint="eastAsia" w:ascii="Times New Roman" w:eastAsia="仿宋_GB2312"/>
          <w:b w:val="0"/>
          <w:sz w:val="32"/>
          <w:szCs w:val="32"/>
          <w:highlight w:val="none"/>
        </w:rPr>
        <w:t>主要原因是</w:t>
      </w:r>
      <w:r>
        <w:rPr>
          <w:rFonts w:hint="eastAsia" w:ascii="Times New Roman" w:eastAsia="仿宋_GB2312"/>
          <w:b w:val="0"/>
          <w:sz w:val="32"/>
          <w:szCs w:val="32"/>
          <w:highlight w:val="none"/>
          <w:lang w:val="en-US" w:eastAsia="zh-CN"/>
        </w:rPr>
        <w:t>办公费、</w:t>
      </w:r>
      <w:r>
        <w:rPr>
          <w:rFonts w:hint="eastAsia" w:ascii="Times New Roman" w:eastAsia="仿宋_GB2312"/>
          <w:b w:val="0"/>
          <w:sz w:val="32"/>
          <w:szCs w:val="32"/>
          <w:highlight w:val="none"/>
        </w:rPr>
        <w:t>印刷费、</w:t>
      </w:r>
      <w:r>
        <w:rPr>
          <w:rFonts w:hint="eastAsia" w:ascii="Times New Roman" w:eastAsia="仿宋_GB2312"/>
          <w:b w:val="0"/>
          <w:sz w:val="32"/>
          <w:szCs w:val="32"/>
          <w:highlight w:val="none"/>
          <w:lang w:val="en-US" w:eastAsia="zh-CN"/>
        </w:rPr>
        <w:t>邮电、委托业务费等费用</w:t>
      </w:r>
      <w:r>
        <w:rPr>
          <w:rFonts w:hint="eastAsia" w:ascii="Times New Roman" w:eastAsia="仿宋_GB2312"/>
          <w:b w:val="0"/>
          <w:sz w:val="32"/>
          <w:szCs w:val="32"/>
          <w:highlight w:val="none"/>
        </w:rPr>
        <w:t>减少</w:t>
      </w:r>
      <w:r>
        <w:rPr>
          <w:rFonts w:ascii="Times New Roman" w:eastAsia="仿宋_GB2312"/>
          <w:b w:val="0"/>
          <w:sz w:val="32"/>
          <w:szCs w:val="32"/>
          <w:highlight w:val="none"/>
        </w:rPr>
        <w:t>。</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highlight w:val="none"/>
        </w:rPr>
      </w:pPr>
      <w:r>
        <w:rPr>
          <w:rFonts w:ascii="Times New Roman" w:eastAsia="黑体"/>
          <w:b w:val="0"/>
          <w:sz w:val="32"/>
          <w:szCs w:val="32"/>
          <w:highlight w:val="none"/>
        </w:rPr>
        <w:t>七、政府采购支出说明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本单位2024年度政府采购支出总额2万元，从采购类型来看，政府采购货物支出1.11万元、政府采购工程支出0万元、政府采购服务支出0.89万元。授予中小企业合同金额1.52万元，占政府采购支出总额的76%，其中授予小微企业合同金额1.52万元，占政府采购支出总额的76%。</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highlight w:val="none"/>
        </w:rPr>
      </w:pPr>
      <w:r>
        <w:rPr>
          <w:rFonts w:ascii="Times New Roman" w:eastAsia="黑体"/>
          <w:b w:val="0"/>
          <w:sz w:val="32"/>
          <w:szCs w:val="32"/>
          <w:highlight w:val="none"/>
        </w:rPr>
        <w:t>八、国有资产占用情况说明</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截至2024年12月31日，本单位共有车辆2辆，</w:t>
      </w:r>
      <w:r>
        <w:rPr>
          <w:rFonts w:hint="eastAsia" w:ascii="Times New Roman" w:eastAsia="仿宋_GB2312"/>
          <w:b w:val="0"/>
          <w:sz w:val="32"/>
          <w:szCs w:val="32"/>
          <w:highlight w:val="none"/>
        </w:rPr>
        <w:t>与上年持平。</w:t>
      </w:r>
      <w:r>
        <w:rPr>
          <w:rFonts w:ascii="Times New Roman" w:eastAsia="仿宋_GB2312"/>
          <w:b w:val="0"/>
          <w:sz w:val="32"/>
          <w:szCs w:val="32"/>
          <w:highlight w:val="none"/>
        </w:rPr>
        <w:t>其中，副部（省）级及以上领导用车0辆，主要负责人用车0辆，机要通信用车0辆，应急保障用车1辆，执法执勤用车0辆，特种专业技术用车0辆，离退休干部用车1辆，其他用车0辆。单位价值100万元（含）以上设备（不含车辆）0台（套）。</w:t>
      </w:r>
    </w:p>
    <w:p>
      <w:pPr>
        <w:widowControl/>
        <w:spacing w:before="0" w:beforeLines="0" w:beforeAutospacing="0" w:after="0" w:afterLines="0" w:afterAutospacing="0" w:line="360" w:lineRule="auto"/>
        <w:ind w:firstLine="640" w:firstLineChars="200"/>
        <w:jc w:val="left"/>
        <w:outlineLvl w:val="1"/>
        <w:rPr>
          <w:rFonts w:ascii="Times New Roman" w:eastAsia="黑体"/>
          <w:sz w:val="32"/>
          <w:szCs w:val="32"/>
          <w:highlight w:val="none"/>
        </w:rPr>
      </w:pPr>
      <w:r>
        <w:rPr>
          <w:rFonts w:ascii="Times New Roman" w:eastAsia="黑体"/>
          <w:b w:val="0"/>
          <w:sz w:val="32"/>
          <w:szCs w:val="32"/>
          <w:highlight w:val="none"/>
        </w:rPr>
        <w:t>九、关于2024年度绩效评价情况的说明</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（一）绩效评价工作开展情况</w:t>
      </w: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highlight w:val="none"/>
        </w:rPr>
      </w:pPr>
      <w:r>
        <w:rPr>
          <w:rFonts w:ascii="Times New Roman" w:eastAsia="仿宋_GB2312"/>
          <w:b w:val="0"/>
          <w:sz w:val="32"/>
          <w:szCs w:val="32"/>
          <w:highlight w:val="none"/>
        </w:rPr>
        <w:t>根据预算绩效管理要求，本单位组织对2024年度本级预算项目支出全面开展绩效自评，共涉及资金</w:t>
      </w:r>
      <w:r>
        <w:rPr>
          <w:rFonts w:hint="eastAsia" w:ascii="Times New Roman" w:eastAsia="仿宋_GB2312"/>
          <w:b w:val="0"/>
          <w:sz w:val="32"/>
          <w:szCs w:val="32"/>
          <w:highlight w:val="none"/>
        </w:rPr>
        <w:t>5</w:t>
      </w:r>
      <w:r>
        <w:rPr>
          <w:rFonts w:hint="eastAsia" w:ascii="Times New Roman" w:eastAsia="仿宋_GB2312"/>
          <w:b w:val="0"/>
          <w:sz w:val="32"/>
          <w:szCs w:val="32"/>
          <w:highlight w:val="none"/>
          <w:lang w:val="en-US" w:eastAsia="zh-CN"/>
        </w:rPr>
        <w:t>6.32</w:t>
      </w:r>
      <w:r>
        <w:rPr>
          <w:rFonts w:ascii="Times New Roman" w:eastAsia="仿宋_GB2312"/>
          <w:b w:val="0"/>
          <w:sz w:val="32"/>
          <w:szCs w:val="32"/>
          <w:highlight w:val="none"/>
        </w:rPr>
        <w:t>万元（决算金额）。</w:t>
      </w:r>
      <w:r>
        <w:rPr>
          <w:rFonts w:hint="eastAsia" w:ascii="Times New Roman" w:eastAsia="仿宋_GB2312"/>
          <w:b w:val="0"/>
          <w:sz w:val="32"/>
          <w:szCs w:val="32"/>
          <w:highlight w:val="none"/>
        </w:rPr>
        <w:t>其中，一级项目</w:t>
      </w:r>
      <w:r>
        <w:rPr>
          <w:rFonts w:hint="eastAsia" w:ascii="Times New Roman" w:eastAsia="仿宋_GB2312"/>
          <w:b w:val="0"/>
          <w:sz w:val="32"/>
          <w:szCs w:val="32"/>
          <w:highlight w:val="none"/>
          <w:lang w:val="en-US" w:eastAsia="zh-CN"/>
        </w:rPr>
        <w:t>4</w:t>
      </w:r>
      <w:r>
        <w:rPr>
          <w:rFonts w:hint="eastAsia" w:ascii="Times New Roman" w:eastAsia="仿宋_GB2312"/>
          <w:b w:val="0"/>
          <w:sz w:val="32"/>
          <w:szCs w:val="32"/>
          <w:highlight w:val="none"/>
        </w:rPr>
        <w:t>个，二级项目0个，共涉及资金5</w:t>
      </w:r>
      <w:r>
        <w:rPr>
          <w:rFonts w:hint="eastAsia" w:ascii="Times New Roman" w:eastAsia="仿宋_GB2312"/>
          <w:b w:val="0"/>
          <w:sz w:val="32"/>
          <w:szCs w:val="32"/>
          <w:highlight w:val="none"/>
          <w:lang w:val="en-US" w:eastAsia="zh-CN"/>
        </w:rPr>
        <w:t>6.32</w:t>
      </w:r>
      <w:r>
        <w:rPr>
          <w:rFonts w:hint="eastAsia" w:ascii="Times New Roman" w:eastAsia="仿宋_GB2312"/>
          <w:b w:val="0"/>
          <w:sz w:val="32"/>
          <w:szCs w:val="32"/>
          <w:highlight w:val="none"/>
        </w:rPr>
        <w:t>万元，占一般公共预算项目支出总额的100%。本单位无202</w:t>
      </w:r>
      <w:r>
        <w:rPr>
          <w:rFonts w:hint="eastAsia" w:ascii="Times New Roman" w:eastAsia="仿宋_GB2312"/>
          <w:b w:val="0"/>
          <w:sz w:val="32"/>
          <w:szCs w:val="32"/>
          <w:highlight w:val="none"/>
          <w:lang w:val="en-US" w:eastAsia="zh-CN"/>
        </w:rPr>
        <w:t>4</w:t>
      </w:r>
      <w:r>
        <w:rPr>
          <w:rFonts w:hint="eastAsia" w:ascii="Times New Roman" w:eastAsia="仿宋_GB2312"/>
          <w:b w:val="0"/>
          <w:sz w:val="32"/>
          <w:szCs w:val="32"/>
          <w:highlight w:val="none"/>
        </w:rPr>
        <w:t>年度政府性基金预算项目支出。本单位无202</w:t>
      </w:r>
      <w:r>
        <w:rPr>
          <w:rFonts w:hint="eastAsia" w:ascii="Times New Roman" w:eastAsia="仿宋_GB2312"/>
          <w:b w:val="0"/>
          <w:sz w:val="32"/>
          <w:szCs w:val="32"/>
          <w:highlight w:val="none"/>
          <w:lang w:val="en-US" w:eastAsia="zh-CN"/>
        </w:rPr>
        <w:t>4</w:t>
      </w:r>
      <w:r>
        <w:rPr>
          <w:rFonts w:hint="eastAsia" w:ascii="Times New Roman" w:eastAsia="仿宋_GB2312"/>
          <w:b w:val="0"/>
          <w:sz w:val="32"/>
          <w:szCs w:val="32"/>
          <w:highlight w:val="none"/>
        </w:rPr>
        <w:t>年度国有资本经营预算项目支出。</w:t>
      </w: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highlight w:val="none"/>
        </w:rPr>
      </w:pPr>
      <w:r>
        <w:rPr>
          <w:rFonts w:ascii="Times New Roman" w:eastAsia="仿宋_GB2312"/>
          <w:b w:val="0"/>
          <w:sz w:val="32"/>
          <w:szCs w:val="32"/>
          <w:highlight w:val="none"/>
        </w:rPr>
        <w:t>组织对</w:t>
      </w:r>
      <w:r>
        <w:rPr>
          <w:rFonts w:hint="eastAsia" w:ascii="Times New Roman" w:eastAsia="仿宋_GB2312"/>
          <w:b w:val="0"/>
          <w:sz w:val="32"/>
          <w:szCs w:val="32"/>
          <w:highlight w:val="none"/>
        </w:rPr>
        <w:t>“离退休特需费”、“企业离休公用经费及老干部专项活动经费”等4个一级项目开展了重点评价，涉及一般公共预算支出5</w:t>
      </w:r>
      <w:r>
        <w:rPr>
          <w:rFonts w:hint="eastAsia" w:ascii="Times New Roman" w:eastAsia="仿宋_GB2312"/>
          <w:b w:val="0"/>
          <w:sz w:val="32"/>
          <w:szCs w:val="32"/>
          <w:highlight w:val="none"/>
          <w:lang w:val="en-US" w:eastAsia="zh-CN"/>
        </w:rPr>
        <w:t>6.32</w:t>
      </w:r>
      <w:r>
        <w:rPr>
          <w:rFonts w:hint="eastAsia" w:ascii="Times New Roman" w:eastAsia="仿宋_GB2312"/>
          <w:b w:val="0"/>
          <w:sz w:val="32"/>
          <w:szCs w:val="32"/>
          <w:highlight w:val="none"/>
        </w:rPr>
        <w:t>万元</w:t>
      </w:r>
      <w:r>
        <w:rPr>
          <w:rFonts w:ascii="Times New Roman" w:eastAsia="仿宋_GB2312"/>
          <w:b w:val="0"/>
          <w:sz w:val="32"/>
          <w:szCs w:val="32"/>
          <w:highlight w:val="none"/>
        </w:rPr>
        <w:t>，政府性基金预算支出</w:t>
      </w:r>
      <w:r>
        <w:rPr>
          <w:rFonts w:hint="eastAsia" w:ascii="Times New Roman" w:eastAsia="仿宋_GB2312"/>
          <w:b w:val="0"/>
          <w:sz w:val="32"/>
          <w:szCs w:val="32"/>
          <w:highlight w:val="none"/>
          <w:lang w:val="en-US" w:eastAsia="zh-CN"/>
        </w:rPr>
        <w:t>0</w:t>
      </w:r>
      <w:r>
        <w:rPr>
          <w:rFonts w:ascii="Times New Roman" w:eastAsia="仿宋_GB2312"/>
          <w:b w:val="0"/>
          <w:sz w:val="32"/>
          <w:szCs w:val="32"/>
          <w:highlight w:val="none"/>
        </w:rPr>
        <w:t>万元，国有资本经营预算支出</w:t>
      </w:r>
      <w:r>
        <w:rPr>
          <w:rFonts w:hint="eastAsia" w:ascii="Times New Roman" w:eastAsia="仿宋_GB2312"/>
          <w:b w:val="0"/>
          <w:sz w:val="32"/>
          <w:szCs w:val="32"/>
          <w:highlight w:val="none"/>
          <w:lang w:val="en-US" w:eastAsia="zh-CN"/>
        </w:rPr>
        <w:t>0</w:t>
      </w:r>
      <w:r>
        <w:rPr>
          <w:rFonts w:ascii="Times New Roman" w:eastAsia="仿宋_GB2312"/>
          <w:b w:val="0"/>
          <w:sz w:val="32"/>
          <w:szCs w:val="32"/>
          <w:highlight w:val="none"/>
        </w:rPr>
        <w:t>万元，</w:t>
      </w:r>
      <w:r>
        <w:rPr>
          <w:rFonts w:hint="eastAsia" w:ascii="Times New Roman" w:eastAsia="仿宋_GB2312"/>
          <w:b w:val="0"/>
          <w:sz w:val="32"/>
          <w:szCs w:val="32"/>
          <w:highlight w:val="none"/>
        </w:rPr>
        <w:t>从评价情况来看，基本完成年初目标。</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（二）部门决算中项目绩效自评结果</w:t>
      </w: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highlight w:val="none"/>
        </w:rPr>
      </w:pPr>
      <w:r>
        <w:rPr>
          <w:rFonts w:ascii="Times New Roman" w:eastAsia="仿宋_GB2312"/>
          <w:b w:val="0"/>
          <w:sz w:val="32"/>
          <w:szCs w:val="32"/>
          <w:highlight w:val="none"/>
        </w:rPr>
        <w:t>本单位</w:t>
      </w:r>
      <w:r>
        <w:rPr>
          <w:rFonts w:hint="eastAsia" w:ascii="Times New Roman" w:eastAsia="仿宋_GB2312"/>
          <w:b w:val="0"/>
          <w:sz w:val="32"/>
          <w:szCs w:val="32"/>
          <w:highlight w:val="none"/>
          <w:lang w:eastAsia="zh-CN"/>
        </w:rPr>
        <w:t>在</w:t>
      </w:r>
      <w:r>
        <w:rPr>
          <w:rFonts w:hint="eastAsia" w:ascii="Times New Roman" w:eastAsia="仿宋_GB2312"/>
          <w:b w:val="0"/>
          <w:sz w:val="32"/>
          <w:szCs w:val="32"/>
          <w:highlight w:val="none"/>
        </w:rPr>
        <w:t>今年部门决算公开中反映202</w:t>
      </w:r>
      <w:r>
        <w:rPr>
          <w:rFonts w:hint="eastAsia" w:ascii="Times New Roman" w:eastAsia="仿宋_GB2312"/>
          <w:b w:val="0"/>
          <w:sz w:val="32"/>
          <w:szCs w:val="32"/>
          <w:highlight w:val="none"/>
          <w:lang w:val="en-US" w:eastAsia="zh-CN"/>
        </w:rPr>
        <w:t>4</w:t>
      </w:r>
      <w:r>
        <w:rPr>
          <w:rFonts w:hint="eastAsia" w:ascii="Times New Roman" w:eastAsia="仿宋_GB2312"/>
          <w:b w:val="0"/>
          <w:sz w:val="32"/>
          <w:szCs w:val="32"/>
          <w:highlight w:val="none"/>
        </w:rPr>
        <w:t>年离退休特需费项目及202</w:t>
      </w:r>
      <w:r>
        <w:rPr>
          <w:rFonts w:hint="eastAsia" w:ascii="Times New Roman" w:eastAsia="仿宋_GB2312"/>
          <w:b w:val="0"/>
          <w:sz w:val="32"/>
          <w:szCs w:val="32"/>
          <w:highlight w:val="none"/>
          <w:lang w:val="en-US" w:eastAsia="zh-CN"/>
        </w:rPr>
        <w:t>4</w:t>
      </w:r>
      <w:r>
        <w:rPr>
          <w:rFonts w:hint="eastAsia" w:ascii="Times New Roman" w:eastAsia="仿宋_GB2312"/>
          <w:b w:val="0"/>
          <w:sz w:val="32"/>
          <w:szCs w:val="32"/>
          <w:highlight w:val="none"/>
        </w:rPr>
        <w:t>年企业离休公用经费及老干部专项活动经费项目等</w:t>
      </w:r>
      <w:r>
        <w:rPr>
          <w:rFonts w:hint="eastAsia" w:ascii="Times New Roman" w:eastAsia="仿宋_GB2312"/>
          <w:b w:val="0"/>
          <w:sz w:val="32"/>
          <w:szCs w:val="32"/>
          <w:highlight w:val="none"/>
          <w:lang w:val="en-US" w:eastAsia="zh-CN"/>
        </w:rPr>
        <w:t>4</w:t>
      </w:r>
      <w:r>
        <w:rPr>
          <w:rFonts w:hint="eastAsia" w:ascii="Times New Roman" w:eastAsia="仿宋_GB2312"/>
          <w:b w:val="0"/>
          <w:sz w:val="32"/>
          <w:szCs w:val="32"/>
          <w:highlight w:val="none"/>
        </w:rPr>
        <w:t>个项目绩效自评结果。</w:t>
      </w:r>
    </w:p>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highlight w:val="none"/>
        </w:rPr>
      </w:pPr>
      <w:r>
        <w:rPr>
          <w:rFonts w:hint="eastAsia" w:ascii="Times New Roman" w:eastAsia="仿宋_GB2312"/>
          <w:b w:val="0"/>
          <w:sz w:val="32"/>
          <w:szCs w:val="32"/>
          <w:highlight w:val="none"/>
        </w:rPr>
        <w:t>202</w:t>
      </w:r>
      <w:r>
        <w:rPr>
          <w:rFonts w:hint="eastAsia" w:ascii="Times New Roman" w:eastAsia="仿宋_GB2312"/>
          <w:b w:val="0"/>
          <w:sz w:val="32"/>
          <w:szCs w:val="32"/>
          <w:highlight w:val="none"/>
          <w:lang w:val="en-US" w:eastAsia="zh-CN"/>
        </w:rPr>
        <w:t>4</w:t>
      </w:r>
      <w:r>
        <w:rPr>
          <w:rFonts w:hint="eastAsia" w:ascii="Times New Roman" w:eastAsia="仿宋_GB2312"/>
          <w:b w:val="0"/>
          <w:sz w:val="32"/>
          <w:szCs w:val="32"/>
          <w:highlight w:val="none"/>
        </w:rPr>
        <w:t>年离退休特需费项目绩效自评情况：根据年初设定的绩效目标，202</w:t>
      </w:r>
      <w:r>
        <w:rPr>
          <w:rFonts w:hint="eastAsia" w:ascii="Times New Roman" w:eastAsia="仿宋_GB2312"/>
          <w:b w:val="0"/>
          <w:sz w:val="32"/>
          <w:szCs w:val="32"/>
          <w:highlight w:val="none"/>
          <w:lang w:val="en-US" w:eastAsia="zh-CN"/>
        </w:rPr>
        <w:t>4</w:t>
      </w:r>
      <w:r>
        <w:rPr>
          <w:rFonts w:hint="eastAsia" w:ascii="Times New Roman" w:eastAsia="仿宋_GB2312"/>
          <w:b w:val="0"/>
          <w:sz w:val="32"/>
          <w:szCs w:val="32"/>
          <w:highlight w:val="none"/>
        </w:rPr>
        <w:t>年离退休特需费项目绩效自评得分为98分（绩效自评表附后）。全年预算数为42.</w:t>
      </w:r>
      <w:r>
        <w:rPr>
          <w:rFonts w:hint="eastAsia" w:ascii="Times New Roman" w:eastAsia="仿宋_GB2312"/>
          <w:b w:val="0"/>
          <w:sz w:val="32"/>
          <w:szCs w:val="32"/>
          <w:highlight w:val="none"/>
          <w:lang w:val="en-US" w:eastAsia="zh-CN"/>
        </w:rPr>
        <w:t>9</w:t>
      </w:r>
      <w:r>
        <w:rPr>
          <w:rFonts w:hint="eastAsia" w:ascii="Times New Roman" w:eastAsia="仿宋_GB2312"/>
          <w:b w:val="0"/>
          <w:sz w:val="32"/>
          <w:szCs w:val="32"/>
          <w:highlight w:val="none"/>
        </w:rPr>
        <w:t>万元，执行数为42.</w:t>
      </w:r>
      <w:r>
        <w:rPr>
          <w:rFonts w:hint="eastAsia" w:ascii="Times New Roman" w:eastAsia="仿宋_GB2312"/>
          <w:b w:val="0"/>
          <w:sz w:val="32"/>
          <w:szCs w:val="32"/>
          <w:highlight w:val="none"/>
          <w:lang w:val="en-US" w:eastAsia="zh-CN"/>
        </w:rPr>
        <w:t>9</w:t>
      </w:r>
      <w:r>
        <w:rPr>
          <w:rFonts w:hint="eastAsia" w:ascii="Times New Roman" w:eastAsia="仿宋_GB2312"/>
          <w:b w:val="0"/>
          <w:sz w:val="32"/>
          <w:szCs w:val="32"/>
          <w:highlight w:val="none"/>
        </w:rPr>
        <w:t>万元，完成预算的100%。通过项目实施，完成了年初设定的各项绩效目标，举办老干部春秋两次趣味运动会、书画展、文艺演出等活动，未发现问题。</w:t>
      </w: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54"/>
        <w:gridCol w:w="1154"/>
        <w:gridCol w:w="1185"/>
        <w:gridCol w:w="771"/>
        <w:gridCol w:w="1098"/>
        <w:gridCol w:w="947"/>
        <w:gridCol w:w="1209"/>
        <w:gridCol w:w="167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17" w:hRule="atLeast"/>
        </w:trPr>
        <w:tc>
          <w:tcPr>
            <w:tcW w:w="5000" w:type="pct"/>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highlight w:val="none"/>
                <w:u w:val="none"/>
              </w:rPr>
            </w:pPr>
            <w:r>
              <w:rPr>
                <w:rFonts w:hint="eastAsia" w:ascii="方正小标宋_GBK" w:hAnsi="方正小标宋_GBK" w:eastAsia="方正小标宋_GBK" w:cs="方正小标宋_GBK"/>
                <w:i w:val="0"/>
                <w:iCs w:val="0"/>
                <w:color w:val="000000"/>
                <w:kern w:val="0"/>
                <w:sz w:val="44"/>
                <w:szCs w:val="44"/>
                <w:highlight w:val="none"/>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trPr>
        <w:tc>
          <w:tcPr>
            <w:tcW w:w="5000" w:type="pct"/>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2" w:hRule="atLeast"/>
        </w:trPr>
        <w:tc>
          <w:tcPr>
            <w:tcW w:w="675"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填报单位：</w:t>
            </w:r>
          </w:p>
        </w:tc>
        <w:tc>
          <w:tcPr>
            <w:tcW w:w="1674" w:type="pct"/>
            <w:gridSpan w:val="3"/>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中共石家庄市鹿泉区委老干部局</w:t>
            </w:r>
          </w:p>
        </w:tc>
        <w:tc>
          <w:tcPr>
            <w:tcW w:w="591"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c>
          <w:tcPr>
            <w:tcW w:w="510"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c>
          <w:tcPr>
            <w:tcW w:w="650"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c>
          <w:tcPr>
            <w:tcW w:w="898"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1" w:hRule="atLeast"/>
        </w:trPr>
        <w:tc>
          <w:tcPr>
            <w:tcW w:w="675"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w:t>
            </w:r>
            <w:r>
              <w:rPr>
                <w:rStyle w:val="26"/>
                <w:rFonts w:eastAsia="宋体"/>
                <w:highlight w:val="none"/>
                <w:lang w:val="en-US" w:eastAsia="zh-CN" w:bidi="ar"/>
              </w:rPr>
              <w:t xml:space="preserve"> </w:t>
            </w:r>
            <w:r>
              <w:rPr>
                <w:rStyle w:val="27"/>
                <w:highlight w:val="none"/>
                <w:lang w:val="en-US" w:eastAsia="zh-CN" w:bidi="ar"/>
              </w:rPr>
              <w:t>基本情况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105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离退休特需费（非专项资金）</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实施(主管）单位</w:t>
            </w:r>
          </w:p>
        </w:tc>
        <w:tc>
          <w:tcPr>
            <w:tcW w:w="205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中共石家庄市鹿泉区委老干部局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trPr>
        <w:tc>
          <w:tcPr>
            <w:tcW w:w="6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二、预算执行情况</w:t>
            </w:r>
          </w:p>
        </w:tc>
        <w:tc>
          <w:tcPr>
            <w:tcW w:w="12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预算安排情况（调整后）</w:t>
            </w:r>
          </w:p>
        </w:tc>
        <w:tc>
          <w:tcPr>
            <w:tcW w:w="10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资金到位情况</w:t>
            </w:r>
          </w:p>
        </w:tc>
        <w:tc>
          <w:tcPr>
            <w:tcW w:w="11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资金执行情况</w:t>
            </w:r>
          </w:p>
        </w:tc>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1" w:hRule="atLeast"/>
        </w:trPr>
        <w:tc>
          <w:tcPr>
            <w:tcW w:w="6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预算数：</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42.8980</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到位数：</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42.8980</w:t>
            </w:r>
          </w:p>
        </w:tc>
        <w:tc>
          <w:tcPr>
            <w:tcW w:w="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执行数：</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42.8980</w:t>
            </w:r>
          </w:p>
        </w:tc>
        <w:tc>
          <w:tcPr>
            <w:tcW w:w="8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6" w:hRule="atLeast"/>
        </w:trPr>
        <w:tc>
          <w:tcPr>
            <w:tcW w:w="6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w:t>
            </w:r>
            <w:r>
              <w:rPr>
                <w:rStyle w:val="27"/>
                <w:highlight w:val="none"/>
                <w:lang w:val="en-US" w:eastAsia="zh-CN" w:bidi="ar"/>
              </w:rPr>
              <w:t xml:space="preserve">                 财政资金</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42.8980</w:t>
            </w: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w:t>
            </w:r>
            <w:r>
              <w:rPr>
                <w:rStyle w:val="27"/>
                <w:highlight w:val="none"/>
                <w:lang w:val="en-US" w:eastAsia="zh-CN" w:bidi="ar"/>
              </w:rPr>
              <w:t xml:space="preserve">                      财政资金</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42.8980</w:t>
            </w:r>
          </w:p>
        </w:tc>
        <w:tc>
          <w:tcPr>
            <w:tcW w:w="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w:t>
            </w:r>
            <w:r>
              <w:rPr>
                <w:rStyle w:val="27"/>
                <w:highlight w:val="none"/>
                <w:lang w:val="en-US" w:eastAsia="zh-CN" w:bidi="ar"/>
              </w:rPr>
              <w:t xml:space="preserve">                     财政资金</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default" w:ascii="宋体" w:hAnsi="宋体" w:eastAsia="宋体" w:cs="宋体"/>
                <w:i w:val="0"/>
                <w:iCs w:val="0"/>
                <w:color w:val="000000"/>
                <w:sz w:val="20"/>
                <w:szCs w:val="20"/>
                <w:highlight w:val="none"/>
                <w:u w:val="none"/>
                <w:lang w:val="en-US"/>
              </w:rPr>
            </w:pPr>
            <w:r>
              <w:rPr>
                <w:rFonts w:hint="eastAsia" w:ascii="宋体" w:hAnsi="宋体" w:eastAsia="宋体" w:cs="宋体"/>
                <w:i w:val="0"/>
                <w:iCs w:val="0"/>
                <w:color w:val="000000"/>
                <w:kern w:val="0"/>
                <w:sz w:val="20"/>
                <w:szCs w:val="20"/>
                <w:highlight w:val="none"/>
                <w:u w:val="none"/>
                <w:lang w:val="en-US" w:eastAsia="zh-CN" w:bidi="ar"/>
              </w:rPr>
              <w:t>42.8980</w:t>
            </w:r>
          </w:p>
        </w:tc>
        <w:tc>
          <w:tcPr>
            <w:tcW w:w="8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trPr>
        <w:tc>
          <w:tcPr>
            <w:tcW w:w="6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63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highlight w:val="none"/>
                <w:u w:val="none"/>
              </w:rPr>
            </w:pPr>
          </w:p>
        </w:tc>
        <w:tc>
          <w:tcPr>
            <w:tcW w:w="41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59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highlight w:val="none"/>
                <w:u w:val="none"/>
              </w:rPr>
            </w:pPr>
          </w:p>
        </w:tc>
        <w:tc>
          <w:tcPr>
            <w:tcW w:w="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highlight w:val="none"/>
                <w:u w:val="none"/>
              </w:rPr>
            </w:pPr>
          </w:p>
        </w:tc>
        <w:tc>
          <w:tcPr>
            <w:tcW w:w="8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7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三、目标完成情况</w:t>
            </w:r>
          </w:p>
        </w:tc>
        <w:tc>
          <w:tcPr>
            <w:tcW w:w="167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年度预期目标</w:t>
            </w:r>
          </w:p>
        </w:tc>
        <w:tc>
          <w:tcPr>
            <w:tcW w:w="1752"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具体完成情况</w:t>
            </w:r>
          </w:p>
        </w:tc>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4" w:hRule="atLeast"/>
        </w:trPr>
        <w:tc>
          <w:tcPr>
            <w:tcW w:w="6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674"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安排照顾离退休干部晚年生活，解决离退休干部特殊困难补助及思想政治建设、党支部建设、各类文体活动的经费开支。</w:t>
            </w:r>
          </w:p>
        </w:tc>
        <w:tc>
          <w:tcPr>
            <w:tcW w:w="1752"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举办老干部春秋两次趣味运动会、书画展、文艺演出等活动</w:t>
            </w:r>
          </w:p>
        </w:tc>
        <w:tc>
          <w:tcPr>
            <w:tcW w:w="8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8" w:hRule="atLeast"/>
        </w:trPr>
        <w:tc>
          <w:tcPr>
            <w:tcW w:w="67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674"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752"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8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0" w:hRule="atLeast"/>
        </w:trPr>
        <w:tc>
          <w:tcPr>
            <w:tcW w:w="675"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674" w:type="pct"/>
            <w:gridSpan w:val="3"/>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752" w:type="pct"/>
            <w:gridSpan w:val="3"/>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898"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trPr>
        <w:tc>
          <w:tcPr>
            <w:tcW w:w="675" w:type="pct"/>
            <w:vMerge w:val="restart"/>
            <w:tcBorders>
              <w:top w:val="single" w:color="auto" w:sz="4" w:space="0"/>
              <w:left w:val="single" w:color="auto"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四、</w:t>
            </w:r>
            <w:r>
              <w:rPr>
                <w:rStyle w:val="26"/>
                <w:rFonts w:eastAsia="宋体"/>
                <w:highlight w:val="none"/>
                <w:lang w:val="en-US" w:eastAsia="zh-CN" w:bidi="ar"/>
              </w:rPr>
              <w:t xml:space="preserve"> </w:t>
            </w:r>
            <w:r>
              <w:rPr>
                <w:rStyle w:val="27"/>
                <w:highlight w:val="none"/>
                <w:lang w:val="en-US" w:eastAsia="zh-CN" w:bidi="ar"/>
              </w:rPr>
              <w:t>年度绩效指标完成情况</w:t>
            </w:r>
          </w:p>
        </w:tc>
        <w:tc>
          <w:tcPr>
            <w:tcW w:w="621"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一级指标</w:t>
            </w:r>
          </w:p>
        </w:tc>
        <w:tc>
          <w:tcPr>
            <w:tcW w:w="637"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二级指标</w:t>
            </w:r>
          </w:p>
        </w:tc>
        <w:tc>
          <w:tcPr>
            <w:tcW w:w="1006" w:type="pct"/>
            <w:gridSpan w:val="2"/>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三级指标</w:t>
            </w:r>
          </w:p>
        </w:tc>
        <w:tc>
          <w:tcPr>
            <w:tcW w:w="510"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预期指标值</w:t>
            </w:r>
          </w:p>
        </w:tc>
        <w:tc>
          <w:tcPr>
            <w:tcW w:w="650"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实际完成值</w:t>
            </w:r>
          </w:p>
        </w:tc>
        <w:tc>
          <w:tcPr>
            <w:tcW w:w="898" w:type="pct"/>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675" w:type="pct"/>
            <w:vMerge w:val="continue"/>
            <w:tcBorders>
              <w:top w:val="single" w:color="000000" w:sz="4" w:space="0"/>
              <w:left w:val="single" w:color="auto"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1" w:type="pct"/>
            <w:vMerge w:val="restart"/>
            <w:tcBorders>
              <w:top w:val="single" w:color="auto" w:sz="4" w:space="0"/>
              <w:left w:val="single" w:color="auto"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产出指标（40）</w:t>
            </w:r>
          </w:p>
        </w:tc>
        <w:tc>
          <w:tcPr>
            <w:tcW w:w="637" w:type="pct"/>
            <w:tcBorders>
              <w:top w:val="single" w:color="auto"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数量指标</w:t>
            </w:r>
          </w:p>
        </w:tc>
        <w:tc>
          <w:tcPr>
            <w:tcW w:w="1006" w:type="pct"/>
            <w:gridSpan w:val="2"/>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参加活动人数</w:t>
            </w:r>
          </w:p>
        </w:tc>
        <w:tc>
          <w:tcPr>
            <w:tcW w:w="51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≥2000人</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≥2000人</w:t>
            </w:r>
          </w:p>
        </w:tc>
        <w:tc>
          <w:tcPr>
            <w:tcW w:w="898"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675" w:type="pct"/>
            <w:vMerge w:val="continue"/>
            <w:tcBorders>
              <w:top w:val="single" w:color="000000"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1" w:type="pct"/>
            <w:vMerge w:val="continue"/>
            <w:tcBorders>
              <w:top w:val="single" w:color="000000" w:sz="4" w:space="0"/>
              <w:left w:val="single" w:color="auto"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37"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质量指标</w:t>
            </w:r>
          </w:p>
        </w:tc>
        <w:tc>
          <w:tcPr>
            <w:tcW w:w="1006" w:type="pct"/>
            <w:gridSpan w:val="2"/>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参加活动覆盖率</w:t>
            </w:r>
          </w:p>
        </w:tc>
        <w:tc>
          <w:tcPr>
            <w:tcW w:w="510"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≥70%</w:t>
            </w:r>
          </w:p>
        </w:tc>
        <w:tc>
          <w:tcPr>
            <w:tcW w:w="650" w:type="pct"/>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1"/>
                <w:szCs w:val="21"/>
                <w:highlight w:val="none"/>
                <w:u w:val="none"/>
              </w:rPr>
            </w:pPr>
            <w:r>
              <w:rPr>
                <w:rFonts w:hint="eastAsia" w:asciiTheme="minorEastAsia" w:hAnsiTheme="minorEastAsia" w:eastAsiaTheme="minorEastAsia" w:cstheme="minorEastAsia"/>
                <w:i w:val="0"/>
                <w:iCs w:val="0"/>
                <w:color w:val="000000"/>
                <w:kern w:val="0"/>
                <w:sz w:val="21"/>
                <w:szCs w:val="21"/>
                <w:highlight w:val="none"/>
                <w:u w:val="none"/>
                <w:lang w:val="en-US" w:eastAsia="zh-CN" w:bidi="ar"/>
              </w:rPr>
              <w:t>≥70%</w:t>
            </w:r>
          </w:p>
        </w:tc>
        <w:tc>
          <w:tcPr>
            <w:tcW w:w="898" w:type="pct"/>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6" w:hRule="atLeast"/>
        </w:trPr>
        <w:tc>
          <w:tcPr>
            <w:tcW w:w="675" w:type="pct"/>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1" w:type="pct"/>
            <w:vMerge w:val="continue"/>
            <w:tcBorders>
              <w:top w:val="single" w:color="auto" w:sz="4" w:space="0"/>
              <w:left w:val="single" w:color="auto"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37"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时效指标</w:t>
            </w:r>
          </w:p>
        </w:tc>
        <w:tc>
          <w:tcPr>
            <w:tcW w:w="1006" w:type="pct"/>
            <w:gridSpan w:val="2"/>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举办活动时间</w:t>
            </w:r>
          </w:p>
        </w:tc>
        <w:tc>
          <w:tcPr>
            <w:tcW w:w="510" w:type="pct"/>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春节、重阳节、中秋节等重大节日</w:t>
            </w:r>
          </w:p>
        </w:tc>
        <w:tc>
          <w:tcPr>
            <w:tcW w:w="650"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均按时完成</w:t>
            </w:r>
          </w:p>
        </w:tc>
        <w:tc>
          <w:tcPr>
            <w:tcW w:w="898"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5" w:hRule="atLeast"/>
        </w:trPr>
        <w:tc>
          <w:tcPr>
            <w:tcW w:w="675" w:type="pct"/>
            <w:vMerge w:val="continue"/>
            <w:tcBorders>
              <w:top w:val="single" w:color="000000" w:sz="4" w:space="0"/>
              <w:left w:val="single" w:color="auto"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1" w:type="pct"/>
            <w:vMerge w:val="continue"/>
            <w:tcBorders>
              <w:top w:val="single" w:color="000000" w:sz="4" w:space="0"/>
              <w:left w:val="single" w:color="auto"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37"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成本指标</w:t>
            </w:r>
          </w:p>
        </w:tc>
        <w:tc>
          <w:tcPr>
            <w:tcW w:w="1006" w:type="pct"/>
            <w:gridSpan w:val="2"/>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参加活动人均费用</w:t>
            </w:r>
          </w:p>
        </w:tc>
        <w:tc>
          <w:tcPr>
            <w:tcW w:w="51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≥100</w:t>
            </w:r>
            <w:r>
              <w:rPr>
                <w:rStyle w:val="28"/>
                <w:rFonts w:hint="eastAsia" w:asciiTheme="minorEastAsia" w:hAnsiTheme="minorEastAsia" w:eastAsiaTheme="minorEastAsia" w:cstheme="minorEastAsia"/>
                <w:highlight w:val="none"/>
                <w:lang w:val="en-US" w:eastAsia="zh-CN" w:bidi="ar"/>
              </w:rPr>
              <w:t>元</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r>
              <w:rPr>
                <w:rFonts w:hint="eastAsia" w:asciiTheme="minorEastAsia" w:hAnsiTheme="minorEastAsia" w:cstheme="minorEastAsia"/>
                <w:i w:val="0"/>
                <w:iCs w:val="0"/>
                <w:color w:val="000000"/>
                <w:kern w:val="0"/>
                <w:sz w:val="20"/>
                <w:szCs w:val="20"/>
                <w:highlight w:val="none"/>
                <w:u w:val="none"/>
                <w:lang w:val="en-US" w:eastAsia="zh-CN" w:bidi="ar"/>
              </w:rPr>
              <w:t>7.25</w:t>
            </w:r>
            <w:r>
              <w:rPr>
                <w:rStyle w:val="28"/>
                <w:rFonts w:hint="eastAsia" w:asciiTheme="minorEastAsia" w:hAnsiTheme="minorEastAsia" w:eastAsiaTheme="minorEastAsia" w:cstheme="minorEastAsia"/>
                <w:highlight w:val="none"/>
                <w:lang w:val="en-US" w:eastAsia="zh-CN" w:bidi="ar"/>
              </w:rPr>
              <w:t>元</w:t>
            </w:r>
          </w:p>
        </w:tc>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1" w:hRule="atLeast"/>
        </w:trPr>
        <w:tc>
          <w:tcPr>
            <w:tcW w:w="675" w:type="pct"/>
            <w:vMerge w:val="continue"/>
            <w:tcBorders>
              <w:top w:val="single" w:color="000000" w:sz="4" w:space="0"/>
              <w:left w:val="single" w:color="auto"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1"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预算执行率指标</w:t>
            </w:r>
            <w:r>
              <w:rPr>
                <w:rStyle w:val="27"/>
                <w:highlight w:val="none"/>
                <w:lang w:val="en-US" w:eastAsia="zh-CN" w:bidi="ar"/>
              </w:rPr>
              <w:br w:type="textWrapping"/>
            </w:r>
            <w:r>
              <w:rPr>
                <w:rStyle w:val="27"/>
                <w:highlight w:val="none"/>
                <w:lang w:val="en-US" w:eastAsia="zh-CN" w:bidi="ar"/>
              </w:rPr>
              <w:t>（10分）</w:t>
            </w:r>
          </w:p>
        </w:tc>
        <w:tc>
          <w:tcPr>
            <w:tcW w:w="637" w:type="pct"/>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预算执行率</w:t>
            </w:r>
          </w:p>
        </w:tc>
        <w:tc>
          <w:tcPr>
            <w:tcW w:w="1006"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资金到位情况</w:t>
            </w:r>
          </w:p>
        </w:tc>
        <w:tc>
          <w:tcPr>
            <w:tcW w:w="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100%</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100%</w:t>
            </w:r>
          </w:p>
        </w:tc>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8" w:hRule="atLeast"/>
        </w:trPr>
        <w:tc>
          <w:tcPr>
            <w:tcW w:w="675" w:type="pct"/>
            <w:vMerge w:val="continue"/>
            <w:tcBorders>
              <w:top w:val="single" w:color="000000" w:sz="4" w:space="0"/>
              <w:left w:val="single" w:color="auto"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1" w:type="pct"/>
            <w:vMerge w:val="restart"/>
            <w:tcBorders>
              <w:top w:val="nil"/>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效益指标（40）</w:t>
            </w:r>
          </w:p>
        </w:tc>
        <w:tc>
          <w:tcPr>
            <w:tcW w:w="637"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社会效益指标</w:t>
            </w:r>
          </w:p>
        </w:tc>
        <w:tc>
          <w:tcPr>
            <w:tcW w:w="10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离退休干部生活质量提高</w:t>
            </w:r>
          </w:p>
        </w:tc>
        <w:tc>
          <w:tcPr>
            <w:tcW w:w="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生活质量稳步提高</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生活质量稳步提高</w:t>
            </w:r>
          </w:p>
        </w:tc>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1" w:hRule="atLeast"/>
        </w:trPr>
        <w:tc>
          <w:tcPr>
            <w:tcW w:w="675" w:type="pct"/>
            <w:vMerge w:val="continue"/>
            <w:tcBorders>
              <w:top w:val="single" w:color="000000" w:sz="4" w:space="0"/>
              <w:left w:val="single" w:color="auto"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1" w:type="pct"/>
            <w:vMerge w:val="continue"/>
            <w:tcBorders>
              <w:top w:val="nil"/>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37"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可持续影响指标</w:t>
            </w:r>
          </w:p>
        </w:tc>
        <w:tc>
          <w:tcPr>
            <w:tcW w:w="10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增强影响力</w:t>
            </w:r>
          </w:p>
        </w:tc>
        <w:tc>
          <w:tcPr>
            <w:tcW w:w="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2000</w:t>
            </w:r>
            <w:r>
              <w:rPr>
                <w:rStyle w:val="28"/>
                <w:rFonts w:hint="eastAsia" w:asciiTheme="minorEastAsia" w:hAnsiTheme="minorEastAsia" w:eastAsiaTheme="minorEastAsia" w:cstheme="minorEastAsia"/>
                <w:highlight w:val="none"/>
                <w:lang w:val="en-US" w:eastAsia="zh-CN" w:bidi="ar"/>
              </w:rPr>
              <w:t>人</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2000</w:t>
            </w:r>
            <w:r>
              <w:rPr>
                <w:rStyle w:val="28"/>
                <w:rFonts w:hint="eastAsia" w:asciiTheme="minorEastAsia" w:hAnsiTheme="minorEastAsia" w:eastAsiaTheme="minorEastAsia" w:cstheme="minorEastAsia"/>
                <w:highlight w:val="none"/>
                <w:lang w:val="en-US" w:eastAsia="zh-CN" w:bidi="ar"/>
              </w:rPr>
              <w:t>人</w:t>
            </w:r>
          </w:p>
        </w:tc>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1" w:hRule="atLeast"/>
        </w:trPr>
        <w:tc>
          <w:tcPr>
            <w:tcW w:w="675" w:type="pct"/>
            <w:vMerge w:val="continue"/>
            <w:tcBorders>
              <w:top w:val="single" w:color="000000" w:sz="4" w:space="0"/>
              <w:left w:val="single" w:color="auto"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r>
              <w:rPr>
                <w:rStyle w:val="27"/>
                <w:highlight w:val="none"/>
                <w:lang w:val="en-US" w:eastAsia="zh-CN" w:bidi="ar"/>
              </w:rPr>
              <w:br w:type="textWrapping"/>
            </w:r>
            <w:r>
              <w:rPr>
                <w:rStyle w:val="27"/>
                <w:highlight w:val="none"/>
                <w:lang w:val="en-US" w:eastAsia="zh-CN" w:bidi="ar"/>
              </w:rPr>
              <w:t>（10分）</w:t>
            </w:r>
          </w:p>
        </w:tc>
        <w:tc>
          <w:tcPr>
            <w:tcW w:w="637"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满意度指标</w:t>
            </w:r>
          </w:p>
        </w:tc>
        <w:tc>
          <w:tcPr>
            <w:tcW w:w="1006"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受助对象满意度</w:t>
            </w:r>
          </w:p>
        </w:tc>
        <w:tc>
          <w:tcPr>
            <w:tcW w:w="51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≥90%</w:t>
            </w:r>
          </w:p>
        </w:tc>
        <w:tc>
          <w:tcPr>
            <w:tcW w:w="65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95%</w:t>
            </w:r>
          </w:p>
        </w:tc>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675" w:type="pct"/>
            <w:vMerge w:val="continue"/>
            <w:tcBorders>
              <w:top w:val="single" w:color="000000" w:sz="4" w:space="0"/>
              <w:left w:val="single" w:color="auto"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3426"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总分</w:t>
            </w:r>
          </w:p>
        </w:tc>
        <w:tc>
          <w:tcPr>
            <w:tcW w:w="89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5" w:hRule="atLeast"/>
        </w:trPr>
        <w:tc>
          <w:tcPr>
            <w:tcW w:w="675"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w:t>
            </w:r>
            <w:r>
              <w:rPr>
                <w:rStyle w:val="26"/>
                <w:rFonts w:eastAsia="宋体"/>
                <w:highlight w:val="none"/>
                <w:lang w:val="en-US" w:eastAsia="zh-CN" w:bidi="ar"/>
              </w:rPr>
              <w:t xml:space="preserve"> </w:t>
            </w:r>
            <w:r>
              <w:rPr>
                <w:rStyle w:val="27"/>
                <w:highlight w:val="none"/>
                <w:lang w:val="en-US" w:eastAsia="zh-CN" w:bidi="ar"/>
              </w:rPr>
              <w:t>存在问题、原因及下一步整改措施</w:t>
            </w:r>
          </w:p>
        </w:tc>
        <w:tc>
          <w:tcPr>
            <w:tcW w:w="4324"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无</w:t>
            </w:r>
          </w:p>
        </w:tc>
      </w:tr>
    </w:tbl>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spacing w:before="0" w:beforeAutospacing="0" w:after="0" w:afterAutospacing="0"/>
        <w:ind w:right="0" w:firstLine="640" w:firstLineChars="200"/>
        <w:jc w:val="left"/>
        <w:textAlignment w:val="auto"/>
        <w:rPr>
          <w:rFonts w:hint="eastAsia" w:ascii="Times New Roman" w:eastAsia="仿宋_GB2312"/>
          <w:b w:val="0"/>
          <w:sz w:val="32"/>
          <w:szCs w:val="32"/>
          <w:highlight w:val="none"/>
        </w:rPr>
      </w:pPr>
      <w:r>
        <w:rPr>
          <w:rFonts w:hint="default" w:ascii="Times New Roman" w:hAnsi="Times New Roman" w:eastAsia="仿宋_GB2312" w:cs="Times New Roman"/>
          <w:color w:val="auto"/>
          <w:kern w:val="2"/>
          <w:sz w:val="32"/>
          <w:szCs w:val="32"/>
          <w:highlight w:val="none"/>
          <w:lang w:val="zh-CN" w:eastAsia="zh-CN" w:bidi="ar-SA"/>
        </w:rPr>
        <w:t>202</w:t>
      </w:r>
      <w:r>
        <w:rPr>
          <w:rFonts w:hint="eastAsia" w:ascii="Times New Roman" w:hAnsi="Times New Roman" w:eastAsia="仿宋_GB2312" w:cs="Times New Roman"/>
          <w:color w:val="auto"/>
          <w:kern w:val="2"/>
          <w:sz w:val="32"/>
          <w:szCs w:val="32"/>
          <w:highlight w:val="none"/>
          <w:lang w:val="en-US" w:eastAsia="zh-CN" w:bidi="ar-SA"/>
        </w:rPr>
        <w:t>4</w:t>
      </w:r>
      <w:r>
        <w:rPr>
          <w:rFonts w:hint="default" w:ascii="Times New Roman" w:hAnsi="Times New Roman" w:eastAsia="仿宋_GB2312" w:cs="Times New Roman"/>
          <w:color w:val="auto"/>
          <w:kern w:val="2"/>
          <w:sz w:val="32"/>
          <w:szCs w:val="32"/>
          <w:highlight w:val="none"/>
          <w:lang w:val="zh-CN" w:eastAsia="zh-CN" w:bidi="ar-SA"/>
        </w:rPr>
        <w:t>年企业离休公用经费及老干部专项活动经费项目绩效自评情况</w:t>
      </w:r>
      <w:r>
        <w:rPr>
          <w:rFonts w:hint="eastAsia" w:ascii="Times New Roman" w:hAnsi="Times New Roman" w:eastAsia="仿宋_GB2312" w:cs="Times New Roman"/>
          <w:color w:val="auto"/>
          <w:kern w:val="2"/>
          <w:sz w:val="32"/>
          <w:szCs w:val="32"/>
          <w:highlight w:val="none"/>
          <w:lang w:val="zh-CN" w:eastAsia="zh-CN" w:bidi="ar-SA"/>
        </w:rPr>
        <w:t>：</w:t>
      </w:r>
      <w:r>
        <w:rPr>
          <w:rFonts w:hint="default" w:ascii="Times New Roman" w:hAnsi="Times New Roman" w:eastAsia="仿宋_GB2312" w:cs="Times New Roman"/>
          <w:color w:val="auto"/>
          <w:kern w:val="2"/>
          <w:sz w:val="32"/>
          <w:szCs w:val="32"/>
          <w:highlight w:val="none"/>
          <w:lang w:val="zh-CN" w:eastAsia="zh-CN" w:bidi="ar-SA"/>
        </w:rPr>
        <w:t>根据年初设定的绩效目标，202</w:t>
      </w:r>
      <w:r>
        <w:rPr>
          <w:rFonts w:hint="eastAsia" w:ascii="Times New Roman" w:hAnsi="Times New Roman" w:eastAsia="仿宋_GB2312" w:cs="Times New Roman"/>
          <w:color w:val="auto"/>
          <w:kern w:val="2"/>
          <w:sz w:val="32"/>
          <w:szCs w:val="32"/>
          <w:highlight w:val="none"/>
          <w:lang w:val="en-US" w:eastAsia="zh-CN" w:bidi="ar-SA"/>
        </w:rPr>
        <w:t>4</w:t>
      </w:r>
      <w:r>
        <w:rPr>
          <w:rFonts w:hint="default" w:ascii="Times New Roman" w:hAnsi="Times New Roman" w:eastAsia="仿宋_GB2312" w:cs="Times New Roman"/>
          <w:color w:val="auto"/>
          <w:kern w:val="2"/>
          <w:sz w:val="32"/>
          <w:szCs w:val="32"/>
          <w:highlight w:val="none"/>
          <w:lang w:val="zh-CN" w:eastAsia="zh-CN" w:bidi="ar-SA"/>
        </w:rPr>
        <w:t>年企业离休公用经费及老干部专项活动经费项目绩效自评得分为</w:t>
      </w:r>
      <w:r>
        <w:rPr>
          <w:rFonts w:hint="eastAsia" w:ascii="Times New Roman" w:hAnsi="Times New Roman" w:eastAsia="仿宋_GB2312" w:cs="Times New Roman"/>
          <w:color w:val="auto"/>
          <w:kern w:val="2"/>
          <w:sz w:val="32"/>
          <w:szCs w:val="32"/>
          <w:highlight w:val="none"/>
          <w:lang w:val="en-US" w:eastAsia="zh-CN" w:bidi="ar-SA"/>
        </w:rPr>
        <w:t>98</w:t>
      </w:r>
      <w:r>
        <w:rPr>
          <w:rFonts w:hint="default" w:ascii="Times New Roman" w:hAnsi="Times New Roman" w:eastAsia="仿宋_GB2312" w:cs="Times New Roman"/>
          <w:color w:val="auto"/>
          <w:kern w:val="2"/>
          <w:sz w:val="32"/>
          <w:szCs w:val="32"/>
          <w:highlight w:val="none"/>
          <w:lang w:val="zh-CN" w:eastAsia="zh-CN" w:bidi="ar-SA"/>
        </w:rPr>
        <w:t>分（绩效自评表附后）。全年预算数为</w:t>
      </w:r>
      <w:r>
        <w:rPr>
          <w:rFonts w:hint="eastAsia" w:ascii="Times New Roman" w:hAnsi="Times New Roman" w:eastAsia="仿宋_GB2312" w:cs="Times New Roman"/>
          <w:color w:val="auto"/>
          <w:kern w:val="2"/>
          <w:sz w:val="32"/>
          <w:szCs w:val="32"/>
          <w:highlight w:val="none"/>
          <w:lang w:val="en-US" w:eastAsia="zh-CN" w:bidi="ar-SA"/>
        </w:rPr>
        <w:t>3.82</w:t>
      </w:r>
      <w:r>
        <w:rPr>
          <w:rFonts w:hint="default" w:ascii="Times New Roman" w:hAnsi="Times New Roman" w:eastAsia="仿宋_GB2312" w:cs="Times New Roman"/>
          <w:color w:val="auto"/>
          <w:kern w:val="2"/>
          <w:sz w:val="32"/>
          <w:szCs w:val="32"/>
          <w:highlight w:val="none"/>
          <w:lang w:val="zh-CN" w:eastAsia="zh-CN" w:bidi="ar-SA"/>
        </w:rPr>
        <w:t>万元，执行数为</w:t>
      </w:r>
      <w:r>
        <w:rPr>
          <w:rFonts w:hint="eastAsia" w:ascii="Times New Roman" w:hAnsi="Times New Roman" w:eastAsia="仿宋_GB2312" w:cs="Times New Roman"/>
          <w:color w:val="auto"/>
          <w:kern w:val="2"/>
          <w:sz w:val="32"/>
          <w:szCs w:val="32"/>
          <w:highlight w:val="none"/>
          <w:lang w:val="en-US" w:eastAsia="zh-CN" w:bidi="ar-SA"/>
        </w:rPr>
        <w:t>3.82</w:t>
      </w:r>
      <w:r>
        <w:rPr>
          <w:rFonts w:hint="default" w:ascii="Times New Roman" w:hAnsi="Times New Roman" w:eastAsia="仿宋_GB2312" w:cs="Times New Roman"/>
          <w:color w:val="auto"/>
          <w:kern w:val="2"/>
          <w:sz w:val="32"/>
          <w:szCs w:val="32"/>
          <w:highlight w:val="none"/>
          <w:lang w:val="zh-CN" w:eastAsia="zh-CN" w:bidi="ar-SA"/>
        </w:rPr>
        <w:t>万元，完成预算的</w:t>
      </w:r>
      <w:r>
        <w:rPr>
          <w:rFonts w:hint="eastAsia" w:ascii="Times New Roman" w:hAnsi="Times New Roman" w:eastAsia="仿宋_GB2312" w:cs="Times New Roman"/>
          <w:color w:val="auto"/>
          <w:kern w:val="2"/>
          <w:sz w:val="32"/>
          <w:szCs w:val="32"/>
          <w:highlight w:val="none"/>
          <w:lang w:val="en-US" w:eastAsia="zh-CN" w:bidi="ar-SA"/>
        </w:rPr>
        <w:t>100</w:t>
      </w:r>
      <w:r>
        <w:rPr>
          <w:rFonts w:hint="default" w:ascii="Times New Roman" w:hAnsi="Times New Roman" w:eastAsia="仿宋_GB2312" w:cs="Times New Roman"/>
          <w:color w:val="auto"/>
          <w:kern w:val="2"/>
          <w:sz w:val="32"/>
          <w:szCs w:val="32"/>
          <w:highlight w:val="none"/>
          <w:lang w:val="zh-CN" w:eastAsia="zh-CN" w:bidi="ar-SA"/>
        </w:rPr>
        <w:t>%。</w:t>
      </w:r>
      <w:r>
        <w:rPr>
          <w:rFonts w:hint="eastAsia" w:ascii="仿宋_GB2312" w:hAnsi="仿宋_GB2312" w:eastAsia="仿宋_GB2312" w:cs="仿宋_GB2312"/>
          <w:sz w:val="32"/>
          <w:szCs w:val="32"/>
          <w:highlight w:val="none"/>
        </w:rPr>
        <w:t>项目绩效目标完成情况：中秋节春节期间慰问企业离休干部和副处以上离退休干部共2次，组织召开处级老干部情况通报及座谈会1次。发现的主要问题及原因：慰问人数动态掌握不及时，导致实际慰问人数与预算人数不符</w:t>
      </w:r>
      <w:r>
        <w:rPr>
          <w:rFonts w:hint="eastAsia" w:ascii="仿宋_GB2312" w:hAnsi="仿宋_GB2312" w:eastAsia="仿宋_GB2312" w:cs="仿宋_GB2312"/>
          <w:sz w:val="32"/>
          <w:szCs w:val="32"/>
          <w:highlight w:val="none"/>
          <w:lang w:eastAsia="zh-CN"/>
        </w:rPr>
        <w:t>。</w:t>
      </w:r>
      <w:r>
        <w:rPr>
          <w:rFonts w:hint="eastAsia" w:ascii="仿宋_GB2312" w:hAnsi="仿宋_GB2312" w:eastAsia="仿宋_GB2312" w:cs="仿宋_GB2312"/>
          <w:sz w:val="32"/>
          <w:szCs w:val="32"/>
          <w:highlight w:val="none"/>
        </w:rPr>
        <w:t>下一步改进措施：建立动态管理台账，及时掌握人数变化。</w:t>
      </w: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68"/>
        <w:gridCol w:w="1168"/>
        <w:gridCol w:w="1172"/>
        <w:gridCol w:w="1170"/>
        <w:gridCol w:w="832"/>
        <w:gridCol w:w="1155"/>
        <w:gridCol w:w="993"/>
        <w:gridCol w:w="10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highlight w:val="none"/>
                <w:u w:val="none"/>
              </w:rPr>
            </w:pPr>
            <w:r>
              <w:rPr>
                <w:rFonts w:hint="eastAsia" w:ascii="方正小标宋_GBK" w:hAnsi="方正小标宋_GBK" w:eastAsia="方正小标宋_GBK" w:cs="方正小标宋_GBK"/>
                <w:i w:val="0"/>
                <w:iCs w:val="0"/>
                <w:color w:val="000000"/>
                <w:kern w:val="0"/>
                <w:sz w:val="44"/>
                <w:szCs w:val="44"/>
                <w:highlight w:val="none"/>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952"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填报单位：</w:t>
            </w:r>
          </w:p>
        </w:tc>
        <w:tc>
          <w:tcPr>
            <w:tcW w:w="1890" w:type="pct"/>
            <w:gridSpan w:val="3"/>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中共石家庄市鹿泉区委老干部局</w:t>
            </w:r>
          </w:p>
        </w:tc>
        <w:tc>
          <w:tcPr>
            <w:tcW w:w="447"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c>
          <w:tcPr>
            <w:tcW w:w="622"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c>
          <w:tcPr>
            <w:tcW w:w="1086" w:type="pct"/>
            <w:gridSpan w:val="2"/>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952"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基本情况</w:t>
            </w: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12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企业离休公用经费及老干部专项活动经费（非专项资金）</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实施(主管）单位</w:t>
            </w:r>
          </w:p>
        </w:tc>
        <w:tc>
          <w:tcPr>
            <w:tcW w:w="170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中共石家庄市鹿泉区委老干部局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9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二、预算执行情况</w:t>
            </w:r>
          </w:p>
        </w:tc>
        <w:tc>
          <w:tcPr>
            <w:tcW w:w="126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预算安排情况（调整后）</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资金到位情况</w:t>
            </w:r>
          </w:p>
        </w:tc>
        <w:tc>
          <w:tcPr>
            <w:tcW w:w="115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资金执行情况</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预算数：</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3.8205</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到位数：</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3.8205</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执行数：</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3.8205</w:t>
            </w:r>
          </w:p>
        </w:tc>
        <w:tc>
          <w:tcPr>
            <w:tcW w:w="5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3.8205</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3.8205</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3.8205</w:t>
            </w:r>
          </w:p>
        </w:tc>
        <w:tc>
          <w:tcPr>
            <w:tcW w:w="5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highlight w:val="none"/>
                <w:u w:val="none"/>
              </w:rPr>
            </w:pPr>
          </w:p>
        </w:tc>
        <w:tc>
          <w:tcPr>
            <w:tcW w:w="63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447"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highlight w:val="none"/>
                <w:u w:val="none"/>
              </w:rPr>
            </w:pP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highlight w:val="none"/>
                <w:u w:val="none"/>
              </w:rPr>
            </w:pPr>
          </w:p>
        </w:tc>
        <w:tc>
          <w:tcPr>
            <w:tcW w:w="5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三、目标完成情况</w:t>
            </w:r>
          </w:p>
        </w:tc>
        <w:tc>
          <w:tcPr>
            <w:tcW w:w="189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年度预期目标</w:t>
            </w:r>
          </w:p>
        </w:tc>
        <w:tc>
          <w:tcPr>
            <w:tcW w:w="1603"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具体完成情况</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89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体现区委、区政府对老干部的关爱，每年中秋节春节期间慰问企业离休干部和副处以上离退休干部，组织召开处级老干部情况通报及座谈会。</w:t>
            </w:r>
          </w:p>
        </w:tc>
        <w:tc>
          <w:tcPr>
            <w:tcW w:w="1603"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中秋节春节期间慰问企业离休干部和副处以上离退休干部共2次，组织召开处级老干部情况通报及座谈会1次。</w:t>
            </w:r>
          </w:p>
        </w:tc>
        <w:tc>
          <w:tcPr>
            <w:tcW w:w="55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89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60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5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89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603"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55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52" w:type="pct"/>
            <w:vMerge w:val="restar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四、</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年度绩效指标完成情况</w:t>
            </w:r>
          </w:p>
        </w:tc>
        <w:tc>
          <w:tcPr>
            <w:tcW w:w="629"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一级指标</w:t>
            </w:r>
          </w:p>
        </w:tc>
        <w:tc>
          <w:tcPr>
            <w:tcW w:w="630"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二级指标</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三级指标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预期指标值</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实际完成值</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52"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9" w:type="pct"/>
            <w:vMerge w:val="restart"/>
            <w:tcBorders>
              <w:top w:val="single" w:color="auto" w:sz="4" w:space="0"/>
              <w:left w:val="single" w:color="auto"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产出指标（40）</w:t>
            </w:r>
          </w:p>
        </w:tc>
        <w:tc>
          <w:tcPr>
            <w:tcW w:w="630" w:type="pct"/>
            <w:tcBorders>
              <w:top w:val="single" w:color="auto" w:sz="4" w:space="0"/>
              <w:left w:val="single" w:color="000000" w:sz="4" w:space="0"/>
              <w:bottom w:val="nil"/>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数量指标</w:t>
            </w:r>
          </w:p>
        </w:tc>
        <w:tc>
          <w:tcPr>
            <w:tcW w:w="1078"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慰问离退休干部人数</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54人</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56人</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52"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9" w:type="pct"/>
            <w:vMerge w:val="continue"/>
            <w:tcBorders>
              <w:top w:val="single" w:color="000000" w:sz="4" w:space="0"/>
              <w:left w:val="single" w:color="auto"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30" w:type="pct"/>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质量指标</w:t>
            </w:r>
          </w:p>
        </w:tc>
        <w:tc>
          <w:tcPr>
            <w:tcW w:w="1078"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慰问离退休干部覆盖率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100%</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100%</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952"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9" w:type="pct"/>
            <w:vMerge w:val="continue"/>
            <w:tcBorders>
              <w:top w:val="single" w:color="000000" w:sz="4" w:space="0"/>
              <w:left w:val="single" w:color="auto"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30" w:type="pct"/>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时效指标</w:t>
            </w:r>
          </w:p>
        </w:tc>
        <w:tc>
          <w:tcPr>
            <w:tcW w:w="1078" w:type="pct"/>
            <w:gridSpan w:val="2"/>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慰问离退休干部及时性</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中秋节、春节</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均按时完成</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52"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9" w:type="pct"/>
            <w:vMerge w:val="continue"/>
            <w:tcBorders>
              <w:top w:val="single" w:color="auto" w:sz="4" w:space="0"/>
              <w:left w:val="single" w:color="auto"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30"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成本指标</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慰问标准</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2次</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2次</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52" w:type="pct"/>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9"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630" w:type="pct"/>
            <w:tcBorders>
              <w:top w:val="nil"/>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预算执行率</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资金到位情况</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100%</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100%</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52"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效益指标（40）</w:t>
            </w:r>
          </w:p>
        </w:tc>
        <w:tc>
          <w:tcPr>
            <w:tcW w:w="63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社会效益指标</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社会效益指标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54人</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18"/>
                <w:szCs w:val="18"/>
                <w:highlight w:val="none"/>
                <w:u w:val="none"/>
              </w:rPr>
            </w:pPr>
            <w:r>
              <w:rPr>
                <w:rFonts w:hint="eastAsia" w:asciiTheme="minorEastAsia" w:hAnsiTheme="minorEastAsia" w:eastAsiaTheme="minorEastAsia" w:cstheme="minorEastAsia"/>
                <w:i w:val="0"/>
                <w:iCs w:val="0"/>
                <w:color w:val="000000"/>
                <w:kern w:val="0"/>
                <w:sz w:val="18"/>
                <w:szCs w:val="18"/>
                <w:highlight w:val="none"/>
                <w:u w:val="none"/>
                <w:lang w:val="en-US" w:eastAsia="zh-CN" w:bidi="ar"/>
              </w:rPr>
              <w:t>56</w:t>
            </w: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人</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952"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9"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30"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可持续影响指标</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增强影响力</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≥4次</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≥4次</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952" w:type="pct"/>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29"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630"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满意度指标</w:t>
            </w:r>
          </w:p>
        </w:tc>
        <w:tc>
          <w:tcPr>
            <w:tcW w:w="1078"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服务对象满意度指标</w:t>
            </w:r>
          </w:p>
        </w:tc>
        <w:tc>
          <w:tcPr>
            <w:tcW w:w="62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≥90%</w:t>
            </w:r>
          </w:p>
        </w:tc>
        <w:tc>
          <w:tcPr>
            <w:tcW w:w="53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≥90%</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952" w:type="pct"/>
            <w:vMerge w:val="continue"/>
            <w:tcBorders>
              <w:top w:val="single" w:color="000000" w:sz="4" w:space="0"/>
              <w:left w:val="single" w:color="000000"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3493"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总分</w:t>
            </w:r>
          </w:p>
        </w:tc>
        <w:tc>
          <w:tcPr>
            <w:tcW w:w="5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952"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存在问题、原因及下一步整改措施</w:t>
            </w:r>
          </w:p>
        </w:tc>
        <w:tc>
          <w:tcPr>
            <w:tcW w:w="4047"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统计数据不准确，导致实际慰问人数与预算人数不符，下一步建立动态管理台账，准确掌握人数变化。</w:t>
            </w:r>
          </w:p>
        </w:tc>
      </w:tr>
    </w:tbl>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highlight w:val="none"/>
        </w:rPr>
      </w:pPr>
      <w:r>
        <w:rPr>
          <w:rFonts w:hint="eastAsia" w:ascii="Times New Roman" w:eastAsia="仿宋_GB2312"/>
          <w:b w:val="0"/>
          <w:sz w:val="32"/>
          <w:szCs w:val="32"/>
          <w:highlight w:val="none"/>
        </w:rPr>
        <w:t>202</w:t>
      </w:r>
      <w:r>
        <w:rPr>
          <w:rFonts w:hint="eastAsia" w:ascii="Times New Roman" w:eastAsia="仿宋_GB2312"/>
          <w:b w:val="0"/>
          <w:sz w:val="32"/>
          <w:szCs w:val="32"/>
          <w:highlight w:val="none"/>
          <w:lang w:val="en-US" w:eastAsia="zh-CN"/>
        </w:rPr>
        <w:t>4</w:t>
      </w:r>
      <w:r>
        <w:rPr>
          <w:rFonts w:hint="eastAsia" w:ascii="Times New Roman" w:eastAsia="仿宋_GB2312"/>
          <w:b w:val="0"/>
          <w:sz w:val="32"/>
          <w:szCs w:val="32"/>
          <w:highlight w:val="none"/>
        </w:rPr>
        <w:t>年特困离退休干部帮扶资金项目绩效自评情况：</w:t>
      </w:r>
      <w:r>
        <w:rPr>
          <w:rFonts w:hint="default" w:ascii="Times New Roman" w:hAnsi="Times New Roman" w:eastAsia="仿宋_GB2312" w:cs="Times New Roman"/>
          <w:color w:val="auto"/>
          <w:kern w:val="2"/>
          <w:sz w:val="32"/>
          <w:szCs w:val="32"/>
          <w:highlight w:val="none"/>
          <w:lang w:val="zh-CN" w:eastAsia="zh-CN" w:bidi="ar-SA"/>
        </w:rPr>
        <w:t>根据年初设定的绩效目标，202</w:t>
      </w:r>
      <w:r>
        <w:rPr>
          <w:rFonts w:hint="eastAsia" w:ascii="Times New Roman" w:hAnsi="Times New Roman" w:eastAsia="仿宋_GB2312" w:cs="Times New Roman"/>
          <w:color w:val="auto"/>
          <w:kern w:val="2"/>
          <w:sz w:val="32"/>
          <w:szCs w:val="32"/>
          <w:highlight w:val="none"/>
          <w:lang w:val="en-US" w:eastAsia="zh-CN" w:bidi="ar-SA"/>
        </w:rPr>
        <w:t>4</w:t>
      </w:r>
      <w:r>
        <w:rPr>
          <w:rFonts w:hint="default" w:ascii="Times New Roman" w:hAnsi="Times New Roman" w:eastAsia="仿宋_GB2312" w:cs="Times New Roman"/>
          <w:color w:val="auto"/>
          <w:kern w:val="2"/>
          <w:sz w:val="32"/>
          <w:szCs w:val="32"/>
          <w:highlight w:val="none"/>
          <w:lang w:val="zh-CN" w:eastAsia="zh-CN" w:bidi="ar-SA"/>
        </w:rPr>
        <w:t>年特困离退休干部帮扶资金项目绩效自评得分为</w:t>
      </w:r>
      <w:r>
        <w:rPr>
          <w:rFonts w:hint="eastAsia" w:ascii="Times New Roman" w:hAnsi="Times New Roman" w:eastAsia="仿宋_GB2312" w:cs="Times New Roman"/>
          <w:color w:val="auto"/>
          <w:kern w:val="2"/>
          <w:sz w:val="32"/>
          <w:szCs w:val="32"/>
          <w:highlight w:val="none"/>
          <w:lang w:val="en-US" w:eastAsia="zh-CN" w:bidi="ar-SA"/>
        </w:rPr>
        <w:t>97</w:t>
      </w:r>
      <w:r>
        <w:rPr>
          <w:rFonts w:hint="default" w:ascii="Times New Roman" w:hAnsi="Times New Roman" w:eastAsia="仿宋_GB2312" w:cs="Times New Roman"/>
          <w:color w:val="auto"/>
          <w:kern w:val="2"/>
          <w:sz w:val="32"/>
          <w:szCs w:val="32"/>
          <w:highlight w:val="none"/>
          <w:lang w:val="zh-CN" w:eastAsia="zh-CN" w:bidi="ar-SA"/>
        </w:rPr>
        <w:t>分（绩效自评表附后）。全年预算数为</w:t>
      </w:r>
      <w:r>
        <w:rPr>
          <w:rFonts w:hint="eastAsia" w:ascii="Times New Roman" w:hAnsi="Times New Roman" w:eastAsia="仿宋_GB2312" w:cs="Times New Roman"/>
          <w:color w:val="auto"/>
          <w:kern w:val="2"/>
          <w:sz w:val="32"/>
          <w:szCs w:val="32"/>
          <w:highlight w:val="none"/>
          <w:lang w:val="en-US" w:eastAsia="zh-CN" w:bidi="ar-SA"/>
        </w:rPr>
        <w:t>5</w:t>
      </w:r>
      <w:r>
        <w:rPr>
          <w:rFonts w:hint="default" w:ascii="Times New Roman" w:hAnsi="Times New Roman" w:eastAsia="仿宋_GB2312" w:cs="Times New Roman"/>
          <w:color w:val="auto"/>
          <w:kern w:val="2"/>
          <w:sz w:val="32"/>
          <w:szCs w:val="32"/>
          <w:highlight w:val="none"/>
          <w:lang w:val="zh-CN" w:eastAsia="zh-CN" w:bidi="ar-SA"/>
        </w:rPr>
        <w:t>万元，执行数为</w:t>
      </w:r>
      <w:r>
        <w:rPr>
          <w:rFonts w:hint="eastAsia" w:ascii="Times New Roman" w:hAnsi="Times New Roman" w:eastAsia="仿宋_GB2312" w:cs="Times New Roman"/>
          <w:color w:val="auto"/>
          <w:kern w:val="2"/>
          <w:sz w:val="32"/>
          <w:szCs w:val="32"/>
          <w:highlight w:val="none"/>
          <w:lang w:val="en-US" w:eastAsia="zh-CN" w:bidi="ar-SA"/>
        </w:rPr>
        <w:t>5</w:t>
      </w:r>
      <w:r>
        <w:rPr>
          <w:rFonts w:hint="default" w:ascii="Times New Roman" w:hAnsi="Times New Roman" w:eastAsia="仿宋_GB2312" w:cs="Times New Roman"/>
          <w:color w:val="auto"/>
          <w:kern w:val="2"/>
          <w:sz w:val="32"/>
          <w:szCs w:val="32"/>
          <w:highlight w:val="none"/>
          <w:lang w:val="zh-CN" w:eastAsia="zh-CN" w:bidi="ar-SA"/>
        </w:rPr>
        <w:t>万元，完成预算的</w:t>
      </w:r>
      <w:r>
        <w:rPr>
          <w:rFonts w:hint="eastAsia" w:ascii="Times New Roman" w:hAnsi="Times New Roman" w:eastAsia="仿宋_GB2312" w:cs="Times New Roman"/>
          <w:color w:val="auto"/>
          <w:kern w:val="2"/>
          <w:sz w:val="32"/>
          <w:szCs w:val="32"/>
          <w:highlight w:val="none"/>
          <w:lang w:val="en-US" w:eastAsia="zh-CN" w:bidi="ar-SA"/>
        </w:rPr>
        <w:t>100</w:t>
      </w:r>
      <w:r>
        <w:rPr>
          <w:rFonts w:hint="default" w:ascii="Times New Roman" w:hAnsi="Times New Roman" w:eastAsia="仿宋_GB2312" w:cs="Times New Roman"/>
          <w:color w:val="auto"/>
          <w:kern w:val="2"/>
          <w:sz w:val="32"/>
          <w:szCs w:val="32"/>
          <w:highlight w:val="none"/>
          <w:lang w:val="zh-CN" w:eastAsia="zh-CN" w:bidi="ar-SA"/>
        </w:rPr>
        <w:t>%。项目绩效目标完成情况：为10名离退休干部发放困难补助</w:t>
      </w:r>
      <w:r>
        <w:rPr>
          <w:rFonts w:hint="eastAsia" w:ascii="Times New Roman" w:hAnsi="Times New Roman" w:eastAsia="仿宋_GB2312" w:cs="Times New Roman"/>
          <w:color w:val="auto"/>
          <w:kern w:val="2"/>
          <w:sz w:val="32"/>
          <w:szCs w:val="32"/>
          <w:highlight w:val="none"/>
          <w:lang w:val="zh-CN" w:eastAsia="zh-CN" w:bidi="ar-SA"/>
        </w:rPr>
        <w:t>。发现的主要问题及原因：2024年10月实际申请特困离退休干部帮扶的人数为10人，小于去年16人，数量指标设置不合理。今后在申请项目时，应合理设置数量指标。</w:t>
      </w: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29"/>
        <w:gridCol w:w="1172"/>
        <w:gridCol w:w="922"/>
        <w:gridCol w:w="1123"/>
        <w:gridCol w:w="1119"/>
        <w:gridCol w:w="958"/>
        <w:gridCol w:w="949"/>
        <w:gridCol w:w="16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highlight w:val="none"/>
                <w:u w:val="none"/>
              </w:rPr>
            </w:pPr>
            <w:r>
              <w:rPr>
                <w:rFonts w:hint="eastAsia" w:ascii="方正小标宋_GBK" w:hAnsi="方正小标宋_GBK" w:eastAsia="方正小标宋_GBK" w:cs="方正小标宋_GBK"/>
                <w:i w:val="0"/>
                <w:iCs w:val="0"/>
                <w:color w:val="000000"/>
                <w:kern w:val="0"/>
                <w:sz w:val="44"/>
                <w:szCs w:val="44"/>
                <w:highlight w:val="none"/>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82" w:type="pct"/>
            <w:tcBorders>
              <w:top w:val="nil"/>
              <w:left w:val="nil"/>
              <w:bottom w:val="single" w:color="auto" w:sz="4" w:space="0"/>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填报单位：</w:t>
            </w:r>
          </w:p>
        </w:tc>
        <w:tc>
          <w:tcPr>
            <w:tcW w:w="1770" w:type="pct"/>
            <w:gridSpan w:val="3"/>
            <w:tcBorders>
              <w:top w:val="nil"/>
              <w:left w:val="nil"/>
              <w:bottom w:val="single" w:color="auto" w:sz="4" w:space="0"/>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中共石家庄市鹿泉区委老干部局</w:t>
            </w:r>
          </w:p>
        </w:tc>
        <w:tc>
          <w:tcPr>
            <w:tcW w:w="615"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c>
          <w:tcPr>
            <w:tcW w:w="528"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c>
          <w:tcPr>
            <w:tcW w:w="521"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c>
          <w:tcPr>
            <w:tcW w:w="781"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782"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基本情况</w:t>
            </w:r>
          </w:p>
        </w:tc>
        <w:tc>
          <w:tcPr>
            <w:tcW w:w="644"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1125" w:type="pct"/>
            <w:gridSpan w:val="2"/>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特困离退休干部帮扶资金（非专项资金）</w:t>
            </w:r>
          </w:p>
        </w:tc>
        <w:tc>
          <w:tcPr>
            <w:tcW w:w="615"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实施(主管）单位</w:t>
            </w:r>
          </w:p>
        </w:tc>
        <w:tc>
          <w:tcPr>
            <w:tcW w:w="183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中共石家庄市鹿泉区委老干部局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二、预算执行情况</w:t>
            </w:r>
          </w:p>
        </w:tc>
        <w:tc>
          <w:tcPr>
            <w:tcW w:w="115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预算安排情况（调整后）</w:t>
            </w:r>
          </w:p>
        </w:tc>
        <w:tc>
          <w:tcPr>
            <w:tcW w:w="1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资金到位情况</w:t>
            </w:r>
          </w:p>
        </w:tc>
        <w:tc>
          <w:tcPr>
            <w:tcW w:w="1050"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资金执行情况</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预算数：</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到位数：</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执行数：</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7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0" w:hRule="atLeast"/>
        </w:trPr>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righ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5</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default" w:ascii="Calibri" w:hAnsi="Calibri" w:eastAsia="宋体" w:cs="Calibri"/>
                <w:i w:val="0"/>
                <w:iCs w:val="0"/>
                <w:color w:val="000000"/>
                <w:sz w:val="20"/>
                <w:szCs w:val="20"/>
                <w:highlight w:val="none"/>
                <w:u w:val="none"/>
              </w:rPr>
            </w:pPr>
          </w:p>
        </w:tc>
        <w:tc>
          <w:tcPr>
            <w:tcW w:w="61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615"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highlight w:val="none"/>
                <w:u w:val="none"/>
              </w:rPr>
            </w:pP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left"/>
              <w:rPr>
                <w:rFonts w:hint="eastAsia" w:ascii="宋体" w:hAnsi="宋体" w:eastAsia="宋体" w:cs="宋体"/>
                <w:i w:val="0"/>
                <w:iCs w:val="0"/>
                <w:color w:val="000000"/>
                <w:sz w:val="20"/>
                <w:szCs w:val="20"/>
                <w:highlight w:val="none"/>
                <w:u w:val="none"/>
              </w:rPr>
            </w:pP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78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三、目标完成情况</w:t>
            </w:r>
          </w:p>
        </w:tc>
        <w:tc>
          <w:tcPr>
            <w:tcW w:w="177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年度预期目标</w:t>
            </w:r>
          </w:p>
        </w:tc>
        <w:tc>
          <w:tcPr>
            <w:tcW w:w="1666"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具体完成情况</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770"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帮助特困离退休干部及遗属解决生活方面实际困难</w:t>
            </w:r>
          </w:p>
        </w:tc>
        <w:tc>
          <w:tcPr>
            <w:tcW w:w="1666"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为10名离退休干部发放困难补助</w:t>
            </w:r>
          </w:p>
        </w:tc>
        <w:tc>
          <w:tcPr>
            <w:tcW w:w="7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77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66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78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770"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666"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0" w:hRule="atLeast"/>
        </w:trPr>
        <w:tc>
          <w:tcPr>
            <w:tcW w:w="782" w:type="pct"/>
            <w:vMerge w:val="restart"/>
            <w:tcBorders>
              <w:top w:val="single" w:color="auto" w:sz="4" w:space="0"/>
              <w:left w:val="single" w:color="auto"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四、</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年度绩效指标完成情况</w:t>
            </w:r>
          </w:p>
        </w:tc>
        <w:tc>
          <w:tcPr>
            <w:tcW w:w="644"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一级指标</w:t>
            </w:r>
          </w:p>
        </w:tc>
        <w:tc>
          <w:tcPr>
            <w:tcW w:w="508"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二级指标</w:t>
            </w:r>
          </w:p>
        </w:tc>
        <w:tc>
          <w:tcPr>
            <w:tcW w:w="1232" w:type="pct"/>
            <w:gridSpan w:val="2"/>
            <w:tcBorders>
              <w:top w:val="single" w:color="auto"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三级指标</w:t>
            </w:r>
          </w:p>
        </w:tc>
        <w:tc>
          <w:tcPr>
            <w:tcW w:w="5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预期指标值</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实际完成值</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82" w:type="pct"/>
            <w:vMerge w:val="continue"/>
            <w:tcBorders>
              <w:top w:val="single" w:color="000000" w:sz="4" w:space="0"/>
              <w:left w:val="single" w:color="auto"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44" w:type="pct"/>
            <w:vMerge w:val="restar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产出指标（40）</w:t>
            </w:r>
          </w:p>
        </w:tc>
        <w:tc>
          <w:tcPr>
            <w:tcW w:w="508"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数量指标</w:t>
            </w:r>
          </w:p>
        </w:tc>
        <w:tc>
          <w:tcPr>
            <w:tcW w:w="1232"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特困离退休发放补助人数</w:t>
            </w:r>
          </w:p>
        </w:tc>
        <w:tc>
          <w:tcPr>
            <w:tcW w:w="5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16人</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82" w:type="pct"/>
            <w:vMerge w:val="continue"/>
            <w:tcBorders>
              <w:top w:val="single" w:color="000000" w:sz="4" w:space="0"/>
              <w:left w:val="single" w:color="auto"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4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质量指标</w:t>
            </w:r>
          </w:p>
        </w:tc>
        <w:tc>
          <w:tcPr>
            <w:tcW w:w="1232"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特困离退休补助发放覆盖率</w:t>
            </w:r>
          </w:p>
        </w:tc>
        <w:tc>
          <w:tcPr>
            <w:tcW w:w="5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782" w:type="pct"/>
            <w:vMerge w:val="continue"/>
            <w:tcBorders>
              <w:top w:val="single" w:color="000000" w:sz="4" w:space="0"/>
              <w:left w:val="single" w:color="auto"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44" w:type="pct"/>
            <w:vMerge w:val="continue"/>
            <w:tcBorders>
              <w:top w:val="single" w:color="000000"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50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时效指标</w:t>
            </w:r>
          </w:p>
        </w:tc>
        <w:tc>
          <w:tcPr>
            <w:tcW w:w="1232" w:type="pct"/>
            <w:gridSpan w:val="2"/>
            <w:tcBorders>
              <w:top w:val="single" w:color="000000" w:sz="4" w:space="0"/>
              <w:left w:val="single" w:color="000000" w:sz="4" w:space="0"/>
              <w:bottom w:val="single" w:color="000000"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对特困离退休困难补助发放时间</w:t>
            </w:r>
          </w:p>
        </w:tc>
        <w:tc>
          <w:tcPr>
            <w:tcW w:w="528"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4</w:t>
            </w:r>
            <w:r>
              <w:rPr>
                <w:rFonts w:hint="eastAsia" w:ascii="宋体" w:hAnsi="宋体" w:eastAsia="宋体" w:cs="宋体"/>
                <w:i w:val="0"/>
                <w:iCs w:val="0"/>
                <w:color w:val="000000"/>
                <w:kern w:val="0"/>
                <w:sz w:val="16"/>
                <w:szCs w:val="16"/>
                <w:highlight w:val="none"/>
                <w:u w:val="none"/>
                <w:lang w:val="en-US" w:eastAsia="zh-CN" w:bidi="ar"/>
              </w:rPr>
              <w:t>季度</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4季度</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782" w:type="pct"/>
            <w:vMerge w:val="continue"/>
            <w:tcBorders>
              <w:top w:val="single" w:color="000000" w:sz="4" w:space="0"/>
              <w:left w:val="single" w:color="auto" w:sz="4" w:space="0"/>
              <w:bottom w:val="single" w:color="auto" w:sz="4" w:space="0"/>
              <w:right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44"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508"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成本指标</w:t>
            </w:r>
          </w:p>
        </w:tc>
        <w:tc>
          <w:tcPr>
            <w:tcW w:w="1232" w:type="pct"/>
            <w:gridSpan w:val="2"/>
            <w:tcBorders>
              <w:top w:val="single" w:color="000000"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帮扶离退休干部人均发放金额</w:t>
            </w:r>
          </w:p>
        </w:tc>
        <w:tc>
          <w:tcPr>
            <w:tcW w:w="528" w:type="pct"/>
            <w:tcBorders>
              <w:top w:val="single" w:color="000000"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3125</w:t>
            </w:r>
            <w:r>
              <w:rPr>
                <w:rFonts w:hint="eastAsia" w:ascii="宋体" w:hAnsi="宋体" w:eastAsia="宋体" w:cs="宋体"/>
                <w:i w:val="0"/>
                <w:iCs w:val="0"/>
                <w:color w:val="000000"/>
                <w:kern w:val="0"/>
                <w:sz w:val="16"/>
                <w:szCs w:val="16"/>
                <w:highlight w:val="none"/>
                <w:u w:val="none"/>
                <w:lang w:val="en-US" w:eastAsia="zh-CN" w:bidi="ar"/>
              </w:rPr>
              <w:t>元</w:t>
            </w:r>
          </w:p>
        </w:tc>
        <w:tc>
          <w:tcPr>
            <w:tcW w:w="521"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5000</w:t>
            </w:r>
            <w:r>
              <w:rPr>
                <w:rFonts w:hint="eastAsia" w:ascii="宋体" w:hAnsi="宋体" w:eastAsia="宋体" w:cs="宋体"/>
                <w:i w:val="0"/>
                <w:iCs w:val="0"/>
                <w:color w:val="000000"/>
                <w:kern w:val="0"/>
                <w:sz w:val="16"/>
                <w:szCs w:val="16"/>
                <w:highlight w:val="none"/>
                <w:u w:val="none"/>
                <w:lang w:val="en-US" w:eastAsia="zh-CN" w:bidi="ar"/>
              </w:rPr>
              <w:t>元</w:t>
            </w:r>
          </w:p>
        </w:tc>
        <w:tc>
          <w:tcPr>
            <w:tcW w:w="781"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0" w:hRule="atLeast"/>
        </w:trPr>
        <w:tc>
          <w:tcPr>
            <w:tcW w:w="782" w:type="pct"/>
            <w:vMerge w:val="continue"/>
            <w:tcBorders>
              <w:top w:val="single" w:color="auto" w:sz="4" w:space="0"/>
              <w:left w:val="single" w:color="auto" w:sz="4" w:space="0"/>
              <w:bottom w:val="single" w:color="auto" w:sz="4" w:space="0"/>
              <w:right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44"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508" w:type="pct"/>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1232" w:type="pct"/>
            <w:gridSpan w:val="2"/>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资金到位情况</w:t>
            </w:r>
          </w:p>
        </w:tc>
        <w:tc>
          <w:tcPr>
            <w:tcW w:w="528"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c>
          <w:tcPr>
            <w:tcW w:w="521" w:type="pc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c>
          <w:tcPr>
            <w:tcW w:w="781" w:type="pct"/>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80" w:hRule="atLeast"/>
        </w:trPr>
        <w:tc>
          <w:tcPr>
            <w:tcW w:w="782" w:type="pct"/>
            <w:vMerge w:val="continue"/>
            <w:tcBorders>
              <w:top w:val="single" w:color="auto" w:sz="4" w:space="0"/>
              <w:left w:val="single" w:color="auto" w:sz="4" w:space="0"/>
              <w:bottom w:val="single" w:color="auto" w:sz="4" w:space="0"/>
              <w:right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44" w:type="pct"/>
            <w:vMerge w:val="restart"/>
            <w:tcBorders>
              <w:top w:val="single" w:color="auto"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效益指标（40）</w:t>
            </w:r>
          </w:p>
        </w:tc>
        <w:tc>
          <w:tcPr>
            <w:tcW w:w="508" w:type="pct"/>
            <w:tcBorders>
              <w:top w:val="single" w:color="auto" w:sz="4" w:space="0"/>
              <w:left w:val="nil"/>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社会效益指标</w:t>
            </w:r>
          </w:p>
        </w:tc>
        <w:tc>
          <w:tcPr>
            <w:tcW w:w="1232" w:type="pct"/>
            <w:gridSpan w:val="2"/>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为特困离退休老干部提供关心</w:t>
            </w:r>
          </w:p>
        </w:tc>
        <w:tc>
          <w:tcPr>
            <w:tcW w:w="528" w:type="pct"/>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生活水平提高</w:t>
            </w:r>
          </w:p>
        </w:tc>
        <w:tc>
          <w:tcPr>
            <w:tcW w:w="521"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生活水平提高</w:t>
            </w:r>
          </w:p>
        </w:tc>
        <w:tc>
          <w:tcPr>
            <w:tcW w:w="781"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0" w:hRule="atLeast"/>
        </w:trPr>
        <w:tc>
          <w:tcPr>
            <w:tcW w:w="782" w:type="pct"/>
            <w:vMerge w:val="continue"/>
            <w:tcBorders>
              <w:top w:val="single" w:color="auto" w:sz="4" w:space="0"/>
              <w:left w:val="single" w:color="auto"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44" w:type="pct"/>
            <w:vMerge w:val="continue"/>
            <w:tcBorders>
              <w:top w:val="single" w:color="auto" w:sz="4" w:space="0"/>
              <w:left w:val="single" w:color="000000"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508" w:type="pct"/>
            <w:tcBorders>
              <w:top w:val="single" w:color="auto"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可持续影响指标</w:t>
            </w:r>
          </w:p>
        </w:tc>
        <w:tc>
          <w:tcPr>
            <w:tcW w:w="1232"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增强影响力</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关心关爱老干部</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关心关爱老干部</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782" w:type="pct"/>
            <w:vMerge w:val="continue"/>
            <w:tcBorders>
              <w:top w:val="single" w:color="000000" w:sz="4" w:space="0"/>
              <w:left w:val="single" w:color="auto"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4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508"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p>
        </w:tc>
        <w:tc>
          <w:tcPr>
            <w:tcW w:w="123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帮扶离退休干部满意率</w:t>
            </w:r>
          </w:p>
        </w:tc>
        <w:tc>
          <w:tcPr>
            <w:tcW w:w="5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5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0" w:hRule="atLeast"/>
        </w:trPr>
        <w:tc>
          <w:tcPr>
            <w:tcW w:w="782" w:type="pct"/>
            <w:vMerge w:val="continue"/>
            <w:tcBorders>
              <w:top w:val="single" w:color="000000" w:sz="4" w:space="0"/>
              <w:left w:val="single" w:color="auto" w:sz="4" w:space="0"/>
              <w:bottom w:val="single" w:color="auto" w:sz="4" w:space="0"/>
              <w:right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3436" w:type="pct"/>
            <w:gridSpan w:val="6"/>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总分</w:t>
            </w:r>
          </w:p>
        </w:tc>
        <w:tc>
          <w:tcPr>
            <w:tcW w:w="781"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97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75" w:hRule="atLeast"/>
        </w:trPr>
        <w:tc>
          <w:tcPr>
            <w:tcW w:w="782"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存在问题、原因及下一步整改措施</w:t>
            </w:r>
          </w:p>
        </w:tc>
        <w:tc>
          <w:tcPr>
            <w:tcW w:w="4217" w:type="pct"/>
            <w:gridSpan w:val="7"/>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2024年10月实际申请特困离退休干部帮扶的人数为10人，小于去年16人，数量指标设置不合理。今后在申请项目时，应合理设置数量指标。</w:t>
            </w:r>
          </w:p>
        </w:tc>
      </w:tr>
    </w:tbl>
    <w:p>
      <w:pPr>
        <w:widowControl/>
        <w:spacing w:before="0" w:beforeLines="0" w:beforeAutospacing="0" w:after="0" w:afterLines="0" w:afterAutospacing="0" w:line="360" w:lineRule="auto"/>
        <w:ind w:firstLine="640" w:firstLineChars="200"/>
        <w:jc w:val="left"/>
        <w:rPr>
          <w:rFonts w:hint="eastAsia" w:ascii="Times New Roman" w:eastAsia="仿宋_GB2312"/>
          <w:b w:val="0"/>
          <w:sz w:val="32"/>
          <w:szCs w:val="32"/>
          <w:highlight w:val="none"/>
        </w:rPr>
      </w:pPr>
      <w:r>
        <w:rPr>
          <w:rFonts w:hint="eastAsia" w:ascii="Times New Roman" w:eastAsia="仿宋_GB2312"/>
          <w:b w:val="0"/>
          <w:sz w:val="32"/>
          <w:szCs w:val="32"/>
          <w:highlight w:val="none"/>
        </w:rPr>
        <w:t>2024年国庆走访慰问离休老干部（非专项资金）项目绩效自评情况：根据年初设定的绩效目标，2024年国庆走访慰问离休老干部（非专项资金）项目绩效自评得分为</w:t>
      </w:r>
      <w:r>
        <w:rPr>
          <w:rFonts w:hint="eastAsia" w:ascii="Times New Roman" w:eastAsia="仿宋_GB2312"/>
          <w:b w:val="0"/>
          <w:sz w:val="32"/>
          <w:szCs w:val="32"/>
          <w:highlight w:val="none"/>
          <w:lang w:val="en-US" w:eastAsia="zh-CN"/>
        </w:rPr>
        <w:t>100</w:t>
      </w:r>
      <w:r>
        <w:rPr>
          <w:rFonts w:hint="eastAsia" w:ascii="Times New Roman" w:eastAsia="仿宋_GB2312"/>
          <w:b w:val="0"/>
          <w:sz w:val="32"/>
          <w:szCs w:val="32"/>
          <w:highlight w:val="none"/>
        </w:rPr>
        <w:t>分（绩效自评表附后）。全年预算数为</w:t>
      </w:r>
      <w:r>
        <w:rPr>
          <w:rFonts w:hint="eastAsia" w:ascii="Times New Roman" w:eastAsia="仿宋_GB2312"/>
          <w:b w:val="0"/>
          <w:sz w:val="32"/>
          <w:szCs w:val="32"/>
          <w:highlight w:val="none"/>
          <w:lang w:val="en-US" w:eastAsia="zh-CN"/>
        </w:rPr>
        <w:t>4.6</w:t>
      </w:r>
      <w:r>
        <w:rPr>
          <w:rFonts w:hint="eastAsia" w:ascii="Times New Roman" w:eastAsia="仿宋_GB2312"/>
          <w:b w:val="0"/>
          <w:sz w:val="32"/>
          <w:szCs w:val="32"/>
          <w:highlight w:val="none"/>
        </w:rPr>
        <w:t>万元，执行数为</w:t>
      </w:r>
      <w:r>
        <w:rPr>
          <w:rFonts w:hint="eastAsia" w:ascii="Times New Roman" w:eastAsia="仿宋_GB2312"/>
          <w:b w:val="0"/>
          <w:sz w:val="32"/>
          <w:szCs w:val="32"/>
          <w:highlight w:val="none"/>
          <w:lang w:val="en-US" w:eastAsia="zh-CN"/>
        </w:rPr>
        <w:t>4.6</w:t>
      </w:r>
      <w:r>
        <w:rPr>
          <w:rFonts w:hint="eastAsia" w:ascii="Times New Roman" w:eastAsia="仿宋_GB2312"/>
          <w:b w:val="0"/>
          <w:sz w:val="32"/>
          <w:szCs w:val="32"/>
          <w:highlight w:val="none"/>
        </w:rPr>
        <w:t>万元，完成预算的100%。项目绩效目标完成情况：国庆期间走访慰问23名建国前参加革命工作的老干部</w:t>
      </w:r>
      <w:r>
        <w:rPr>
          <w:rFonts w:hint="eastAsia" w:ascii="Times New Roman" w:eastAsia="仿宋_GB2312"/>
          <w:b w:val="0"/>
          <w:sz w:val="32"/>
          <w:szCs w:val="32"/>
          <w:highlight w:val="none"/>
          <w:lang w:eastAsia="zh-CN"/>
        </w:rPr>
        <w:t>，未发现问题。</w:t>
      </w:r>
    </w:p>
    <w:tbl>
      <w:tblPr>
        <w:tblStyle w:val="11"/>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16"/>
        <w:gridCol w:w="1197"/>
        <w:gridCol w:w="1000"/>
        <w:gridCol w:w="904"/>
        <w:gridCol w:w="902"/>
        <w:gridCol w:w="1224"/>
        <w:gridCol w:w="1228"/>
        <w:gridCol w:w="161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000" w:type="pct"/>
            <w:gridSpan w:val="8"/>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ascii="方正小标宋_GBK" w:hAnsi="方正小标宋_GBK" w:eastAsia="方正小标宋_GBK" w:cs="方正小标宋_GBK"/>
                <w:i w:val="0"/>
                <w:iCs w:val="0"/>
                <w:color w:val="000000"/>
                <w:sz w:val="44"/>
                <w:szCs w:val="44"/>
                <w:highlight w:val="none"/>
                <w:u w:val="none"/>
              </w:rPr>
            </w:pPr>
            <w:r>
              <w:rPr>
                <w:rFonts w:hint="eastAsia" w:ascii="方正小标宋_GBK" w:hAnsi="方正小标宋_GBK" w:eastAsia="方正小标宋_GBK" w:cs="方正小标宋_GBK"/>
                <w:i w:val="0"/>
                <w:iCs w:val="0"/>
                <w:color w:val="000000"/>
                <w:kern w:val="0"/>
                <w:sz w:val="44"/>
                <w:szCs w:val="44"/>
                <w:highlight w:val="none"/>
                <w:u w:val="none"/>
                <w:lang w:val="en-US" w:eastAsia="zh-CN" w:bidi="ar"/>
              </w:rPr>
              <w:t>区级部门预算项目绩效自评表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8"/>
            <w:tcBorders>
              <w:top w:val="nil"/>
              <w:left w:val="nil"/>
              <w:bottom w:val="nil"/>
              <w:right w:val="nil"/>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（2024年度）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21" w:type="pct"/>
            <w:tcBorders>
              <w:top w:val="nil"/>
              <w:left w:val="nil"/>
              <w:bottom w:val="nil"/>
              <w:right w:val="nil"/>
            </w:tcBorders>
            <w:shd w:val="clear" w:color="auto" w:fill="auto"/>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填报单位：</w:t>
            </w:r>
          </w:p>
        </w:tc>
        <w:tc>
          <w:tcPr>
            <w:tcW w:w="1731" w:type="pct"/>
            <w:gridSpan w:val="3"/>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中共石家庄市鹿泉区委老干部局</w:t>
            </w:r>
          </w:p>
        </w:tc>
        <w:tc>
          <w:tcPr>
            <w:tcW w:w="506"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c>
          <w:tcPr>
            <w:tcW w:w="679"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c>
          <w:tcPr>
            <w:tcW w:w="679" w:type="pct"/>
            <w:tcBorders>
              <w:top w:val="nil"/>
              <w:left w:val="nil"/>
              <w:bottom w:val="nil"/>
              <w:right w:val="nil"/>
            </w:tcBorders>
            <w:shd w:val="clear" w:color="auto" w:fill="auto"/>
            <w:noWrap/>
            <w:vAlign w:val="center"/>
          </w:tcPr>
          <w:p>
            <w:pPr>
              <w:jc w:val="center"/>
              <w:rPr>
                <w:rFonts w:hint="eastAsia" w:ascii="宋体" w:hAnsi="宋体" w:eastAsia="宋体" w:cs="宋体"/>
                <w:i w:val="0"/>
                <w:iCs w:val="0"/>
                <w:color w:val="000000"/>
                <w:sz w:val="20"/>
                <w:szCs w:val="20"/>
                <w:highlight w:val="none"/>
                <w:u w:val="none"/>
              </w:rPr>
            </w:pPr>
          </w:p>
        </w:tc>
        <w:tc>
          <w:tcPr>
            <w:tcW w:w="781" w:type="pct"/>
            <w:tcBorders>
              <w:top w:val="nil"/>
              <w:left w:val="nil"/>
              <w:bottom w:val="nil"/>
              <w:right w:val="nil"/>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金额单位：万元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21"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基本情况</w:t>
            </w: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项目名称</w:t>
            </w:r>
          </w:p>
        </w:tc>
        <w:tc>
          <w:tcPr>
            <w:tcW w:w="106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国庆走访慰问离休老干部（非专项资金）</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实施(主管）单位</w:t>
            </w:r>
          </w:p>
        </w:tc>
        <w:tc>
          <w:tcPr>
            <w:tcW w:w="2140"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中共石家庄市鹿泉区委老干部局</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二、预算执行情况</w:t>
            </w:r>
          </w:p>
        </w:tc>
        <w:tc>
          <w:tcPr>
            <w:tcW w:w="122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预算安排情况（调整后）</w:t>
            </w:r>
          </w:p>
        </w:tc>
        <w:tc>
          <w:tcPr>
            <w:tcW w:w="101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资金到位情况</w:t>
            </w:r>
          </w:p>
        </w:tc>
        <w:tc>
          <w:tcPr>
            <w:tcW w:w="1359"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资金执行情况</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预算执行进度</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预算数：</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4.6</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到位数：</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4.6</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执行数：</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4.6</w:t>
            </w:r>
          </w:p>
        </w:tc>
        <w:tc>
          <w:tcPr>
            <w:tcW w:w="7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6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4.6</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4.6</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其中：                     财政资金</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4.6</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55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default" w:ascii="Calibri" w:hAnsi="Calibri" w:eastAsia="宋体" w:cs="Calibri"/>
                <w:i w:val="0"/>
                <w:iCs w:val="0"/>
                <w:color w:val="000000"/>
                <w:sz w:val="20"/>
                <w:szCs w:val="20"/>
                <w:highlight w:val="none"/>
                <w:u w:val="none"/>
              </w:rPr>
            </w:pP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506"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其他</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2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三、目标完成情况</w:t>
            </w:r>
          </w:p>
        </w:tc>
        <w:tc>
          <w:tcPr>
            <w:tcW w:w="1731"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年度预期目标</w:t>
            </w:r>
          </w:p>
        </w:tc>
        <w:tc>
          <w:tcPr>
            <w:tcW w:w="186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具体完成情况</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总体完成率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6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731"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国庆期间走访慰问23名建国前参加革命工作的老干部</w:t>
            </w:r>
          </w:p>
        </w:tc>
        <w:tc>
          <w:tcPr>
            <w:tcW w:w="1865" w:type="pct"/>
            <w:gridSpan w:val="3"/>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国庆期间走访慰问23名建国前参加革命工作的老干部</w:t>
            </w:r>
          </w:p>
        </w:tc>
        <w:tc>
          <w:tcPr>
            <w:tcW w:w="7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73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86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62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731"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1865" w:type="pct"/>
            <w:gridSpan w:val="3"/>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atLeast"/>
        </w:trPr>
        <w:tc>
          <w:tcPr>
            <w:tcW w:w="621" w:type="pct"/>
            <w:vMerge w:val="restart"/>
            <w:tcBorders>
              <w:top w:val="single" w:color="000000" w:sz="4" w:space="0"/>
              <w:left w:val="single" w:color="auto"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四、</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年度绩效指标完成情况</w:t>
            </w:r>
          </w:p>
        </w:tc>
        <w:tc>
          <w:tcPr>
            <w:tcW w:w="665"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一级指标</w:t>
            </w:r>
          </w:p>
        </w:tc>
        <w:tc>
          <w:tcPr>
            <w:tcW w:w="559"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二级指标</w:t>
            </w:r>
          </w:p>
        </w:tc>
        <w:tc>
          <w:tcPr>
            <w:tcW w:w="1012"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三级指标</w:t>
            </w:r>
          </w:p>
        </w:tc>
        <w:tc>
          <w:tcPr>
            <w:tcW w:w="679" w:type="pct"/>
            <w:tcBorders>
              <w:top w:val="single" w:color="000000" w:sz="4" w:space="0"/>
              <w:left w:val="single" w:color="000000" w:sz="4" w:space="0"/>
              <w:bottom w:val="nil"/>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预期指标值</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实际完成值</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自评得分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1" w:type="pct"/>
            <w:vMerge w:val="continue"/>
            <w:tcBorders>
              <w:top w:val="single" w:color="000000" w:sz="4" w:space="0"/>
              <w:left w:val="single" w:color="auto"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65" w:type="pct"/>
            <w:vMerge w:val="restar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产出指标（40）</w:t>
            </w:r>
          </w:p>
        </w:tc>
        <w:tc>
          <w:tcPr>
            <w:tcW w:w="559" w:type="pct"/>
            <w:tcBorders>
              <w:top w:val="single" w:color="auto" w:sz="4" w:space="0"/>
              <w:left w:val="single" w:color="000000"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数量指标</w:t>
            </w:r>
          </w:p>
        </w:tc>
        <w:tc>
          <w:tcPr>
            <w:tcW w:w="1012" w:type="pct"/>
            <w:gridSpan w:val="2"/>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发放慰问金人数</w:t>
            </w:r>
          </w:p>
        </w:tc>
        <w:tc>
          <w:tcPr>
            <w:tcW w:w="679" w:type="pct"/>
            <w:tcBorders>
              <w:top w:val="single" w:color="000000"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23 人</w:t>
            </w:r>
          </w:p>
        </w:tc>
        <w:tc>
          <w:tcPr>
            <w:tcW w:w="67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621" w:type="pct"/>
            <w:vMerge w:val="continue"/>
            <w:tcBorders>
              <w:top w:val="single" w:color="000000" w:sz="4" w:space="0"/>
              <w:left w:val="single" w:color="auto"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65" w:type="pct"/>
            <w:vMerge w:val="continue"/>
            <w:tcBorders>
              <w:top w:val="single" w:color="auto" w:sz="4" w:space="0"/>
              <w:left w:val="single" w:color="auto"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559" w:type="pct"/>
            <w:tcBorders>
              <w:top w:val="single" w:color="auto"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质量指标</w:t>
            </w:r>
          </w:p>
        </w:tc>
        <w:tc>
          <w:tcPr>
            <w:tcW w:w="1012"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发放慰问金的覆盖率</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100 %</w:t>
            </w:r>
          </w:p>
        </w:tc>
        <w:tc>
          <w:tcPr>
            <w:tcW w:w="679" w:type="pct"/>
            <w:tcBorders>
              <w:top w:val="single" w:color="000000" w:sz="4" w:space="0"/>
              <w:left w:val="nil"/>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100%</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1" w:type="pct"/>
            <w:vMerge w:val="continue"/>
            <w:tcBorders>
              <w:top w:val="single" w:color="000000" w:sz="4" w:space="0"/>
              <w:left w:val="single" w:color="auto"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65" w:type="pct"/>
            <w:vMerge w:val="continue"/>
            <w:tcBorders>
              <w:top w:val="single" w:color="000000" w:sz="4" w:space="0"/>
              <w:left w:val="single" w:color="auto"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559"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时效指标</w:t>
            </w:r>
          </w:p>
        </w:tc>
        <w:tc>
          <w:tcPr>
            <w:tcW w:w="101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发放慰问金时间</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国庆节前后</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国庆节前后</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621" w:type="pct"/>
            <w:vMerge w:val="continue"/>
            <w:tcBorders>
              <w:top w:val="single" w:color="000000"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65" w:type="pct"/>
            <w:vMerge w:val="continue"/>
            <w:tcBorders>
              <w:top w:val="single" w:color="000000" w:sz="4" w:space="0"/>
              <w:left w:val="single" w:color="auto" w:sz="4" w:space="0"/>
              <w:bottom w:val="single" w:color="auto" w:sz="4" w:space="0"/>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559" w:type="pct"/>
            <w:tcBorders>
              <w:top w:val="single" w:color="000000" w:sz="4" w:space="0"/>
              <w:left w:val="single" w:color="000000"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成本指标</w:t>
            </w:r>
          </w:p>
        </w:tc>
        <w:tc>
          <w:tcPr>
            <w:tcW w:w="1012" w:type="pct"/>
            <w:gridSpan w:val="2"/>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人均慰问金金额</w:t>
            </w:r>
          </w:p>
        </w:tc>
        <w:tc>
          <w:tcPr>
            <w:tcW w:w="679"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 2000 元</w:t>
            </w:r>
          </w:p>
        </w:tc>
        <w:tc>
          <w:tcPr>
            <w:tcW w:w="679" w:type="pct"/>
            <w:tcBorders>
              <w:top w:val="single" w:color="000000" w:sz="4" w:space="0"/>
              <w:left w:val="nil"/>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6"/>
                <w:szCs w:val="16"/>
                <w:highlight w:val="none"/>
                <w:u w:val="none"/>
              </w:rPr>
            </w:pPr>
            <w:r>
              <w:rPr>
                <w:rFonts w:hint="eastAsia" w:ascii="宋体" w:hAnsi="宋体" w:eastAsia="宋体" w:cs="宋体"/>
                <w:i w:val="0"/>
                <w:iCs w:val="0"/>
                <w:color w:val="000000"/>
                <w:kern w:val="0"/>
                <w:sz w:val="16"/>
                <w:szCs w:val="16"/>
                <w:highlight w:val="none"/>
                <w:u w:val="none"/>
                <w:lang w:val="en-US" w:eastAsia="zh-CN" w:bidi="ar"/>
              </w:rPr>
              <w:t>2000元</w:t>
            </w:r>
          </w:p>
        </w:tc>
        <w:tc>
          <w:tcPr>
            <w:tcW w:w="781" w:type="pct"/>
            <w:tcBorders>
              <w:top w:val="single" w:color="000000" w:sz="4" w:space="0"/>
              <w:left w:val="single" w:color="000000"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0" w:hRule="atLeast"/>
        </w:trPr>
        <w:tc>
          <w:tcPr>
            <w:tcW w:w="621"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65"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559" w:type="pct"/>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预算执行率</w:t>
            </w:r>
          </w:p>
        </w:tc>
        <w:tc>
          <w:tcPr>
            <w:tcW w:w="1012" w:type="pct"/>
            <w:gridSpan w:val="2"/>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资金到位情况</w:t>
            </w:r>
          </w:p>
        </w:tc>
        <w:tc>
          <w:tcPr>
            <w:tcW w:w="679" w:type="pc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c>
          <w:tcPr>
            <w:tcW w:w="679" w:type="pct"/>
            <w:tcBorders>
              <w:top w:val="single" w:color="auto" w:sz="4" w:space="0"/>
              <w:left w:val="nil"/>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100%</w:t>
            </w:r>
          </w:p>
        </w:tc>
        <w:tc>
          <w:tcPr>
            <w:tcW w:w="781" w:type="pct"/>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21" w:type="pct"/>
            <w:vMerge w:val="continue"/>
            <w:tcBorders>
              <w:top w:val="single" w:color="auto" w:sz="4" w:space="0"/>
              <w:left w:val="single" w:color="auto"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65" w:type="pct"/>
            <w:vMerge w:val="restart"/>
            <w:tcBorders>
              <w:top w:val="single" w:color="auto" w:sz="4" w:space="0"/>
              <w:left w:val="single" w:color="auto" w:sz="4" w:space="0"/>
              <w:bottom w:val="single" w:color="auto"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效益指标（40）</w:t>
            </w:r>
          </w:p>
        </w:tc>
        <w:tc>
          <w:tcPr>
            <w:tcW w:w="559" w:type="pct"/>
            <w:tcBorders>
              <w:top w:val="single" w:color="auto" w:sz="4" w:space="0"/>
              <w:left w:val="single" w:color="000000" w:sz="4" w:space="0"/>
              <w:bottom w:val="single" w:color="auto"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经济效益指标</w:t>
            </w:r>
          </w:p>
        </w:tc>
        <w:tc>
          <w:tcPr>
            <w:tcW w:w="1012" w:type="pct"/>
            <w:gridSpan w:val="2"/>
            <w:tcBorders>
              <w:top w:val="single" w:color="auto" w:sz="4" w:space="0"/>
              <w:left w:val="single" w:color="000000" w:sz="4" w:space="0"/>
              <w:bottom w:val="single" w:color="auto" w:sz="4" w:space="0"/>
              <w:right w:val="single" w:color="auto"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离休干部生活质量提高</w:t>
            </w:r>
          </w:p>
        </w:tc>
        <w:tc>
          <w:tcPr>
            <w:tcW w:w="679" w:type="pct"/>
            <w:tcBorders>
              <w:top w:val="single" w:color="auto" w:sz="4" w:space="0"/>
              <w:left w:val="single" w:color="auto"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23 人</w:t>
            </w:r>
          </w:p>
        </w:tc>
        <w:tc>
          <w:tcPr>
            <w:tcW w:w="679" w:type="pct"/>
            <w:tcBorders>
              <w:top w:val="single" w:color="auto" w:sz="4" w:space="0"/>
              <w:left w:val="nil"/>
              <w:bottom w:val="single" w:color="000000" w:sz="4" w:space="0"/>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23人</w:t>
            </w:r>
          </w:p>
        </w:tc>
        <w:tc>
          <w:tcPr>
            <w:tcW w:w="781" w:type="pct"/>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621" w:type="pct"/>
            <w:vMerge w:val="continue"/>
            <w:tcBorders>
              <w:top w:val="single" w:color="000000" w:sz="4" w:space="0"/>
              <w:left w:val="single" w:color="auto"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65" w:type="pct"/>
            <w:vMerge w:val="continue"/>
            <w:tcBorders>
              <w:top w:val="single" w:color="auto" w:sz="4" w:space="0"/>
              <w:left w:val="single" w:color="auto"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559" w:type="pct"/>
            <w:tcBorders>
              <w:top w:val="single" w:color="auto"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社会效益指标</w:t>
            </w:r>
          </w:p>
        </w:tc>
        <w:tc>
          <w:tcPr>
            <w:tcW w:w="1012" w:type="pct"/>
            <w:gridSpan w:val="2"/>
            <w:tcBorders>
              <w:top w:val="single" w:color="auto"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增加社会效益</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关心关爱老干部</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关心关爱老干部</w:t>
            </w:r>
          </w:p>
        </w:tc>
        <w:tc>
          <w:tcPr>
            <w:tcW w:w="781"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0" w:hRule="atLeast"/>
        </w:trPr>
        <w:tc>
          <w:tcPr>
            <w:tcW w:w="621" w:type="pct"/>
            <w:vMerge w:val="continue"/>
            <w:tcBorders>
              <w:top w:val="single" w:color="000000" w:sz="4" w:space="0"/>
              <w:left w:val="single" w:color="auto" w:sz="4" w:space="0"/>
              <w:bottom w:val="single" w:color="000000" w:sz="4" w:space="0"/>
              <w:right w:val="single" w:color="auto"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65" w:type="pct"/>
            <w:vMerge w:val="continue"/>
            <w:tcBorders>
              <w:top w:val="nil"/>
              <w:left w:val="single" w:color="auto" w:sz="4" w:space="0"/>
              <w:bottom w:val="nil"/>
              <w:right w:val="single" w:color="000000" w:sz="4" w:space="0"/>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559" w:type="pc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可持续影响指标</w:t>
            </w:r>
          </w:p>
        </w:tc>
        <w:tc>
          <w:tcPr>
            <w:tcW w:w="101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增强影响力</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老干部认同感、亲密感提升</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老干部认同感、亲密感提升</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621" w:type="pct"/>
            <w:vMerge w:val="continue"/>
            <w:tcBorders>
              <w:top w:val="single" w:color="000000" w:sz="4" w:space="0"/>
              <w:left w:val="single" w:color="auto"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66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满意度指标</w:t>
            </w:r>
            <w:r>
              <w:rPr>
                <w:rFonts w:hint="eastAsia" w:ascii="宋体" w:hAnsi="宋体" w:eastAsia="宋体" w:cs="宋体"/>
                <w:i w:val="0"/>
                <w:iCs w:val="0"/>
                <w:color w:val="000000"/>
                <w:kern w:val="0"/>
                <w:sz w:val="20"/>
                <w:szCs w:val="20"/>
                <w:highlight w:val="none"/>
                <w:u w:val="none"/>
                <w:lang w:val="en-US" w:eastAsia="zh-CN" w:bidi="ar"/>
              </w:rPr>
              <w:br w:type="textWrapping"/>
            </w:r>
            <w:r>
              <w:rPr>
                <w:rFonts w:hint="eastAsia" w:ascii="宋体" w:hAnsi="宋体" w:eastAsia="宋体" w:cs="宋体"/>
                <w:i w:val="0"/>
                <w:iCs w:val="0"/>
                <w:color w:val="000000"/>
                <w:kern w:val="0"/>
                <w:sz w:val="20"/>
                <w:szCs w:val="20"/>
                <w:highlight w:val="none"/>
                <w:u w:val="none"/>
                <w:lang w:val="en-US" w:eastAsia="zh-CN" w:bidi="ar"/>
              </w:rPr>
              <w:t>（10分）</w:t>
            </w:r>
          </w:p>
        </w:tc>
        <w:tc>
          <w:tcPr>
            <w:tcW w:w="559" w:type="pct"/>
            <w:tcBorders>
              <w:top w:val="single" w:color="000000" w:sz="4" w:space="0"/>
              <w:left w:val="single" w:color="000000" w:sz="4" w:space="0"/>
              <w:bottom w:val="nil"/>
              <w:right w:val="nil"/>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服务对象满意度指标</w:t>
            </w:r>
          </w:p>
        </w:tc>
        <w:tc>
          <w:tcPr>
            <w:tcW w:w="1012"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受慰问老干部的满意度</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 90 %</w:t>
            </w:r>
          </w:p>
        </w:tc>
        <w:tc>
          <w:tcPr>
            <w:tcW w:w="67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18"/>
                <w:szCs w:val="18"/>
                <w:highlight w:val="none"/>
                <w:u w:val="none"/>
              </w:rPr>
            </w:pPr>
            <w:r>
              <w:rPr>
                <w:rFonts w:hint="eastAsia" w:ascii="宋体" w:hAnsi="宋体" w:eastAsia="宋体" w:cs="宋体"/>
                <w:i w:val="0"/>
                <w:iCs w:val="0"/>
                <w:color w:val="000000"/>
                <w:kern w:val="0"/>
                <w:sz w:val="18"/>
                <w:szCs w:val="18"/>
                <w:highlight w:val="none"/>
                <w:u w:val="none"/>
                <w:lang w:val="en-US" w:eastAsia="zh-CN" w:bidi="ar"/>
              </w:rPr>
              <w:t>≥90%</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621" w:type="pct"/>
            <w:vMerge w:val="continue"/>
            <w:tcBorders>
              <w:top w:val="single" w:color="000000" w:sz="4" w:space="0"/>
              <w:left w:val="single" w:color="auto" w:sz="4" w:space="0"/>
              <w:bottom w:val="single" w:color="000000" w:sz="4" w:space="0"/>
              <w:right w:val="nil"/>
            </w:tcBorders>
            <w:shd w:val="clear" w:color="auto" w:fill="auto"/>
            <w:vAlign w:val="center"/>
          </w:tcPr>
          <w:p>
            <w:pPr>
              <w:jc w:val="center"/>
              <w:rPr>
                <w:rFonts w:hint="eastAsia" w:ascii="宋体" w:hAnsi="宋体" w:eastAsia="宋体" w:cs="宋体"/>
                <w:i w:val="0"/>
                <w:iCs w:val="0"/>
                <w:color w:val="000000"/>
                <w:sz w:val="20"/>
                <w:szCs w:val="20"/>
                <w:highlight w:val="none"/>
                <w:u w:val="none"/>
              </w:rPr>
            </w:pPr>
          </w:p>
        </w:tc>
        <w:tc>
          <w:tcPr>
            <w:tcW w:w="3597"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总分</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Theme="minorEastAsia" w:hAnsiTheme="minorEastAsia" w:eastAsiaTheme="minorEastAsia" w:cstheme="minorEastAsia"/>
                <w:i w:val="0"/>
                <w:iCs w:val="0"/>
                <w:color w:val="000000"/>
                <w:sz w:val="20"/>
                <w:szCs w:val="20"/>
                <w:highlight w:val="none"/>
                <w:u w:val="none"/>
              </w:rPr>
            </w:pPr>
            <w:r>
              <w:rPr>
                <w:rFonts w:hint="eastAsia" w:asciiTheme="minorEastAsia" w:hAnsiTheme="minorEastAsia" w:eastAsiaTheme="minorEastAsia" w:cstheme="minorEastAsia"/>
                <w:i w:val="0"/>
                <w:iCs w:val="0"/>
                <w:color w:val="000000"/>
                <w:kern w:val="0"/>
                <w:sz w:val="20"/>
                <w:szCs w:val="20"/>
                <w:highlight w:val="none"/>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621" w:type="pct"/>
            <w:tcBorders>
              <w:top w:val="nil"/>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五、</w:t>
            </w:r>
            <w:r>
              <w:rPr>
                <w:rFonts w:ascii="Calibri" w:hAnsi="Calibri" w:eastAsia="宋体" w:cs="Calibri"/>
                <w:i w:val="0"/>
                <w:iCs w:val="0"/>
                <w:color w:val="000000"/>
                <w:kern w:val="0"/>
                <w:sz w:val="20"/>
                <w:szCs w:val="20"/>
                <w:highlight w:val="none"/>
                <w:u w:val="none"/>
                <w:lang w:val="en-US" w:eastAsia="zh-CN" w:bidi="ar"/>
              </w:rPr>
              <w:t xml:space="preserve"> </w:t>
            </w:r>
            <w:r>
              <w:rPr>
                <w:rFonts w:hint="eastAsia" w:ascii="宋体" w:hAnsi="宋体" w:eastAsia="宋体" w:cs="宋体"/>
                <w:i w:val="0"/>
                <w:iCs w:val="0"/>
                <w:color w:val="000000"/>
                <w:kern w:val="0"/>
                <w:sz w:val="20"/>
                <w:szCs w:val="20"/>
                <w:highlight w:val="none"/>
                <w:u w:val="none"/>
                <w:lang w:val="en-US" w:eastAsia="zh-CN" w:bidi="ar"/>
              </w:rPr>
              <w:t>存在问题、原因及下一步整改措施</w:t>
            </w:r>
          </w:p>
        </w:tc>
        <w:tc>
          <w:tcPr>
            <w:tcW w:w="4378" w:type="pct"/>
            <w:gridSpan w:val="7"/>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sz w:val="20"/>
                <w:szCs w:val="20"/>
                <w:highlight w:val="none"/>
                <w:u w:val="none"/>
              </w:rPr>
            </w:pPr>
            <w:r>
              <w:rPr>
                <w:rFonts w:hint="eastAsia" w:ascii="宋体" w:hAnsi="宋体" w:eastAsia="宋体" w:cs="宋体"/>
                <w:i w:val="0"/>
                <w:iCs w:val="0"/>
                <w:color w:val="000000"/>
                <w:kern w:val="0"/>
                <w:sz w:val="20"/>
                <w:szCs w:val="20"/>
                <w:highlight w:val="none"/>
                <w:u w:val="none"/>
                <w:lang w:val="en-US" w:eastAsia="zh-CN" w:bidi="ar"/>
              </w:rPr>
              <w:t>无</w:t>
            </w:r>
          </w:p>
        </w:tc>
      </w:tr>
    </w:tbl>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（三）部门评价项目绩效评价结果</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hint="eastAsia" w:ascii="Times New Roman" w:eastAsia="仿宋_GB2312"/>
          <w:sz w:val="32"/>
          <w:szCs w:val="32"/>
          <w:highlight w:val="none"/>
        </w:rPr>
        <w:t>根据部门职责定位和各项工作履职情况进行综合评价，最终得分9</w:t>
      </w:r>
      <w:r>
        <w:rPr>
          <w:rFonts w:hint="eastAsia" w:ascii="Times New Roman" w:eastAsia="仿宋_GB2312"/>
          <w:sz w:val="32"/>
          <w:szCs w:val="32"/>
          <w:highlight w:val="none"/>
          <w:lang w:val="en-US" w:eastAsia="zh-CN"/>
        </w:rPr>
        <w:t>8</w:t>
      </w:r>
      <w:r>
        <w:rPr>
          <w:rFonts w:hint="eastAsia" w:ascii="Times New Roman" w:eastAsia="仿宋_GB2312"/>
          <w:sz w:val="32"/>
          <w:szCs w:val="32"/>
          <w:highlight w:val="none"/>
        </w:rPr>
        <w:t>分，综合绩效评价等级为优秀。</w:t>
      </w:r>
    </w:p>
    <w:p>
      <w:pPr>
        <w:widowControl/>
        <w:spacing w:before="0" w:beforeLines="0" w:beforeAutospacing="0" w:after="0" w:afterLines="0" w:afterAutospacing="0" w:line="360" w:lineRule="auto"/>
        <w:ind w:firstLine="640" w:firstLineChars="200"/>
        <w:jc w:val="left"/>
        <w:rPr>
          <w:rFonts w:ascii="Times New Roman" w:eastAsia="黑体"/>
          <w:sz w:val="32"/>
          <w:szCs w:val="32"/>
          <w:highlight w:val="none"/>
        </w:rPr>
      </w:pPr>
      <w:r>
        <w:rPr>
          <w:rFonts w:ascii="Times New Roman" w:eastAsia="黑体"/>
          <w:b w:val="0"/>
          <w:sz w:val="32"/>
          <w:szCs w:val="32"/>
          <w:highlight w:val="none"/>
        </w:rPr>
        <w:t>十、其他需要说明的情况</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1.本单位2024年度政府性基金预算财政拨款收入支出决算表（公开07表）、国有资本经营预算财政拨款支出决算表（公开08表）无相应收支，故空表列示。</w:t>
      </w:r>
    </w:p>
    <w:p>
      <w:pPr>
        <w:widowControl/>
        <w:spacing w:before="0" w:beforeLines="0" w:beforeAutospacing="0" w:after="0" w:afterLines="0" w:afterAutospacing="0" w:line="360" w:lineRule="auto"/>
        <w:ind w:firstLine="640" w:firstLineChars="200"/>
        <w:jc w:val="left"/>
        <w:rPr>
          <w:rFonts w:ascii="Times New Roman" w:eastAsia="仿宋_GB2312"/>
          <w:sz w:val="32"/>
          <w:szCs w:val="32"/>
          <w:highlight w:val="none"/>
        </w:rPr>
      </w:pPr>
      <w:r>
        <w:rPr>
          <w:rFonts w:ascii="Times New Roman" w:eastAsia="仿宋_GB2312"/>
          <w:b w:val="0"/>
          <w:sz w:val="32"/>
          <w:szCs w:val="32"/>
          <w:highlight w:val="none"/>
        </w:rPr>
        <w:t>2. 由于决算公开表格中金额数值应当保留两位小数，公开数据为四舍五入计算结果，个别数据合计项与分项之和存在小数点后差额，特此说明。</w:t>
      </w:r>
    </w:p>
    <w:p>
      <w:pPr>
        <w:rPr>
          <w:rFonts w:hint="default" w:ascii="Times New Roman" w:hAnsi="Times New Roman" w:eastAsia="仿宋_GB2312" w:cs="Times New Roman"/>
          <w:sz w:val="32"/>
          <w:szCs w:val="32"/>
          <w:highlight w:val="none"/>
        </w:rPr>
      </w:pPr>
      <w:r>
        <w:rPr>
          <w:rFonts w:hint="default" w:ascii="Times New Roman" w:hAnsi="Times New Roman" w:eastAsia="仿宋_GB2312" w:cs="Times New Roman"/>
          <w:sz w:val="32"/>
          <w:szCs w:val="32"/>
          <w:highlight w:val="none"/>
        </w:rPr>
        <w:br w:type="page"/>
      </w:r>
    </w:p>
    <w:p>
      <w:pPr>
        <w:widowControl/>
        <w:spacing w:before="0" w:beforeLines="0" w:beforeAutospacing="0" w:after="0" w:afterLines="0" w:afterAutospacing="0" w:line="360" w:lineRule="auto"/>
        <w:jc w:val="center"/>
        <w:outlineLvl w:val="0"/>
        <w:rPr>
          <w:rFonts w:ascii="Times New Roman" w:eastAsia="黑体"/>
          <w:sz w:val="44"/>
          <w:szCs w:val="44"/>
          <w:highlight w:val="none"/>
        </w:rPr>
      </w:pPr>
      <w:r>
        <w:rPr>
          <w:rFonts w:ascii="Times New Roman" w:eastAsia="黑体"/>
          <w:b w:val="0"/>
          <w:sz w:val="44"/>
          <w:szCs w:val="44"/>
          <w:highlight w:val="none"/>
        </w:rPr>
        <w:t>第四部分   名词解释</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一、财政拨款收入：</w:t>
      </w:r>
      <w:r>
        <w:rPr>
          <w:rFonts w:ascii="Times New Roman" w:eastAsia="仿宋_GB2312"/>
          <w:b w:val="0"/>
          <w:sz w:val="32"/>
          <w:szCs w:val="32"/>
          <w:highlight w:val="none"/>
        </w:rPr>
        <w:t>指单位从同级财政部门取得的财政预算资金。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二、事业收入：</w:t>
      </w:r>
      <w:r>
        <w:rPr>
          <w:rFonts w:ascii="Times New Roman" w:eastAsia="仿宋_GB2312"/>
          <w:b w:val="0"/>
          <w:sz w:val="32"/>
          <w:szCs w:val="32"/>
          <w:highlight w:val="none"/>
        </w:rPr>
        <w:t>指事业单位开展专业业务活动及辅助活动取得的收入。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三、经营收入：</w:t>
      </w:r>
      <w:r>
        <w:rPr>
          <w:rFonts w:ascii="Times New Roman" w:eastAsia="仿宋_GB2312"/>
          <w:b w:val="0"/>
          <w:sz w:val="32"/>
          <w:szCs w:val="32"/>
          <w:highlight w:val="none"/>
        </w:rPr>
        <w:t>指事业单位在专业业务活动及其辅助活动之外开展非独立核算经营活动取得的收入。</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四、其他收入：</w:t>
      </w:r>
      <w:r>
        <w:rPr>
          <w:rFonts w:ascii="Times New Roman" w:eastAsia="仿宋_GB2312"/>
          <w:b w:val="0"/>
          <w:sz w:val="32"/>
          <w:szCs w:val="32"/>
          <w:highlight w:val="none"/>
        </w:rPr>
        <w:t>指单位取得的除上述收入以外的各项收入。主要是事业单位固定资产出租收入、存款利息收入等。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五、使用非财政拨款结余（含专用结余）：</w:t>
      </w:r>
      <w:r>
        <w:rPr>
          <w:rFonts w:ascii="Times New Roman" w:eastAsia="仿宋_GB2312"/>
          <w:b w:val="0"/>
          <w:sz w:val="32"/>
          <w:szCs w:val="32"/>
          <w:highlight w:val="none"/>
        </w:rPr>
        <w:t>指事业单位按照预算管理要求使用非财政拨款结余弥补收支差额的金额，以及使用专用结余安排支出的金额。</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六、年初结转和结余：</w:t>
      </w:r>
      <w:r>
        <w:rPr>
          <w:rFonts w:ascii="Times New Roman" w:eastAsia="仿宋_GB2312"/>
          <w:b w:val="0"/>
          <w:sz w:val="32"/>
          <w:szCs w:val="32"/>
          <w:highlight w:val="none"/>
        </w:rPr>
        <w:t>指单位以前年度尚未完成、结转到本年仍按原规定用途继续使用的资金，或项目已完成等产生的结余资金。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七、结余分配：</w:t>
      </w:r>
      <w:r>
        <w:rPr>
          <w:rFonts w:ascii="Times New Roman" w:eastAsia="仿宋_GB2312"/>
          <w:b w:val="0"/>
          <w:sz w:val="32"/>
          <w:szCs w:val="32"/>
          <w:highlight w:val="none"/>
        </w:rPr>
        <w:t>指事业单位按照会计制度规定缴纳的所得税、提取的专用结余以及转入非财政拨款结余的金额等。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八、年末结转和结余：</w:t>
      </w:r>
      <w:r>
        <w:rPr>
          <w:rFonts w:ascii="Times New Roman" w:eastAsia="仿宋_GB2312"/>
          <w:b w:val="0"/>
          <w:sz w:val="32"/>
          <w:szCs w:val="32"/>
          <w:highlight w:val="none"/>
        </w:rPr>
        <w:t>指单位按有关规定结转到下年或以后年度继续使用的资金，或项目已完成等产生的结余资金。</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九、基本支出：</w:t>
      </w:r>
      <w:r>
        <w:rPr>
          <w:rFonts w:ascii="Times New Roman" w:eastAsia="仿宋_GB2312"/>
          <w:b w:val="0"/>
          <w:sz w:val="32"/>
          <w:szCs w:val="32"/>
          <w:highlight w:val="none"/>
        </w:rPr>
        <w:t>指为保障机构正常运转、完成日常工作任务而发生的人员支出和公用支出。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十、项目支出：</w:t>
      </w:r>
      <w:r>
        <w:rPr>
          <w:rFonts w:ascii="Times New Roman" w:eastAsia="仿宋_GB2312"/>
          <w:b w:val="0"/>
          <w:sz w:val="32"/>
          <w:szCs w:val="32"/>
          <w:highlight w:val="none"/>
        </w:rPr>
        <w:t>指在基本支出之外为完成特定行政任务和事业发展目标所发生的支出。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十一、经营支出 ：</w:t>
      </w:r>
      <w:r>
        <w:rPr>
          <w:rFonts w:ascii="Times New Roman" w:eastAsia="仿宋_GB2312"/>
          <w:b w:val="0"/>
          <w:sz w:val="32"/>
          <w:szCs w:val="32"/>
          <w:highlight w:val="none"/>
        </w:rPr>
        <w:t>指事业单位在专业业务活动及其辅助活动之外开展非独立核算经营活动发生的支出。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十二、基本建设支出：</w:t>
      </w:r>
      <w:r>
        <w:rPr>
          <w:rFonts w:ascii="Times New Roman" w:eastAsia="仿宋_GB2312"/>
          <w:b w:val="0"/>
          <w:sz w:val="32"/>
          <w:szCs w:val="32"/>
          <w:highlight w:val="none"/>
        </w:rPr>
        <w:t>填列由本级发展与改革部门集中安排的用于购置固定资产、战略性和应急性储备、土地和无形资产，以及购建基础设施、大型修缮所发生的一般公共预算财政拨款支出，不包括政府性基金、财政专户管理资金以及各类拼盘自筹资金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十三、其他资本性支出：</w:t>
      </w:r>
      <w:r>
        <w:rPr>
          <w:rFonts w:ascii="Times New Roman" w:eastAsia="仿宋_GB2312"/>
          <w:b w:val="0"/>
          <w:sz w:val="32"/>
          <w:szCs w:val="32"/>
          <w:highlight w:val="none"/>
        </w:rPr>
        <w:t>填列由各级非发展与改革部门集中安排的用于购置固定资产、战备性和应急性储备、土地和无形资产，以及购建基础设施、大型修缮和财政支持企业更新改造所发生的支出。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十四、“三公”经费：</w:t>
      </w:r>
      <w:r>
        <w:rPr>
          <w:rFonts w:ascii="Times New Roman" w:eastAsia="仿宋_GB2312"/>
          <w:b w:val="0"/>
          <w:sz w:val="32"/>
          <w:szCs w:val="32"/>
          <w:highlight w:val="none"/>
        </w:rPr>
        <w:t>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励费用等支出；公务接待费反映单位按规定开支的各类公务接待（含外宾接待）支出。</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十五、其他交通费用：</w:t>
      </w:r>
      <w:r>
        <w:rPr>
          <w:rFonts w:ascii="Times New Roman" w:eastAsia="仿宋_GB2312"/>
          <w:b w:val="0"/>
          <w:sz w:val="32"/>
          <w:szCs w:val="32"/>
          <w:highlight w:val="none"/>
        </w:rPr>
        <w:t>填列单位除公务用车运行维护费以外的其他交通费用。如公务交通补贴、租车费用、出租车费用，飞机、船舶等燃料费、维修费、保险费等。</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十六、公务用车购置：</w:t>
      </w:r>
      <w:r>
        <w:rPr>
          <w:rFonts w:ascii="Times New Roman" w:eastAsia="仿宋_GB2312"/>
          <w:b w:val="0"/>
          <w:sz w:val="32"/>
          <w:szCs w:val="32"/>
          <w:highlight w:val="none"/>
        </w:rPr>
        <w:t>填列单位公务用车车辆购置支出（含车辆购置税、牌照费）。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十七、其他交通工具购置：</w:t>
      </w:r>
      <w:r>
        <w:rPr>
          <w:rFonts w:ascii="Times New Roman" w:eastAsia="仿宋_GB2312"/>
          <w:b w:val="0"/>
          <w:sz w:val="32"/>
          <w:szCs w:val="32"/>
          <w:highlight w:val="none"/>
        </w:rPr>
        <w:t>填列单位除公务用车外的其他各类交通工具（如船舶、飞机等）购置支出（含车辆购置税、牌照费）。</w:t>
      </w:r>
    </w:p>
    <w:p>
      <w:pPr>
        <w:widowControl/>
        <w:spacing w:before="0" w:beforeLines="0" w:beforeAutospacing="0" w:after="0" w:afterLines="0" w:afterAutospacing="0" w:line="360" w:lineRule="auto"/>
        <w:ind w:firstLine="643" w:firstLineChars="200"/>
        <w:jc w:val="left"/>
        <w:rPr>
          <w:rFonts w:ascii="Times New Roman" w:eastAsia="仿宋_GB2312"/>
          <w:sz w:val="32"/>
          <w:szCs w:val="32"/>
          <w:highlight w:val="none"/>
        </w:rPr>
      </w:pPr>
      <w:r>
        <w:rPr>
          <w:rFonts w:ascii="Times New Roman" w:eastAsia="仿宋_GB2312"/>
          <w:b/>
          <w:sz w:val="32"/>
          <w:szCs w:val="32"/>
          <w:highlight w:val="none"/>
        </w:rPr>
        <w:t>十八、机关运行经费：</w:t>
      </w:r>
      <w:r>
        <w:rPr>
          <w:rFonts w:ascii="Times New Roman" w:eastAsia="仿宋_GB2312"/>
          <w:b w:val="0"/>
          <w:sz w:val="32"/>
          <w:szCs w:val="32"/>
          <w:highlight w:val="none"/>
        </w:rPr>
        <w:t>指为保障行政单位（包括参照公务员法管理的事业单位）运行用于购买货物和服务的各项资金，包括办公及印刷费、邮电费、差旅费、会议费、福利费、日常维修费、专用材料以及一般设备购置费、办公用房水电费、办公用房取暖费、办公用房物业管理费、公务用车运行维护费以及其他费用。</w:t>
      </w:r>
    </w:p>
    <w:sectPr>
      <w:pgSz w:w="11906" w:h="16838"/>
      <w:pgMar w:top="2098" w:right="1417" w:bottom="1871" w:left="1417" w:header="851" w:footer="992" w:gutter="0"/>
      <w:pgBorders>
        <w:top w:val="none" w:sz="0" w:space="0"/>
        <w:left w:val="none" w:sz="0" w:space="0"/>
        <w:bottom w:val="none" w:sz="0" w:space="0"/>
        <w:right w:val="none" w:sz="0" w:space="0"/>
      </w:pgBorders>
      <w:cols w:space="0" w:num="1"/>
      <w:rtlGutter w:val="0"/>
      <w:docGrid w:type="lines" w:linePitch="32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BA845568-FED8-4CD4-8496-67C204540468}"/>
  </w:font>
  <w:font w:name="黑体">
    <w:panose1 w:val="02010609060101010101"/>
    <w:charset w:val="86"/>
    <w:family w:val="auto"/>
    <w:pitch w:val="default"/>
    <w:sig w:usb0="800002BF" w:usb1="38CF7CFA" w:usb2="00000016" w:usb3="00000000" w:csb0="00040001" w:csb1="00000000"/>
    <w:embedRegular r:id="rId2" w:fontKey="{6324CE64-DA73-4565-B3FE-829274CB9E1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01CFDABD-7370-43FA-AF47-0F4E6D35AB63}"/>
  </w:font>
  <w:font w:name="仿宋">
    <w:panose1 w:val="02010609060101010101"/>
    <w:charset w:val="86"/>
    <w:family w:val="modern"/>
    <w:pitch w:val="default"/>
    <w:sig w:usb0="800002BF" w:usb1="38CF7CFA" w:usb2="00000016" w:usb3="00000000" w:csb0="00040001" w:csb1="00000000"/>
    <w:embedRegular r:id="rId4" w:fontKey="{32265784-73CF-4EB3-B14E-660962B26AC6}"/>
  </w:font>
  <w:font w:name="Calibri Light">
    <w:panose1 w:val="020F0302020204030204"/>
    <w:charset w:val="00"/>
    <w:family w:val="auto"/>
    <w:pitch w:val="default"/>
    <w:sig w:usb0="E4002EFF" w:usb1="C2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方正仿宋_GBK">
    <w:altName w:val="微软雅黑"/>
    <w:panose1 w:val="02000000000000000000"/>
    <w:charset w:val="86"/>
    <w:family w:val="auto"/>
    <w:pitch w:val="default"/>
    <w:sig w:usb0="00000000" w:usb1="00000000" w:usb2="00000000" w:usb3="00000000" w:csb0="00040000" w:csb1="00000000"/>
  </w:font>
  <w:font w:name="楷体_GB2312">
    <w:altName w:val="楷体"/>
    <w:panose1 w:val="02010609030101010101"/>
    <w:charset w:val="86"/>
    <w:family w:val="auto"/>
    <w:pitch w:val="default"/>
    <w:sig w:usb0="00000000" w:usb1="00000000" w:usb2="00000000" w:usb3="00000000" w:csb0="00040000" w:csb1="00000000"/>
    <w:embedRegular r:id="rId5" w:fontKey="{567170B3-38D2-453C-833C-F94BB3F773E2}"/>
  </w:font>
  <w:font w:name="方正小标宋_GBK">
    <w:altName w:val="微软雅黑"/>
    <w:panose1 w:val="02000000000000000000"/>
    <w:charset w:val="86"/>
    <w:family w:val="script"/>
    <w:pitch w:val="default"/>
    <w:sig w:usb0="00000000" w:usb1="00000000" w:usb2="00000000" w:usb3="00000000" w:csb0="00040000" w:csb1="00000000"/>
    <w:embedRegular r:id="rId6" w:fontKey="{B6B73488-AF06-4A7F-A54A-CCC5E3BB3C46}"/>
  </w:font>
  <w:font w:name="仿宋_GB2312">
    <w:panose1 w:val="02010609030101010101"/>
    <w:charset w:val="86"/>
    <w:family w:val="auto"/>
    <w:pitch w:val="default"/>
    <w:sig w:usb0="00000001" w:usb1="080E0000" w:usb2="00000000" w:usb3="00000000" w:csb0="00040000" w:csb1="00000000"/>
    <w:embedRegular r:id="rId7" w:fontKey="{8A8E3910-6D90-4DEB-80B0-3C7061DA1047}"/>
  </w:font>
  <w:font w:name="ArialUnicodeMS">
    <w:altName w:val="Malgun Gothic"/>
    <w:panose1 w:val="00000000000000000000"/>
    <w:charset w:val="81"/>
    <w:family w:val="auto"/>
    <w:pitch w:val="default"/>
    <w:sig w:usb0="00000000" w:usb1="00000000" w:usb2="00000010" w:usb3="00000000" w:csb0="00080001" w:csb1="00000000"/>
    <w:embedRegular r:id="rId8" w:fontKey="{E92E877B-1193-44CA-98A5-0FEFDCC60B12}"/>
  </w:font>
  <w:font w:name="方正仿宋_GB2312">
    <w:altName w:val="仿宋"/>
    <w:panose1 w:val="02000000000000000000"/>
    <w:charset w:val="86"/>
    <w:family w:val="auto"/>
    <w:pitch w:val="default"/>
    <w:sig w:usb0="00000000" w:usb1="00000000" w:usb2="00000012" w:usb3="00000000" w:csb0="00040001" w:csb1="00000000"/>
    <w:embedRegular r:id="rId9" w:fontKey="{63FCE8FE-F623-434E-81A3-904E29F23959}"/>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Malgun Gothic">
    <w:panose1 w:val="020B0503020000020004"/>
    <w:charset w:val="81"/>
    <w:family w:val="auto"/>
    <w:pitch w:val="default"/>
    <w:sig w:usb0="9000002F" w:usb1="29D77CFB" w:usb2="00000012"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center"/>
    </w:pPr>
  </w:p>
  <w:p>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fldChar w:fldCharType="begin"/>
    </w:r>
    <w:r>
      <w:instrText xml:space="preserve">PAGE</w:instrText>
    </w:r>
    <w:r>
      <w:fldChar w:fldCharType="separate"/>
    </w:r>
    <w: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E4FC601"/>
    <w:multiLevelType w:val="singleLevel"/>
    <w:tmpl w:val="FE4FC601"/>
    <w:lvl w:ilvl="0" w:tentative="0">
      <w:start w:val="1"/>
      <w:numFmt w:val="chineseCounting"/>
      <w:suff w:val="nothing"/>
      <w:lvlText w:val="%1、"/>
      <w:lvlJc w:val="left"/>
      <w:rPr>
        <w:rFonts w:hint="eastAsia"/>
        <w:b/>
        <w:bCs/>
      </w:rPr>
    </w:lvl>
  </w:abstractNum>
  <w:abstractNum w:abstractNumId="1">
    <w:nsid w:val="5F16A424"/>
    <w:multiLevelType w:val="multilevel"/>
    <w:tmpl w:val="5F16A424"/>
    <w:lvl w:ilvl="0" w:tentative="0">
      <w:start w:val="1"/>
      <w:numFmt w:val="decimal"/>
      <w:pStyle w:val="2"/>
      <w:lvlText w:val="%1."/>
      <w:lvlJc w:val="left"/>
      <w:pPr>
        <w:ind w:left="425" w:hanging="425"/>
      </w:pPr>
      <w:rPr>
        <w:rFonts w:hint="default"/>
      </w:rPr>
    </w:lvl>
    <w:lvl w:ilvl="1" w:tentative="0">
      <w:start w:val="1"/>
      <w:numFmt w:val="decimal"/>
      <w:pStyle w:val="3"/>
      <w:lvlText w:val="%1.%2."/>
      <w:lvlJc w:val="left"/>
      <w:pPr>
        <w:ind w:left="567" w:hanging="567"/>
      </w:pPr>
      <w:rPr>
        <w:rFonts w:hint="default"/>
      </w:rPr>
    </w:lvl>
    <w:lvl w:ilvl="2" w:tentative="0">
      <w:start w:val="1"/>
      <w:numFmt w:val="decimal"/>
      <w:pStyle w:val="4"/>
      <w:lvlText w:val="%1.%2.%3."/>
      <w:lvlJc w:val="left"/>
      <w:pPr>
        <w:ind w:left="709" w:hanging="709"/>
      </w:pPr>
      <w:rPr>
        <w:rFonts w:hint="default"/>
      </w:rPr>
    </w:lvl>
    <w:lvl w:ilvl="3" w:tentative="0">
      <w:start w:val="1"/>
      <w:numFmt w:val="decimal"/>
      <w:pStyle w:val="5"/>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embedTrueTypeFonts/>
  <w:saveSubsetFonts/>
  <w:bordersDoNotSurroundHeader w:val="0"/>
  <w:bordersDoNotSurroundFooter w:val="0"/>
  <w:documentProtection w:enforcement="0"/>
  <w:defaultTabStop w:val="420"/>
  <w:drawingGridVerticalSpacing w:val="165"/>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jb3VudCI6NjksImhkaWQiOiJiMzk2N2EzZjUyYWViODRjZjJhMDZjM2YyYjk4MTExMiIsInVzZXJDb3VudCI6MX0="/>
  </w:docVars>
  <w:rsids>
    <w:rsidRoot w:val="00000000"/>
    <w:rsid w:val="00086151"/>
    <w:rsid w:val="00236F8C"/>
    <w:rsid w:val="00822154"/>
    <w:rsid w:val="00C65689"/>
    <w:rsid w:val="00CC2C8E"/>
    <w:rsid w:val="01A03C5A"/>
    <w:rsid w:val="01A5267D"/>
    <w:rsid w:val="01AF6A8D"/>
    <w:rsid w:val="024808A2"/>
    <w:rsid w:val="025C3821"/>
    <w:rsid w:val="02DA3B1B"/>
    <w:rsid w:val="02E57B4D"/>
    <w:rsid w:val="03450B90"/>
    <w:rsid w:val="037B12D4"/>
    <w:rsid w:val="03804D63"/>
    <w:rsid w:val="03FB73B0"/>
    <w:rsid w:val="04806B11"/>
    <w:rsid w:val="049C1B9D"/>
    <w:rsid w:val="04BD008C"/>
    <w:rsid w:val="04C55939"/>
    <w:rsid w:val="04DA28BB"/>
    <w:rsid w:val="04F528BE"/>
    <w:rsid w:val="050E10CE"/>
    <w:rsid w:val="054F2DFB"/>
    <w:rsid w:val="05991C82"/>
    <w:rsid w:val="05CD1EC8"/>
    <w:rsid w:val="061416A9"/>
    <w:rsid w:val="061D60A6"/>
    <w:rsid w:val="06236884"/>
    <w:rsid w:val="06B07006"/>
    <w:rsid w:val="06FC7C2A"/>
    <w:rsid w:val="07533AFE"/>
    <w:rsid w:val="07AC18F2"/>
    <w:rsid w:val="07B3657A"/>
    <w:rsid w:val="07C857D0"/>
    <w:rsid w:val="083F3A0A"/>
    <w:rsid w:val="08AB5AAF"/>
    <w:rsid w:val="09012C64"/>
    <w:rsid w:val="093B2E99"/>
    <w:rsid w:val="095D7943"/>
    <w:rsid w:val="09C006C6"/>
    <w:rsid w:val="0A10621F"/>
    <w:rsid w:val="0A464C4F"/>
    <w:rsid w:val="0A6729A3"/>
    <w:rsid w:val="0A694877"/>
    <w:rsid w:val="0AA954BE"/>
    <w:rsid w:val="0AE70639"/>
    <w:rsid w:val="0B4F5E6D"/>
    <w:rsid w:val="0B753AE2"/>
    <w:rsid w:val="0BB67D0A"/>
    <w:rsid w:val="0BC56230"/>
    <w:rsid w:val="0BCF21BD"/>
    <w:rsid w:val="0C4E53E8"/>
    <w:rsid w:val="0C6712D6"/>
    <w:rsid w:val="0C9F7900"/>
    <w:rsid w:val="0CB23317"/>
    <w:rsid w:val="0D101068"/>
    <w:rsid w:val="0D4E13BE"/>
    <w:rsid w:val="0D7557DF"/>
    <w:rsid w:val="0D853E34"/>
    <w:rsid w:val="0D9C2A57"/>
    <w:rsid w:val="0DC3019B"/>
    <w:rsid w:val="0DFA5D82"/>
    <w:rsid w:val="0E1E52CE"/>
    <w:rsid w:val="0E866524"/>
    <w:rsid w:val="0E9268D3"/>
    <w:rsid w:val="0E957F1F"/>
    <w:rsid w:val="0F0E7284"/>
    <w:rsid w:val="0F28110F"/>
    <w:rsid w:val="0F37083F"/>
    <w:rsid w:val="0F7470AF"/>
    <w:rsid w:val="0F891DB8"/>
    <w:rsid w:val="0F8D3287"/>
    <w:rsid w:val="0FAA3B86"/>
    <w:rsid w:val="10191346"/>
    <w:rsid w:val="102A01A6"/>
    <w:rsid w:val="105A290D"/>
    <w:rsid w:val="10754A6C"/>
    <w:rsid w:val="108B537D"/>
    <w:rsid w:val="10B11DB1"/>
    <w:rsid w:val="11177F57"/>
    <w:rsid w:val="11217C97"/>
    <w:rsid w:val="11464C20"/>
    <w:rsid w:val="115E4926"/>
    <w:rsid w:val="118A1FFA"/>
    <w:rsid w:val="11E35B5A"/>
    <w:rsid w:val="11E42DD6"/>
    <w:rsid w:val="125F5A1B"/>
    <w:rsid w:val="126979D6"/>
    <w:rsid w:val="129E45A7"/>
    <w:rsid w:val="13074404"/>
    <w:rsid w:val="136A5C00"/>
    <w:rsid w:val="13B97B08"/>
    <w:rsid w:val="13C527AC"/>
    <w:rsid w:val="14711797"/>
    <w:rsid w:val="147B6F17"/>
    <w:rsid w:val="14D42061"/>
    <w:rsid w:val="15081C8B"/>
    <w:rsid w:val="15090D5C"/>
    <w:rsid w:val="15CF053D"/>
    <w:rsid w:val="15E0131A"/>
    <w:rsid w:val="15E11DC0"/>
    <w:rsid w:val="16457D9F"/>
    <w:rsid w:val="17223EFF"/>
    <w:rsid w:val="17AA5F28"/>
    <w:rsid w:val="17B713F6"/>
    <w:rsid w:val="184350A0"/>
    <w:rsid w:val="18935485"/>
    <w:rsid w:val="18A34206"/>
    <w:rsid w:val="18DE3B2C"/>
    <w:rsid w:val="1906685D"/>
    <w:rsid w:val="19111683"/>
    <w:rsid w:val="19353916"/>
    <w:rsid w:val="193E101D"/>
    <w:rsid w:val="19C10AF1"/>
    <w:rsid w:val="1A017CDA"/>
    <w:rsid w:val="1A2672DE"/>
    <w:rsid w:val="1AA81D42"/>
    <w:rsid w:val="1AB433D9"/>
    <w:rsid w:val="1AFB6D70"/>
    <w:rsid w:val="1B1B11EE"/>
    <w:rsid w:val="1B3719E0"/>
    <w:rsid w:val="1B6261C3"/>
    <w:rsid w:val="1B731730"/>
    <w:rsid w:val="1B882BB5"/>
    <w:rsid w:val="1B9B33C7"/>
    <w:rsid w:val="1B9D7FEC"/>
    <w:rsid w:val="1BA55461"/>
    <w:rsid w:val="1BE74496"/>
    <w:rsid w:val="1C3D67D1"/>
    <w:rsid w:val="1C40731A"/>
    <w:rsid w:val="1C506572"/>
    <w:rsid w:val="1C560392"/>
    <w:rsid w:val="1C581532"/>
    <w:rsid w:val="1C9F2E05"/>
    <w:rsid w:val="1CA15E03"/>
    <w:rsid w:val="1CA24F0C"/>
    <w:rsid w:val="1CF8716C"/>
    <w:rsid w:val="1D1638FE"/>
    <w:rsid w:val="1D1E545A"/>
    <w:rsid w:val="1D4B1F5B"/>
    <w:rsid w:val="1D6C5CA0"/>
    <w:rsid w:val="1D725586"/>
    <w:rsid w:val="1D745B4F"/>
    <w:rsid w:val="1D867987"/>
    <w:rsid w:val="1D944010"/>
    <w:rsid w:val="1DD70E85"/>
    <w:rsid w:val="1DE74AD7"/>
    <w:rsid w:val="1DF60A19"/>
    <w:rsid w:val="1DFA6713"/>
    <w:rsid w:val="1E050843"/>
    <w:rsid w:val="1E2D3FB0"/>
    <w:rsid w:val="1E2E50F1"/>
    <w:rsid w:val="1E3B4E26"/>
    <w:rsid w:val="1EDF707D"/>
    <w:rsid w:val="1F394761"/>
    <w:rsid w:val="1F65664C"/>
    <w:rsid w:val="1F7C149A"/>
    <w:rsid w:val="1F84140D"/>
    <w:rsid w:val="1F9B7FFD"/>
    <w:rsid w:val="1F9C7614"/>
    <w:rsid w:val="1FBE1971"/>
    <w:rsid w:val="2008768D"/>
    <w:rsid w:val="204B327F"/>
    <w:rsid w:val="204C2B10"/>
    <w:rsid w:val="207D30AD"/>
    <w:rsid w:val="209064B9"/>
    <w:rsid w:val="20970D81"/>
    <w:rsid w:val="20D165D5"/>
    <w:rsid w:val="210878E6"/>
    <w:rsid w:val="210E1408"/>
    <w:rsid w:val="211069AD"/>
    <w:rsid w:val="21573FAB"/>
    <w:rsid w:val="2172069C"/>
    <w:rsid w:val="21987BC4"/>
    <w:rsid w:val="21BE314A"/>
    <w:rsid w:val="220451AB"/>
    <w:rsid w:val="2237486E"/>
    <w:rsid w:val="223D1378"/>
    <w:rsid w:val="22451BC7"/>
    <w:rsid w:val="22940650"/>
    <w:rsid w:val="22AD4B1E"/>
    <w:rsid w:val="22C43743"/>
    <w:rsid w:val="22D31DF3"/>
    <w:rsid w:val="22FD3CF7"/>
    <w:rsid w:val="232C221B"/>
    <w:rsid w:val="2356249E"/>
    <w:rsid w:val="236E713A"/>
    <w:rsid w:val="23700968"/>
    <w:rsid w:val="238761A6"/>
    <w:rsid w:val="23920578"/>
    <w:rsid w:val="23BB6F9A"/>
    <w:rsid w:val="23FC3864"/>
    <w:rsid w:val="24857B00"/>
    <w:rsid w:val="24F25212"/>
    <w:rsid w:val="251B0465"/>
    <w:rsid w:val="254B0AC6"/>
    <w:rsid w:val="25571AB6"/>
    <w:rsid w:val="25B40AD6"/>
    <w:rsid w:val="25BE7872"/>
    <w:rsid w:val="25BF702A"/>
    <w:rsid w:val="26390459"/>
    <w:rsid w:val="264D2D17"/>
    <w:rsid w:val="26D50E55"/>
    <w:rsid w:val="271A539C"/>
    <w:rsid w:val="273823FA"/>
    <w:rsid w:val="274972D4"/>
    <w:rsid w:val="27AA3D97"/>
    <w:rsid w:val="280A3758"/>
    <w:rsid w:val="28292E99"/>
    <w:rsid w:val="289057C5"/>
    <w:rsid w:val="28A67C7A"/>
    <w:rsid w:val="28EA3248"/>
    <w:rsid w:val="28F879DA"/>
    <w:rsid w:val="294B7731"/>
    <w:rsid w:val="29514455"/>
    <w:rsid w:val="29D21FF2"/>
    <w:rsid w:val="2A611B0F"/>
    <w:rsid w:val="2AC1762B"/>
    <w:rsid w:val="2AE845D0"/>
    <w:rsid w:val="2B4975FB"/>
    <w:rsid w:val="2B695031"/>
    <w:rsid w:val="2B735A8F"/>
    <w:rsid w:val="2BA7478D"/>
    <w:rsid w:val="2BB038DB"/>
    <w:rsid w:val="2BB761E0"/>
    <w:rsid w:val="2BB812F9"/>
    <w:rsid w:val="2BE35C27"/>
    <w:rsid w:val="2BFA504B"/>
    <w:rsid w:val="2C681F1F"/>
    <w:rsid w:val="2C8608DC"/>
    <w:rsid w:val="2CA4764A"/>
    <w:rsid w:val="2CC42ECA"/>
    <w:rsid w:val="2CDA4349"/>
    <w:rsid w:val="2D225539"/>
    <w:rsid w:val="2D4618D2"/>
    <w:rsid w:val="2D5F021B"/>
    <w:rsid w:val="2D6E1286"/>
    <w:rsid w:val="2D70583E"/>
    <w:rsid w:val="2E0725DC"/>
    <w:rsid w:val="2E1B4BB8"/>
    <w:rsid w:val="2E256CB6"/>
    <w:rsid w:val="2E5F27E4"/>
    <w:rsid w:val="2EBD223E"/>
    <w:rsid w:val="2EC10AD1"/>
    <w:rsid w:val="2ECB6A5A"/>
    <w:rsid w:val="2EE65418"/>
    <w:rsid w:val="2EFC0112"/>
    <w:rsid w:val="2F0F6197"/>
    <w:rsid w:val="2F2B730D"/>
    <w:rsid w:val="2F9F3DC1"/>
    <w:rsid w:val="2FFC7AC2"/>
    <w:rsid w:val="301430AF"/>
    <w:rsid w:val="30630612"/>
    <w:rsid w:val="308E59B0"/>
    <w:rsid w:val="30B10568"/>
    <w:rsid w:val="30E55DD3"/>
    <w:rsid w:val="30E60399"/>
    <w:rsid w:val="31356AA5"/>
    <w:rsid w:val="313E22F0"/>
    <w:rsid w:val="31B0194C"/>
    <w:rsid w:val="31CE17D1"/>
    <w:rsid w:val="32270449"/>
    <w:rsid w:val="323E4515"/>
    <w:rsid w:val="3286389B"/>
    <w:rsid w:val="32994FDB"/>
    <w:rsid w:val="32CF5C94"/>
    <w:rsid w:val="32D337C7"/>
    <w:rsid w:val="32E200EC"/>
    <w:rsid w:val="32E5408B"/>
    <w:rsid w:val="32EB0D70"/>
    <w:rsid w:val="332824BC"/>
    <w:rsid w:val="332868BB"/>
    <w:rsid w:val="333211F3"/>
    <w:rsid w:val="33504B41"/>
    <w:rsid w:val="338B4A07"/>
    <w:rsid w:val="33944811"/>
    <w:rsid w:val="33CE0488"/>
    <w:rsid w:val="341D31EE"/>
    <w:rsid w:val="34262463"/>
    <w:rsid w:val="34296F31"/>
    <w:rsid w:val="34340A27"/>
    <w:rsid w:val="346A2989"/>
    <w:rsid w:val="348865E9"/>
    <w:rsid w:val="348F70D5"/>
    <w:rsid w:val="349D2BAD"/>
    <w:rsid w:val="34B25886"/>
    <w:rsid w:val="35277FF8"/>
    <w:rsid w:val="35763460"/>
    <w:rsid w:val="35776F72"/>
    <w:rsid w:val="35997371"/>
    <w:rsid w:val="35DD4D47"/>
    <w:rsid w:val="360134DF"/>
    <w:rsid w:val="360B1E2F"/>
    <w:rsid w:val="360D500F"/>
    <w:rsid w:val="36330424"/>
    <w:rsid w:val="36FE3ABA"/>
    <w:rsid w:val="37072BDE"/>
    <w:rsid w:val="37455334"/>
    <w:rsid w:val="37527C32"/>
    <w:rsid w:val="37731921"/>
    <w:rsid w:val="37E509C0"/>
    <w:rsid w:val="37E96FB8"/>
    <w:rsid w:val="38222D85"/>
    <w:rsid w:val="38803721"/>
    <w:rsid w:val="38925A62"/>
    <w:rsid w:val="389F5F4F"/>
    <w:rsid w:val="38C36BA2"/>
    <w:rsid w:val="38E11CEF"/>
    <w:rsid w:val="38F6595C"/>
    <w:rsid w:val="391702A7"/>
    <w:rsid w:val="39286EB6"/>
    <w:rsid w:val="39601DF4"/>
    <w:rsid w:val="396960F3"/>
    <w:rsid w:val="39840D35"/>
    <w:rsid w:val="39A97DAF"/>
    <w:rsid w:val="39CD1330"/>
    <w:rsid w:val="39DD1AFF"/>
    <w:rsid w:val="3A2510B9"/>
    <w:rsid w:val="3A2B1DFC"/>
    <w:rsid w:val="3AA6422C"/>
    <w:rsid w:val="3AAF46D5"/>
    <w:rsid w:val="3AF562AE"/>
    <w:rsid w:val="3B135A0E"/>
    <w:rsid w:val="3B272BBC"/>
    <w:rsid w:val="3B374FEE"/>
    <w:rsid w:val="3B4410EE"/>
    <w:rsid w:val="3B56159C"/>
    <w:rsid w:val="3B596DF7"/>
    <w:rsid w:val="3B7D732B"/>
    <w:rsid w:val="3BD30423"/>
    <w:rsid w:val="3C6C0B58"/>
    <w:rsid w:val="3CBE41D5"/>
    <w:rsid w:val="3D446B0E"/>
    <w:rsid w:val="3D745844"/>
    <w:rsid w:val="3D8626D0"/>
    <w:rsid w:val="3D953A6B"/>
    <w:rsid w:val="3DBB5979"/>
    <w:rsid w:val="3DD56F21"/>
    <w:rsid w:val="3DEF6699"/>
    <w:rsid w:val="3E1057AF"/>
    <w:rsid w:val="3E36E85B"/>
    <w:rsid w:val="3E686BFD"/>
    <w:rsid w:val="3E6C0DFA"/>
    <w:rsid w:val="3E740322"/>
    <w:rsid w:val="3E7F4380"/>
    <w:rsid w:val="3E8D171B"/>
    <w:rsid w:val="3EA5630D"/>
    <w:rsid w:val="3EBA731B"/>
    <w:rsid w:val="3EE33949"/>
    <w:rsid w:val="3EFB5800"/>
    <w:rsid w:val="3F3B4E59"/>
    <w:rsid w:val="3F6E677C"/>
    <w:rsid w:val="3F712F46"/>
    <w:rsid w:val="3FBC0EF7"/>
    <w:rsid w:val="3FCD2AB9"/>
    <w:rsid w:val="3FD17600"/>
    <w:rsid w:val="402E7C36"/>
    <w:rsid w:val="4050218A"/>
    <w:rsid w:val="405C7868"/>
    <w:rsid w:val="408B24EB"/>
    <w:rsid w:val="408D1DBF"/>
    <w:rsid w:val="40C652D1"/>
    <w:rsid w:val="417044B8"/>
    <w:rsid w:val="41A203A0"/>
    <w:rsid w:val="41A25D3E"/>
    <w:rsid w:val="41C77987"/>
    <w:rsid w:val="41E83F8C"/>
    <w:rsid w:val="422D1842"/>
    <w:rsid w:val="425B7C31"/>
    <w:rsid w:val="427D66D0"/>
    <w:rsid w:val="42BC7E02"/>
    <w:rsid w:val="42C82575"/>
    <w:rsid w:val="43022EE1"/>
    <w:rsid w:val="431A5F8F"/>
    <w:rsid w:val="431F247A"/>
    <w:rsid w:val="43335E8F"/>
    <w:rsid w:val="433F2968"/>
    <w:rsid w:val="43655F7F"/>
    <w:rsid w:val="43676E20"/>
    <w:rsid w:val="43A31040"/>
    <w:rsid w:val="43BF774E"/>
    <w:rsid w:val="43CD062F"/>
    <w:rsid w:val="43E214F9"/>
    <w:rsid w:val="43F06264"/>
    <w:rsid w:val="44404C8E"/>
    <w:rsid w:val="447537F1"/>
    <w:rsid w:val="44870D07"/>
    <w:rsid w:val="44D33826"/>
    <w:rsid w:val="45344EFF"/>
    <w:rsid w:val="45513D03"/>
    <w:rsid w:val="45541E1C"/>
    <w:rsid w:val="45FE7734"/>
    <w:rsid w:val="461F0A8B"/>
    <w:rsid w:val="4648721E"/>
    <w:rsid w:val="46663E71"/>
    <w:rsid w:val="466A37AC"/>
    <w:rsid w:val="468A1A00"/>
    <w:rsid w:val="46CB071B"/>
    <w:rsid w:val="46DE140B"/>
    <w:rsid w:val="46E77334"/>
    <w:rsid w:val="46F22E29"/>
    <w:rsid w:val="46F7142F"/>
    <w:rsid w:val="47107AE3"/>
    <w:rsid w:val="473C62ED"/>
    <w:rsid w:val="47617242"/>
    <w:rsid w:val="478C16C9"/>
    <w:rsid w:val="47BD246B"/>
    <w:rsid w:val="47CB2B0C"/>
    <w:rsid w:val="47E773CE"/>
    <w:rsid w:val="47EE2C9A"/>
    <w:rsid w:val="47F00499"/>
    <w:rsid w:val="48015FF5"/>
    <w:rsid w:val="483820D2"/>
    <w:rsid w:val="48692CD0"/>
    <w:rsid w:val="48AE3D01"/>
    <w:rsid w:val="48B96318"/>
    <w:rsid w:val="49067B2F"/>
    <w:rsid w:val="49677E31"/>
    <w:rsid w:val="496C2225"/>
    <w:rsid w:val="49A35E02"/>
    <w:rsid w:val="49AE2880"/>
    <w:rsid w:val="49F42EAF"/>
    <w:rsid w:val="4A337323"/>
    <w:rsid w:val="4A5B28DC"/>
    <w:rsid w:val="4AA06B93"/>
    <w:rsid w:val="4ADB18EB"/>
    <w:rsid w:val="4B3A6FE7"/>
    <w:rsid w:val="4B96118E"/>
    <w:rsid w:val="4BAE1B66"/>
    <w:rsid w:val="4BC806E6"/>
    <w:rsid w:val="4BED4708"/>
    <w:rsid w:val="4BF133DC"/>
    <w:rsid w:val="4C2E4987"/>
    <w:rsid w:val="4C4117A4"/>
    <w:rsid w:val="4C507D4A"/>
    <w:rsid w:val="4CDF5563"/>
    <w:rsid w:val="4CFB2214"/>
    <w:rsid w:val="4D2C4D26"/>
    <w:rsid w:val="4D335E0E"/>
    <w:rsid w:val="4D4E4EA3"/>
    <w:rsid w:val="4D9A5B1B"/>
    <w:rsid w:val="4DA55D85"/>
    <w:rsid w:val="4DBB20DB"/>
    <w:rsid w:val="4DDC3F22"/>
    <w:rsid w:val="4DE66FB2"/>
    <w:rsid w:val="4DEC6CB8"/>
    <w:rsid w:val="4E1040C7"/>
    <w:rsid w:val="4E1760BF"/>
    <w:rsid w:val="4E30647F"/>
    <w:rsid w:val="4EBA03C3"/>
    <w:rsid w:val="4EBC5459"/>
    <w:rsid w:val="4ED94CB0"/>
    <w:rsid w:val="4EEC2ED3"/>
    <w:rsid w:val="4F0E56EA"/>
    <w:rsid w:val="4F2E11BC"/>
    <w:rsid w:val="4F3C4343"/>
    <w:rsid w:val="4F416688"/>
    <w:rsid w:val="4F5620B0"/>
    <w:rsid w:val="4F616EB4"/>
    <w:rsid w:val="4F6654EE"/>
    <w:rsid w:val="4F7379C6"/>
    <w:rsid w:val="4F872BDB"/>
    <w:rsid w:val="4FA033E9"/>
    <w:rsid w:val="4FA743DA"/>
    <w:rsid w:val="4FB3565A"/>
    <w:rsid w:val="4FC4714D"/>
    <w:rsid w:val="503D1C79"/>
    <w:rsid w:val="507A6406"/>
    <w:rsid w:val="50853863"/>
    <w:rsid w:val="508A4590"/>
    <w:rsid w:val="50F1461D"/>
    <w:rsid w:val="50FE5411"/>
    <w:rsid w:val="510B072E"/>
    <w:rsid w:val="511B0BF4"/>
    <w:rsid w:val="51264306"/>
    <w:rsid w:val="514E62C9"/>
    <w:rsid w:val="516123CE"/>
    <w:rsid w:val="51932FAD"/>
    <w:rsid w:val="51B177A9"/>
    <w:rsid w:val="51E066EB"/>
    <w:rsid w:val="52640E8B"/>
    <w:rsid w:val="5267570A"/>
    <w:rsid w:val="52707792"/>
    <w:rsid w:val="52A12CDC"/>
    <w:rsid w:val="52DF0C92"/>
    <w:rsid w:val="52E1159C"/>
    <w:rsid w:val="52E34D6A"/>
    <w:rsid w:val="531E524E"/>
    <w:rsid w:val="534072EB"/>
    <w:rsid w:val="537648BE"/>
    <w:rsid w:val="538E2D0B"/>
    <w:rsid w:val="53922782"/>
    <w:rsid w:val="539C1424"/>
    <w:rsid w:val="53A639C0"/>
    <w:rsid w:val="53F00A24"/>
    <w:rsid w:val="53F63DBA"/>
    <w:rsid w:val="5448624E"/>
    <w:rsid w:val="546E2B1A"/>
    <w:rsid w:val="5482555F"/>
    <w:rsid w:val="54A31DD8"/>
    <w:rsid w:val="54AA6F8B"/>
    <w:rsid w:val="54D26583"/>
    <w:rsid w:val="55363E67"/>
    <w:rsid w:val="556E6DF7"/>
    <w:rsid w:val="55965CE3"/>
    <w:rsid w:val="559D47CE"/>
    <w:rsid w:val="55BE1959"/>
    <w:rsid w:val="56232437"/>
    <w:rsid w:val="56541A75"/>
    <w:rsid w:val="568832FC"/>
    <w:rsid w:val="568C4181"/>
    <w:rsid w:val="570725A9"/>
    <w:rsid w:val="5714693E"/>
    <w:rsid w:val="571D0C9C"/>
    <w:rsid w:val="573A16CE"/>
    <w:rsid w:val="579C7F80"/>
    <w:rsid w:val="57B30D7C"/>
    <w:rsid w:val="58166B03"/>
    <w:rsid w:val="583E3C94"/>
    <w:rsid w:val="58721734"/>
    <w:rsid w:val="58900246"/>
    <w:rsid w:val="58977358"/>
    <w:rsid w:val="58D53944"/>
    <w:rsid w:val="58D65478"/>
    <w:rsid w:val="58F52487"/>
    <w:rsid w:val="590422E6"/>
    <w:rsid w:val="592257E5"/>
    <w:rsid w:val="59655E33"/>
    <w:rsid w:val="59CF5BD9"/>
    <w:rsid w:val="59E20C3C"/>
    <w:rsid w:val="5A1D5B0A"/>
    <w:rsid w:val="5A3B4B4E"/>
    <w:rsid w:val="5A4804CA"/>
    <w:rsid w:val="5A594C85"/>
    <w:rsid w:val="5A8842AA"/>
    <w:rsid w:val="5AEB1E3C"/>
    <w:rsid w:val="5B2507CA"/>
    <w:rsid w:val="5B2A474A"/>
    <w:rsid w:val="5B2D237E"/>
    <w:rsid w:val="5B830730"/>
    <w:rsid w:val="5BBB2DD6"/>
    <w:rsid w:val="5BE263B6"/>
    <w:rsid w:val="5C8E5C5A"/>
    <w:rsid w:val="5C965E61"/>
    <w:rsid w:val="5CB83C33"/>
    <w:rsid w:val="5CF0089C"/>
    <w:rsid w:val="5CF5796F"/>
    <w:rsid w:val="5D242A11"/>
    <w:rsid w:val="5D9217C2"/>
    <w:rsid w:val="5DAD06BF"/>
    <w:rsid w:val="5DC92CE9"/>
    <w:rsid w:val="5DE23CB3"/>
    <w:rsid w:val="5DE97EEC"/>
    <w:rsid w:val="5DFA5EB0"/>
    <w:rsid w:val="5E000E4D"/>
    <w:rsid w:val="5E0B583E"/>
    <w:rsid w:val="5E201A7B"/>
    <w:rsid w:val="5EA45884"/>
    <w:rsid w:val="5EBD0484"/>
    <w:rsid w:val="5F2C5C7C"/>
    <w:rsid w:val="5F36141C"/>
    <w:rsid w:val="5FC5273F"/>
    <w:rsid w:val="604F6C39"/>
    <w:rsid w:val="60806DF2"/>
    <w:rsid w:val="61072DA5"/>
    <w:rsid w:val="611C0817"/>
    <w:rsid w:val="61224A52"/>
    <w:rsid w:val="61520CCB"/>
    <w:rsid w:val="61851A29"/>
    <w:rsid w:val="622D1522"/>
    <w:rsid w:val="622E0574"/>
    <w:rsid w:val="62683B6B"/>
    <w:rsid w:val="6275761C"/>
    <w:rsid w:val="62816E52"/>
    <w:rsid w:val="62AB7BE6"/>
    <w:rsid w:val="62AC5944"/>
    <w:rsid w:val="632F3F8A"/>
    <w:rsid w:val="63716241"/>
    <w:rsid w:val="637279B4"/>
    <w:rsid w:val="63817D2B"/>
    <w:rsid w:val="63BD1FA9"/>
    <w:rsid w:val="63D175D1"/>
    <w:rsid w:val="63D27965"/>
    <w:rsid w:val="63F4667E"/>
    <w:rsid w:val="64095516"/>
    <w:rsid w:val="641A2468"/>
    <w:rsid w:val="64372F20"/>
    <w:rsid w:val="648944D0"/>
    <w:rsid w:val="64DC72D7"/>
    <w:rsid w:val="64FA42B4"/>
    <w:rsid w:val="653619A6"/>
    <w:rsid w:val="65610A02"/>
    <w:rsid w:val="65A11EA3"/>
    <w:rsid w:val="65AC3D66"/>
    <w:rsid w:val="65BB5334"/>
    <w:rsid w:val="663E1DBA"/>
    <w:rsid w:val="665D0213"/>
    <w:rsid w:val="668506C7"/>
    <w:rsid w:val="669E59F1"/>
    <w:rsid w:val="66A2024B"/>
    <w:rsid w:val="66CB5E2D"/>
    <w:rsid w:val="6704732B"/>
    <w:rsid w:val="670F6731"/>
    <w:rsid w:val="67585CB0"/>
    <w:rsid w:val="67770F0C"/>
    <w:rsid w:val="67B03535"/>
    <w:rsid w:val="68174F69"/>
    <w:rsid w:val="682C436A"/>
    <w:rsid w:val="68382778"/>
    <w:rsid w:val="68391F41"/>
    <w:rsid w:val="68436B8C"/>
    <w:rsid w:val="68797358"/>
    <w:rsid w:val="6884624F"/>
    <w:rsid w:val="68A519DF"/>
    <w:rsid w:val="68C4160B"/>
    <w:rsid w:val="68C41C30"/>
    <w:rsid w:val="68CF3BA4"/>
    <w:rsid w:val="69257FA7"/>
    <w:rsid w:val="693F26C7"/>
    <w:rsid w:val="697E12B2"/>
    <w:rsid w:val="69C8706D"/>
    <w:rsid w:val="6A0E3FB4"/>
    <w:rsid w:val="6A292754"/>
    <w:rsid w:val="6A5E3B28"/>
    <w:rsid w:val="6A6B1EBE"/>
    <w:rsid w:val="6A8F43F7"/>
    <w:rsid w:val="6AD625F3"/>
    <w:rsid w:val="6B7218BE"/>
    <w:rsid w:val="6B750BA9"/>
    <w:rsid w:val="6BB93285"/>
    <w:rsid w:val="6C0C698C"/>
    <w:rsid w:val="6C222401"/>
    <w:rsid w:val="6C56267F"/>
    <w:rsid w:val="6C826EF9"/>
    <w:rsid w:val="6CAE4C93"/>
    <w:rsid w:val="6CB14F16"/>
    <w:rsid w:val="6CEC2069"/>
    <w:rsid w:val="6D0B1869"/>
    <w:rsid w:val="6D65402D"/>
    <w:rsid w:val="6D683822"/>
    <w:rsid w:val="6D8D136C"/>
    <w:rsid w:val="6DBF2759"/>
    <w:rsid w:val="6DC96F36"/>
    <w:rsid w:val="6DFA3EBF"/>
    <w:rsid w:val="6E3E63D2"/>
    <w:rsid w:val="6E5F7BE6"/>
    <w:rsid w:val="6E6918C6"/>
    <w:rsid w:val="6EEB4AC4"/>
    <w:rsid w:val="6F212DD6"/>
    <w:rsid w:val="6F3B5912"/>
    <w:rsid w:val="6FA14A81"/>
    <w:rsid w:val="6FA3261F"/>
    <w:rsid w:val="6FB44BAA"/>
    <w:rsid w:val="700D6539"/>
    <w:rsid w:val="704203E3"/>
    <w:rsid w:val="7058046B"/>
    <w:rsid w:val="707F2079"/>
    <w:rsid w:val="70922734"/>
    <w:rsid w:val="70CD16CB"/>
    <w:rsid w:val="70CE6DC7"/>
    <w:rsid w:val="710B3646"/>
    <w:rsid w:val="711759F2"/>
    <w:rsid w:val="713C4ED8"/>
    <w:rsid w:val="71407642"/>
    <w:rsid w:val="71641210"/>
    <w:rsid w:val="71D95B7C"/>
    <w:rsid w:val="71EA6A50"/>
    <w:rsid w:val="71FE31A8"/>
    <w:rsid w:val="720C30AE"/>
    <w:rsid w:val="721A7983"/>
    <w:rsid w:val="721F6113"/>
    <w:rsid w:val="7233782C"/>
    <w:rsid w:val="726A729D"/>
    <w:rsid w:val="73177841"/>
    <w:rsid w:val="733774FE"/>
    <w:rsid w:val="73617E1B"/>
    <w:rsid w:val="736D7653"/>
    <w:rsid w:val="738035CB"/>
    <w:rsid w:val="73852C46"/>
    <w:rsid w:val="7396335C"/>
    <w:rsid w:val="73F46595"/>
    <w:rsid w:val="73F47FAE"/>
    <w:rsid w:val="74283FA2"/>
    <w:rsid w:val="742C135B"/>
    <w:rsid w:val="74463733"/>
    <w:rsid w:val="748A2F40"/>
    <w:rsid w:val="74D84FF7"/>
    <w:rsid w:val="74F85778"/>
    <w:rsid w:val="75272439"/>
    <w:rsid w:val="758F1E9B"/>
    <w:rsid w:val="75CE266B"/>
    <w:rsid w:val="76120141"/>
    <w:rsid w:val="768216BE"/>
    <w:rsid w:val="76C23B43"/>
    <w:rsid w:val="76FD6F97"/>
    <w:rsid w:val="770218E8"/>
    <w:rsid w:val="779469CE"/>
    <w:rsid w:val="77C875A5"/>
    <w:rsid w:val="78A27DF6"/>
    <w:rsid w:val="79285B3A"/>
    <w:rsid w:val="79490B03"/>
    <w:rsid w:val="79625CA9"/>
    <w:rsid w:val="79A91196"/>
    <w:rsid w:val="7A0B32D3"/>
    <w:rsid w:val="7AC13CD3"/>
    <w:rsid w:val="7AE10264"/>
    <w:rsid w:val="7AE4248E"/>
    <w:rsid w:val="7B4A207F"/>
    <w:rsid w:val="7B936F45"/>
    <w:rsid w:val="7BA47419"/>
    <w:rsid w:val="7BB10D45"/>
    <w:rsid w:val="7BB44151"/>
    <w:rsid w:val="7C656A39"/>
    <w:rsid w:val="7CB93996"/>
    <w:rsid w:val="7CBE0F99"/>
    <w:rsid w:val="7D4E45F1"/>
    <w:rsid w:val="7DFB6D82"/>
    <w:rsid w:val="7E1D71D1"/>
    <w:rsid w:val="7E246254"/>
    <w:rsid w:val="7E553215"/>
    <w:rsid w:val="7E6D090F"/>
    <w:rsid w:val="7ECC66B2"/>
    <w:rsid w:val="7F2914C3"/>
    <w:rsid w:val="7F5F2ED6"/>
    <w:rsid w:val="7FA837EF"/>
    <w:rsid w:val="7FC36955"/>
    <w:rsid w:val="7FD3CA46"/>
    <w:rsid w:val="7FE903A0"/>
    <w:rsid w:val="7FF07065"/>
    <w:rsid w:val="7FF97946"/>
    <w:rsid w:val="7FFE7888"/>
    <w:rsid w:val="7FFEF3E7"/>
    <w:rsid w:val="9D9FF3C3"/>
    <w:rsid w:val="AFFF1067"/>
    <w:rsid w:val="BC6F5835"/>
    <w:rsid w:val="CFB7CFD8"/>
    <w:rsid w:val="DBF7CACA"/>
    <w:rsid w:val="DFBFC5A0"/>
    <w:rsid w:val="E7FC6EA0"/>
    <w:rsid w:val="F5DB6F08"/>
    <w:rsid w:val="FBEF8AEE"/>
    <w:rsid w:val="FEFFD8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cs="宋体" w:asciiTheme="minorHAnsi" w:hAnsiTheme="minorHAnsi" w:eastAsiaTheme="minorEastAsia"/>
      <w:color w:val="auto"/>
      <w:kern w:val="0"/>
      <w:sz w:val="24"/>
      <w:szCs w:val="24"/>
      <w:lang w:val="en-US" w:eastAsia="zh-CN" w:bidi="ar-SA"/>
    </w:rPr>
  </w:style>
  <w:style w:type="paragraph" w:styleId="2">
    <w:name w:val="heading 1"/>
    <w:basedOn w:val="1"/>
    <w:next w:val="1"/>
    <w:qFormat/>
    <w:uiPriority w:val="0"/>
    <w:pPr>
      <w:keepNext/>
      <w:keepLines/>
      <w:numPr>
        <w:ilvl w:val="0"/>
        <w:numId w:val="1"/>
      </w:numPr>
      <w:adjustRightInd w:val="0"/>
      <w:snapToGrid w:val="0"/>
      <w:spacing w:before="340" w:after="50" w:afterLines="50" w:line="578" w:lineRule="auto"/>
      <w:ind w:left="425" w:hanging="425"/>
      <w:jc w:val="left"/>
      <w:outlineLvl w:val="0"/>
    </w:pPr>
    <w:rPr>
      <w:rFonts w:ascii="Times New Roman" w:hAnsi="Times New Roman" w:eastAsia="仿宋" w:cs="Times New Roman"/>
      <w:b/>
      <w:bCs/>
      <w:kern w:val="44"/>
      <w:sz w:val="36"/>
      <w:szCs w:val="44"/>
    </w:rPr>
  </w:style>
  <w:style w:type="paragraph" w:styleId="3">
    <w:name w:val="heading 2"/>
    <w:basedOn w:val="1"/>
    <w:next w:val="1"/>
    <w:link w:val="15"/>
    <w:semiHidden/>
    <w:unhideWhenUsed/>
    <w:qFormat/>
    <w:uiPriority w:val="9"/>
    <w:pPr>
      <w:widowControl w:val="0"/>
      <w:numPr>
        <w:ilvl w:val="1"/>
        <w:numId w:val="1"/>
      </w:numPr>
      <w:spacing w:line="416" w:lineRule="auto"/>
      <w:ind w:left="567" w:hanging="567"/>
      <w:outlineLvl w:val="1"/>
    </w:pPr>
    <w:rPr>
      <w:rFonts w:ascii="Calibri Light" w:hAnsi="Calibri Light" w:eastAsia="宋体" w:cs="Times New Roman"/>
      <w:b/>
      <w:bCs/>
      <w:sz w:val="28"/>
      <w:szCs w:val="32"/>
    </w:rPr>
  </w:style>
  <w:style w:type="paragraph" w:styleId="4">
    <w:name w:val="heading 3"/>
    <w:basedOn w:val="1"/>
    <w:next w:val="1"/>
    <w:semiHidden/>
    <w:unhideWhenUsed/>
    <w:qFormat/>
    <w:uiPriority w:val="9"/>
    <w:pPr>
      <w:keepNext/>
      <w:keepLines/>
      <w:numPr>
        <w:ilvl w:val="2"/>
        <w:numId w:val="1"/>
      </w:numPr>
      <w:spacing w:before="50" w:beforeLines="50" w:after="50" w:afterLines="50" w:line="416" w:lineRule="auto"/>
      <w:outlineLvl w:val="2"/>
    </w:pPr>
    <w:rPr>
      <w:rFonts w:ascii="宋体" w:hAnsi="宋体" w:eastAsia="宋体" w:cs="宋体"/>
      <w:b/>
      <w:bCs/>
      <w:sz w:val="32"/>
    </w:rPr>
  </w:style>
  <w:style w:type="paragraph" w:styleId="5">
    <w:name w:val="heading 4"/>
    <w:basedOn w:val="1"/>
    <w:next w:val="1"/>
    <w:semiHidden/>
    <w:unhideWhenUsed/>
    <w:qFormat/>
    <w:uiPriority w:val="9"/>
    <w:pPr>
      <w:keepNext/>
      <w:keepLines/>
      <w:numPr>
        <w:ilvl w:val="3"/>
        <w:numId w:val="1"/>
      </w:numPr>
      <w:spacing w:before="120" w:after="120"/>
      <w:outlineLvl w:val="3"/>
    </w:pPr>
    <w:rPr>
      <w:rFonts w:ascii="Calibri Light" w:hAnsi="Calibri Light" w:eastAsia="宋体" w:cs="Times New Roman"/>
      <w:b/>
      <w:bCs/>
      <w:sz w:val="28"/>
      <w:szCs w:val="28"/>
    </w:rPr>
  </w:style>
  <w:style w:type="character" w:default="1" w:styleId="13">
    <w:name w:val="Default Paragraph Font"/>
    <w:semiHidden/>
    <w:unhideWhenUsed/>
    <w:qFormat/>
    <w:uiPriority w:val="1"/>
  </w:style>
  <w:style w:type="table" w:default="1" w:styleId="11">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pPr>
      <w:jc w:val="left"/>
    </w:pPr>
  </w:style>
  <w:style w:type="paragraph" w:styleId="7">
    <w:name w:val="Balloon Text"/>
    <w:basedOn w:val="1"/>
    <w:link w:val="24"/>
    <w:unhideWhenUsed/>
    <w:qFormat/>
    <w:uiPriority w:val="99"/>
    <w:rPr>
      <w:rFonts w:cstheme="minorBidi"/>
      <w:kern w:val="2"/>
      <w:sz w:val="18"/>
      <w:szCs w:val="18"/>
    </w:rPr>
  </w:style>
  <w:style w:type="paragraph" w:styleId="8">
    <w:name w:val="footer"/>
    <w:basedOn w:val="1"/>
    <w:link w:val="16"/>
    <w:qFormat/>
    <w:uiPriority w:val="99"/>
    <w:pPr>
      <w:tabs>
        <w:tab w:val="center" w:pos="4153"/>
        <w:tab w:val="right" w:pos="8306"/>
      </w:tabs>
      <w:snapToGrid w:val="0"/>
      <w:jc w:val="left"/>
    </w:pPr>
    <w:rPr>
      <w:rFonts w:cstheme="minorBidi"/>
      <w:kern w:val="2"/>
      <w:sz w:val="18"/>
      <w:szCs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center"/>
    </w:pPr>
    <w:rPr>
      <w:rFonts w:cstheme="minorBidi"/>
      <w:kern w:val="2"/>
      <w:sz w:val="18"/>
      <w:szCs w:val="18"/>
    </w:rPr>
  </w:style>
  <w:style w:type="paragraph" w:styleId="10">
    <w:name w:val="Normal (Web)"/>
    <w:basedOn w:val="1"/>
    <w:semiHidden/>
    <w:unhideWhenUsed/>
    <w:qFormat/>
    <w:uiPriority w:val="99"/>
    <w:pPr>
      <w:spacing w:before="0" w:beforeAutospacing="1" w:after="0" w:afterAutospacing="1"/>
      <w:ind w:left="0" w:right="0"/>
      <w:jc w:val="left"/>
    </w:pPr>
    <w:rPr>
      <w:kern w:val="0"/>
      <w:sz w:val="24"/>
      <w:lang w:val="en-US" w:eastAsia="zh-CN" w:bidi="ar"/>
    </w:rPr>
  </w:style>
  <w:style w:type="table" w:styleId="12">
    <w:name w:val="Table Grid"/>
    <w:qFormat/>
    <w:uiPriority w:val="0"/>
    <w:rPr>
      <w:sz w:val="22"/>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14">
    <w:name w:val="Strong"/>
    <w:basedOn w:val="13"/>
    <w:qFormat/>
    <w:uiPriority w:val="22"/>
    <w:rPr>
      <w:b/>
    </w:rPr>
  </w:style>
  <w:style w:type="character" w:customStyle="1" w:styleId="15">
    <w:name w:val="标题 2 Char"/>
    <w:link w:val="3"/>
    <w:qFormat/>
    <w:uiPriority w:val="0"/>
    <w:rPr>
      <w:rFonts w:ascii="Calibri Light" w:hAnsi="Calibri Light" w:eastAsia="宋体" w:cs="Times New Roman"/>
      <w:b/>
      <w:bCs/>
      <w:sz w:val="28"/>
      <w:szCs w:val="32"/>
    </w:rPr>
  </w:style>
  <w:style w:type="character" w:customStyle="1" w:styleId="16">
    <w:name w:val="页脚 Char"/>
    <w:basedOn w:val="13"/>
    <w:link w:val="8"/>
    <w:qFormat/>
    <w:uiPriority w:val="99"/>
    <w:rPr>
      <w:rFonts w:asciiTheme="minorHAnsi" w:hAnsiTheme="minorHAnsi" w:eastAsiaTheme="minorEastAsia" w:cstheme="minorBidi"/>
      <w:sz w:val="18"/>
      <w:szCs w:val="18"/>
      <w:lang w:val="en-US" w:eastAsia="zh-CN" w:bidi="ar-SA"/>
    </w:rPr>
  </w:style>
  <w:style w:type="character" w:customStyle="1" w:styleId="17">
    <w:name w:val="页眉 Char"/>
    <w:basedOn w:val="13"/>
    <w:link w:val="9"/>
    <w:qFormat/>
    <w:uiPriority w:val="0"/>
    <w:rPr>
      <w:rFonts w:asciiTheme="minorHAnsi" w:hAnsiTheme="minorHAnsi" w:eastAsiaTheme="minorEastAsia" w:cstheme="minorBidi"/>
      <w:sz w:val="18"/>
      <w:szCs w:val="18"/>
      <w:lang w:val="en-US" w:eastAsia="zh-CN" w:bidi="ar-SA"/>
    </w:rPr>
  </w:style>
  <w:style w:type="character" w:customStyle="1" w:styleId="18">
    <w:name w:val="font11"/>
    <w:basedOn w:val="13"/>
    <w:qFormat/>
    <w:uiPriority w:val="0"/>
    <w:rPr>
      <w:rFonts w:hint="eastAsia" w:ascii="宋体" w:hAnsi="宋体" w:eastAsia="宋体" w:cs="宋体"/>
      <w:color w:val="000000"/>
      <w:sz w:val="20"/>
      <w:szCs w:val="20"/>
      <w:u w:val="none"/>
      <w:lang w:val="en-US" w:eastAsia="zh-CN" w:bidi="ar-SA"/>
    </w:rPr>
  </w:style>
  <w:style w:type="character" w:customStyle="1" w:styleId="19">
    <w:name w:val="font01"/>
    <w:basedOn w:val="13"/>
    <w:qFormat/>
    <w:uiPriority w:val="0"/>
    <w:rPr>
      <w:rFonts w:hint="eastAsia" w:ascii="宋体" w:hAnsi="宋体" w:eastAsia="宋体" w:cs="宋体"/>
      <w:color w:val="000000"/>
      <w:sz w:val="22"/>
      <w:szCs w:val="22"/>
      <w:u w:val="none"/>
      <w:lang w:val="en-US" w:eastAsia="zh-CN" w:bidi="ar-SA"/>
    </w:rPr>
  </w:style>
  <w:style w:type="character" w:customStyle="1" w:styleId="20">
    <w:name w:val="font41"/>
    <w:basedOn w:val="13"/>
    <w:qFormat/>
    <w:uiPriority w:val="0"/>
    <w:rPr>
      <w:rFonts w:hint="eastAsia" w:ascii="宋体" w:hAnsi="宋体" w:eastAsia="宋体" w:cs="宋体"/>
      <w:color w:val="000000"/>
      <w:sz w:val="24"/>
      <w:szCs w:val="24"/>
      <w:u w:val="none"/>
      <w:lang w:val="en-US" w:eastAsia="zh-CN" w:bidi="ar-SA"/>
    </w:rPr>
  </w:style>
  <w:style w:type="character" w:customStyle="1" w:styleId="21">
    <w:name w:val="font3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2">
    <w:name w:val="font91"/>
    <w:basedOn w:val="13"/>
    <w:qFormat/>
    <w:uiPriority w:val="0"/>
    <w:rPr>
      <w:rFonts w:hint="eastAsia" w:ascii="华文中宋" w:hAnsi="华文中宋" w:eastAsia="华文中宋" w:cs="华文中宋"/>
      <w:color w:val="000000"/>
      <w:sz w:val="32"/>
      <w:szCs w:val="32"/>
      <w:u w:val="none"/>
      <w:lang w:val="en-US" w:eastAsia="zh-CN" w:bidi="ar-SA"/>
    </w:rPr>
  </w:style>
  <w:style w:type="character" w:customStyle="1" w:styleId="23">
    <w:name w:val="font51"/>
    <w:basedOn w:val="13"/>
    <w:qFormat/>
    <w:uiPriority w:val="0"/>
    <w:rPr>
      <w:rFonts w:hint="eastAsia" w:ascii="宋体" w:hAnsi="宋体" w:eastAsia="宋体" w:cs="宋体"/>
      <w:color w:val="000000"/>
      <w:sz w:val="24"/>
      <w:szCs w:val="24"/>
      <w:u w:val="none"/>
      <w:lang w:val="en-US" w:eastAsia="zh-CN" w:bidi="ar-SA"/>
    </w:rPr>
  </w:style>
  <w:style w:type="character" w:customStyle="1" w:styleId="24">
    <w:name w:val="批注框文本 Char"/>
    <w:basedOn w:val="13"/>
    <w:link w:val="7"/>
    <w:semiHidden/>
    <w:qFormat/>
    <w:uiPriority w:val="99"/>
    <w:rPr>
      <w:rFonts w:asciiTheme="minorHAnsi" w:hAnsiTheme="minorHAnsi" w:eastAsiaTheme="minorEastAsia" w:cstheme="minorBidi"/>
      <w:sz w:val="18"/>
      <w:szCs w:val="18"/>
      <w:lang w:val="en-US" w:eastAsia="zh-CN" w:bidi="ar-SA"/>
    </w:rPr>
  </w:style>
  <w:style w:type="paragraph" w:customStyle="1" w:styleId="25">
    <w:name w:val="插入文本样式-插入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character" w:customStyle="1" w:styleId="26">
    <w:name w:val="font61"/>
    <w:basedOn w:val="13"/>
    <w:qFormat/>
    <w:uiPriority w:val="0"/>
    <w:rPr>
      <w:rFonts w:ascii="Calibri" w:hAnsi="Calibri" w:cs="Calibri"/>
      <w:color w:val="000000"/>
      <w:sz w:val="20"/>
      <w:szCs w:val="20"/>
      <w:u w:val="none"/>
    </w:rPr>
  </w:style>
  <w:style w:type="character" w:customStyle="1" w:styleId="27">
    <w:name w:val="font21"/>
    <w:basedOn w:val="13"/>
    <w:qFormat/>
    <w:uiPriority w:val="0"/>
    <w:rPr>
      <w:rFonts w:hint="eastAsia" w:ascii="宋体" w:hAnsi="宋体" w:eastAsia="宋体" w:cs="宋体"/>
      <w:color w:val="000000"/>
      <w:sz w:val="20"/>
      <w:szCs w:val="20"/>
      <w:u w:val="none"/>
    </w:rPr>
  </w:style>
  <w:style w:type="character" w:customStyle="1" w:styleId="28">
    <w:name w:val="font71"/>
    <w:basedOn w:val="13"/>
    <w:qFormat/>
    <w:uiPriority w:val="0"/>
    <w:rPr>
      <w:rFonts w:hint="eastAsia" w:ascii="宋体" w:hAnsi="宋体" w:eastAsia="宋体" w:cs="宋体"/>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chart" Target="charts/chart6.xml"/><Relationship Id="rId17" Type="http://schemas.openxmlformats.org/officeDocument/2006/relationships/chart" Target="charts/chart5.xml"/><Relationship Id="rId16" Type="http://schemas.openxmlformats.org/officeDocument/2006/relationships/chart" Target="charts/chart4.xml"/><Relationship Id="rId15" Type="http://schemas.openxmlformats.org/officeDocument/2006/relationships/chart" Target="charts/chart3.xml"/><Relationship Id="rId14" Type="http://schemas.openxmlformats.org/officeDocument/2006/relationships/chart" Target="charts/chart2.xml"/><Relationship Id="rId13" Type="http://schemas.openxmlformats.org/officeDocument/2006/relationships/chart" Target="charts/chart1.xml"/><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2.xlsx"/></Relationships>
</file>

<file path=word/charts/_rels/chart2.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5.xlsx"/></Relationships>
</file>

<file path=word/charts/_rels/chart3.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3.xlsx"/></Relationships>
</file>

<file path=word/charts/_rels/chart4.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4.xlsx"/></Relationships>
</file>

<file path=word/charts/_rels/chart5.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6.xlsx"/></Relationships>
</file>

<file path=word/charts/_rels/chart6.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1 </a:t>
            </a:r>
            <a:r>
              <a:rPr lang="zh-CN" altLang="en-US"/>
              <a:t>： </a:t>
            </a:r>
            <a:r>
              <a:rPr lang="en-US" altLang="zh-CN"/>
              <a:t>2023-2024</a:t>
            </a:r>
            <a:r>
              <a:rPr lang="zh-CN" altLang="en-US"/>
              <a:t>年收支总计对比图（万元）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收支总计</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2023年</c:v>
                </c:pt>
                <c:pt idx="1">
                  <c:v>2024年</c:v>
                </c:pt>
              </c:strCache>
            </c:strRef>
          </c:cat>
          <c:val>
            <c:numRef>
              <c:f>Sheet1!$B$2:$B$3</c:f>
              <c:numCache>
                <c:formatCode>General</c:formatCode>
                <c:ptCount val="2"/>
                <c:pt idx="0">
                  <c:v>563.83</c:v>
                </c:pt>
                <c:pt idx="1">
                  <c:v>497.29</c:v>
                </c:pt>
              </c:numCache>
            </c:numRef>
          </c:val>
        </c:ser>
        <c:dLbls>
          <c:showLegendKey val="0"/>
          <c:showVal val="1"/>
          <c:showCatName val="0"/>
          <c:showSerName val="0"/>
          <c:showPercent val="0"/>
          <c:showBubbleSize val="0"/>
        </c:dLbls>
        <c:gapWidth val="246"/>
        <c:overlap val="-28"/>
        <c:axId val="817088452"/>
        <c:axId val="587069473"/>
      </c:barChart>
      <c:catAx>
        <c:axId val="81708845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87069473"/>
        <c:crosses val="autoZero"/>
        <c:auto val="1"/>
        <c:lblAlgn val="ctr"/>
        <c:lblOffset val="100"/>
        <c:noMultiLvlLbl val="0"/>
      </c:catAx>
      <c:valAx>
        <c:axId val="587069473"/>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0884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2 </a:t>
            </a:r>
            <a:r>
              <a:rPr lang="zh-CN" altLang="en-US"/>
              <a:t>：收入决算构成情况图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Lbls>
            <c:dLbl>
              <c:idx val="0"/>
              <c:layout>
                <c:manualLayout>
                  <c:x val="0.320125539403024"/>
                  <c:y val="0.72690713982147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08045516407558"/>
                  <c:y val="0.63914683382912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405411836540074"/>
                  <c:y val="0.171855078623054"/>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37059073523162"/>
                    </c:manualLayout>
                  </c15:layout>
                </c:ext>
              </c:extLst>
            </c:dLbl>
            <c:dLbl>
              <c:idx val="3"/>
              <c:layout>
                <c:manualLayout>
                  <c:x val="-0.286905148238858"/>
                  <c:y val="0.270250743731381"/>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709732256694"/>
                    </c:manualLayout>
                  </c15:layout>
                </c:ext>
              </c:extLst>
            </c:dLbl>
            <c:dLbl>
              <c:idx val="4"/>
              <c:layout>
                <c:manualLayout>
                  <c:x val="-0.298985360795255"/>
                  <c:y val="0.4491606459838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211403720706"/>
                      <c:h val="0.154908627284318"/>
                    </c:manualLayout>
                  </c15:layout>
                </c:ext>
              </c:extLst>
            </c:dLbl>
            <c:dLbl>
              <c:idx val="5"/>
              <c:layout>
                <c:manualLayout>
                  <c:x val="-0.288475575878384"/>
                  <c:y val="0.124165958351015"/>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manualLayout>
                      <c:w val="0.19545300797294"/>
                      <c:h val="0.110922226944326"/>
                    </c:manualLayout>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ctr"/>
            <c:showLegendKey val="1"/>
            <c:showVal val="0"/>
            <c:showCatName val="1"/>
            <c:showSerName val="0"/>
            <c:showPercent val="1"/>
            <c:showBubbleSize val="0"/>
            <c:separator> </c:separator>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财政拨款收入</c:v>
                </c:pt>
                <c:pt idx="1">
                  <c:v>上级补助收入</c:v>
                </c:pt>
                <c:pt idx="2">
                  <c:v>事业收入</c:v>
                </c:pt>
                <c:pt idx="3">
                  <c:v>经营收入</c:v>
                </c:pt>
                <c:pt idx="4">
                  <c:v>附属单位上缴收入</c:v>
                </c:pt>
                <c:pt idx="5">
                  <c:v>其他收入</c:v>
                </c:pt>
              </c:strCache>
            </c:strRef>
          </c:cat>
          <c:val>
            <c:numRef>
              <c:f>Sheet1!$B$2:$B$7</c:f>
              <c:numCache>
                <c:formatCode>General</c:formatCode>
                <c:ptCount val="6"/>
                <c:pt idx="0">
                  <c:v>4972850.2</c:v>
                </c:pt>
                <c:pt idx="1">
                  <c:v>0</c:v>
                </c:pt>
                <c:pt idx="2">
                  <c:v>0</c:v>
                </c:pt>
                <c:pt idx="3">
                  <c:v>0</c:v>
                </c:pt>
                <c:pt idx="4">
                  <c:v>0</c:v>
                </c:pt>
                <c:pt idx="5">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baseline="0">
                <a:solidFill>
                  <a:schemeClr val="tx1">
                    <a:lumMod val="75000"/>
                    <a:lumOff val="25000"/>
                  </a:schemeClr>
                </a:solidFill>
                <a:latin typeface="+mn-lt"/>
                <a:ea typeface="+mn-ea"/>
                <a:cs typeface="+mn-cs"/>
              </a:defRPr>
            </a:pPr>
            <a:r>
              <a:rPr lang="zh-CN" altLang="en-US" b="1"/>
              <a:t>图 </a:t>
            </a:r>
            <a:r>
              <a:rPr lang="en-US" altLang="zh-CN" b="1"/>
              <a:t>3 </a:t>
            </a:r>
            <a:r>
              <a:rPr lang="zh-CN" altLang="en-US" b="1"/>
              <a:t>：支出决算构成情况图</a:t>
            </a:r>
            <a:endParaRPr lang="zh-CN" altLang="en-US" b="1"/>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Lbls>
            <c:dLbl>
              <c:idx val="0"/>
              <c:layout>
                <c:manualLayout>
                  <c:x val="0.346218893452525"/>
                  <c:y val="0.71546961325966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1"/>
              <c:layout>
                <c:manualLayout>
                  <c:x val="0.357095916888137"/>
                  <c:y val="0.097938376540627"/>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2"/>
              <c:layout>
                <c:manualLayout>
                  <c:x val="-0.292703551582508"/>
                  <c:y val="0.266893327666808"/>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3"/>
              <c:layout>
                <c:manualLayout>
                  <c:x val="-0.315235684561946"/>
                  <c:y val="0.468316617084613"/>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dLbl>
              <c:idx val="4"/>
              <c:layout>
                <c:manualLayout>
                  <c:x val="-0.273558967655045"/>
                  <c:y val="0.718210369740799"/>
                </c:manualLayout>
              </c:layout>
              <c:dLblPos val="bestFit"/>
              <c:showLegendKey val="1"/>
              <c:showVal val="0"/>
              <c:showCatName val="1"/>
              <c:showSerName val="0"/>
              <c:showPercent val="1"/>
              <c:showBubbleSize val="0"/>
              <c:separator>
</c:separator>
              <c:extLst>
                <c:ext xmlns:c15="http://schemas.microsoft.com/office/drawing/2012/chart" uri="{CE6537A1-D6FC-4f65-9D91-7224C49458BB}">
                  <c15:layout/>
                </c:ext>
              </c:extLst>
            </c:dLbl>
            <c:numFmt formatCode="0.0%" sourceLinked="0"/>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bestFit"/>
            <c:showLegendKey val="1"/>
            <c:showVal val="0"/>
            <c:showCatName val="1"/>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基本支出</c:v>
                </c:pt>
                <c:pt idx="1">
                  <c:v>项目支出</c:v>
                </c:pt>
                <c:pt idx="2">
                  <c:v>上缴上级支出</c:v>
                </c:pt>
                <c:pt idx="3">
                  <c:v>经营支出</c:v>
                </c:pt>
                <c:pt idx="4">
                  <c:v>对附属单位补助支出</c:v>
                </c:pt>
              </c:strCache>
            </c:strRef>
          </c:cat>
          <c:val>
            <c:numRef>
              <c:f>Sheet1!$B$2:$B$6</c:f>
              <c:numCache>
                <c:formatCode>General</c:formatCode>
                <c:ptCount val="5"/>
                <c:pt idx="0">
                  <c:v>4409664.99</c:v>
                </c:pt>
                <c:pt idx="1">
                  <c:v>563185.21</c:v>
                </c:pt>
                <c:pt idx="2">
                  <c:v>0</c:v>
                </c:pt>
                <c:pt idx="3">
                  <c:v>0</c:v>
                </c:pt>
                <c:pt idx="4">
                  <c:v>0</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4 </a:t>
            </a:r>
            <a:r>
              <a:rPr lang="zh-CN" altLang="en-US"/>
              <a:t>：</a:t>
            </a:r>
            <a:r>
              <a:rPr lang="en-US" altLang="zh-CN"/>
              <a:t>2023-2024</a:t>
            </a:r>
            <a:r>
              <a:rPr lang="zh-CN" altLang="en-US"/>
              <a:t>年财政拨款收支对比图（万元）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2023年</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563.83</c:v>
                </c:pt>
                <c:pt idx="1">
                  <c:v>563.83</c:v>
                </c:pt>
                <c:pt idx="2">
                  <c:v>563.83</c:v>
                </c:pt>
                <c:pt idx="3">
                  <c:v>563.83</c:v>
                </c:pt>
                <c:pt idx="4">
                  <c:v>0</c:v>
                </c:pt>
                <c:pt idx="5">
                  <c:v>0</c:v>
                </c:pt>
                <c:pt idx="6">
                  <c:v>0</c:v>
                </c:pt>
                <c:pt idx="7">
                  <c:v>0</c:v>
                </c:pt>
              </c:numCache>
            </c:numRef>
          </c:val>
        </c:ser>
        <c:ser>
          <c:idx val="1"/>
          <c:order val="1"/>
          <c:tx>
            <c:strRef>
              <c:f>Sheet1!$C$1</c:f>
              <c:strCache>
                <c:ptCount val="1"/>
                <c:pt idx="0">
                  <c:v>2024年</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497.29</c:v>
                </c:pt>
                <c:pt idx="1">
                  <c:v>497.29</c:v>
                </c:pt>
                <c:pt idx="2">
                  <c:v>497.29</c:v>
                </c:pt>
                <c:pt idx="3">
                  <c:v>497.29</c:v>
                </c:pt>
                <c:pt idx="4">
                  <c:v>0</c:v>
                </c:pt>
                <c:pt idx="5">
                  <c:v>0</c:v>
                </c:pt>
                <c:pt idx="6">
                  <c:v>0</c:v>
                </c:pt>
                <c:pt idx="7">
                  <c:v>0</c:v>
                </c:pt>
              </c:numCache>
            </c:numRef>
          </c:val>
        </c:ser>
        <c:dLbls>
          <c:showLegendKey val="0"/>
          <c:showVal val="1"/>
          <c:showCatName val="0"/>
          <c:showSerName val="0"/>
          <c:showPercent val="0"/>
          <c:showBubbleSize val="0"/>
        </c:dLbls>
        <c:gapWidth val="246"/>
        <c:overlap val="-28"/>
        <c:axId val="40225855"/>
        <c:axId val="660958640"/>
      </c:barChart>
      <c:catAx>
        <c:axId val="40225855"/>
        <c:scaling>
          <c:orientation val="minMax"/>
        </c:scaling>
        <c:delete val="0"/>
        <c:axPos val="b"/>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0958640"/>
        <c:crosses val="autoZero"/>
        <c:auto val="1"/>
        <c:lblAlgn val="ctr"/>
        <c:lblOffset val="100"/>
        <c:noMultiLvlLbl val="0"/>
      </c:catAx>
      <c:valAx>
        <c:axId val="660958640"/>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out"/>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2585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1" i="0" u="none" strike="noStrike" kern="1200" baseline="0">
                <a:solidFill>
                  <a:schemeClr val="tx1">
                    <a:lumMod val="75000"/>
                    <a:lumOff val="25000"/>
                  </a:schemeClr>
                </a:solidFill>
                <a:latin typeface="+mn-lt"/>
                <a:ea typeface="+mn-ea"/>
                <a:cs typeface="+mn-cs"/>
              </a:defRPr>
            </a:pPr>
            <a:r>
              <a:rPr lang="zh-CN" altLang="en-US"/>
              <a:t>图 </a:t>
            </a:r>
            <a:r>
              <a:rPr lang="en-US" altLang="zh-CN"/>
              <a:t>5 :</a:t>
            </a:r>
            <a:r>
              <a:rPr lang="zh-CN" altLang="en-US"/>
              <a:t>财政拨款收支预算对比图（万元）</a:t>
            </a:r>
            <a:endParaRPr lang="zh-CN" altLang="en-US"/>
          </a:p>
        </c:rich>
      </c:tx>
      <c:layout/>
      <c:overlay val="0"/>
      <c:spPr>
        <a:noFill/>
        <a:ln>
          <a:noFill/>
        </a:ln>
        <a:effectLst/>
      </c:spPr>
    </c:title>
    <c:autoTitleDeleted val="0"/>
    <c:plotArea>
      <c:layout>
        <c:manualLayout>
          <c:layoutTarget val="inner"/>
          <c:xMode val="edge"/>
          <c:yMode val="edge"/>
          <c:x val="0.17641942498188"/>
          <c:y val="0.160433489162771"/>
          <c:w val="0.795796086011114"/>
          <c:h val="0.474330641733957"/>
        </c:manualLayout>
      </c:layout>
      <c:barChart>
        <c:barDir val="col"/>
        <c:grouping val="clustered"/>
        <c:varyColors val="0"/>
        <c:ser>
          <c:idx val="0"/>
          <c:order val="0"/>
          <c:tx>
            <c:strRef>
              <c:f>Sheet1!$B$1</c:f>
              <c:strCache>
                <c:ptCount val="1"/>
                <c:pt idx="0">
                  <c:v>年初预算数</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Sheet1!$B$2:$B$9</c:f>
              <c:numCache>
                <c:formatCode>General</c:formatCode>
                <c:ptCount val="8"/>
                <c:pt idx="0">
                  <c:v>537.08</c:v>
                </c:pt>
                <c:pt idx="1">
                  <c:v>537.08</c:v>
                </c:pt>
                <c:pt idx="2">
                  <c:v>537.08</c:v>
                </c:pt>
                <c:pt idx="3">
                  <c:v>537.08</c:v>
                </c:pt>
                <c:pt idx="4">
                  <c:v>0</c:v>
                </c:pt>
                <c:pt idx="5">
                  <c:v>0</c:v>
                </c:pt>
                <c:pt idx="6">
                  <c:v>0</c:v>
                </c:pt>
                <c:pt idx="7">
                  <c:v>0</c:v>
                </c:pt>
              </c:numCache>
            </c:numRef>
          </c:val>
        </c:ser>
        <c:ser>
          <c:idx val="1"/>
          <c:order val="1"/>
          <c:tx>
            <c:strRef>
              <c:f>Sheet1!$C$1</c:f>
              <c:strCache>
                <c:ptCount val="1"/>
                <c:pt idx="0">
                  <c:v>决算数</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10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财政拨款收入</c:v>
                </c:pt>
                <c:pt idx="1">
                  <c:v>财政拨款支出</c:v>
                </c:pt>
                <c:pt idx="2">
                  <c:v>一般公共预算财政拨款收入</c:v>
                </c:pt>
                <c:pt idx="3">
                  <c:v>一般公共预算财政拨款支出</c:v>
                </c:pt>
                <c:pt idx="4">
                  <c:v>政府性基金财政拨款收入</c:v>
                </c:pt>
                <c:pt idx="5">
                  <c:v>政府性基金财政拨款支出</c:v>
                </c:pt>
                <c:pt idx="6">
                  <c:v>国有资本经营预算财政拨款收入</c:v>
                </c:pt>
                <c:pt idx="7">
                  <c:v>国有资本经营预算财政拨款支出</c:v>
                </c:pt>
              </c:strCache>
            </c:strRef>
          </c:cat>
          <c:val>
            <c:numRef>
              <c:f>Sheet1!$C$2:$C$9</c:f>
              <c:numCache>
                <c:formatCode>General</c:formatCode>
                <c:ptCount val="8"/>
                <c:pt idx="0">
                  <c:v>497.29</c:v>
                </c:pt>
                <c:pt idx="1">
                  <c:v>497.29</c:v>
                </c:pt>
                <c:pt idx="2">
                  <c:v>497.29</c:v>
                </c:pt>
                <c:pt idx="3">
                  <c:v>497.29</c:v>
                </c:pt>
                <c:pt idx="4">
                  <c:v>0</c:v>
                </c:pt>
                <c:pt idx="5">
                  <c:v>0</c:v>
                </c:pt>
                <c:pt idx="6">
                  <c:v>0</c:v>
                </c:pt>
                <c:pt idx="7">
                  <c:v>0</c:v>
                </c:pt>
              </c:numCache>
            </c:numRef>
          </c:val>
        </c:ser>
        <c:dLbls>
          <c:showLegendKey val="0"/>
          <c:showVal val="1"/>
          <c:showCatName val="0"/>
          <c:showSerName val="0"/>
          <c:showPercent val="0"/>
          <c:showBubbleSize val="0"/>
        </c:dLbls>
        <c:gapWidth val="150"/>
        <c:axId val="136214206"/>
        <c:axId val="897256872"/>
      </c:barChart>
      <c:catAx>
        <c:axId val="13621420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7256872"/>
        <c:crosses val="autoZero"/>
        <c:auto val="1"/>
        <c:lblAlgn val="ctr"/>
        <c:lblOffset val="100"/>
        <c:noMultiLvlLbl val="0"/>
      </c:catAx>
      <c:valAx>
        <c:axId val="897256872"/>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3621420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1" i="0" u="none" strike="noStrike" kern="1200" baseline="0">
                <a:solidFill>
                  <a:schemeClr val="tx1">
                    <a:lumMod val="75000"/>
                    <a:lumOff val="25000"/>
                  </a:schemeClr>
                </a:solidFill>
                <a:latin typeface="+mn-lt"/>
                <a:ea typeface="+mn-ea"/>
                <a:cs typeface="+mn-cs"/>
              </a:defRPr>
            </a:pPr>
            <a:r>
              <a:rPr lang="zh-CN" altLang="en-US"/>
              <a:t>图</a:t>
            </a:r>
            <a:r>
              <a:rPr lang="en-US" altLang="zh-CN"/>
              <a:t>6  : </a:t>
            </a:r>
            <a:r>
              <a:rPr lang="zh-CN" altLang="en-US"/>
              <a:t>财政拨款支出决算构成情况图</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金额</c:v>
                </c:pt>
              </c:strCache>
            </c:strRef>
          </c:tx>
          <c:spPr/>
          <c:explosion val="0"/>
          <c:dPt>
            <c:idx val="0"/>
            <c:bubble3D val="0"/>
            <c:spPr>
              <a:solidFill>
                <a:schemeClr val="accent1"/>
              </a:solidFill>
              <a:ln>
                <a:solidFill>
                  <a:schemeClr val="bg1"/>
                </a:solidFill>
              </a:ln>
              <a:effectLst/>
            </c:spPr>
          </c:dPt>
          <c:dPt>
            <c:idx val="1"/>
            <c:bubble3D val="0"/>
            <c:spPr>
              <a:solidFill>
                <a:schemeClr val="accent2"/>
              </a:solidFill>
              <a:ln>
                <a:solidFill>
                  <a:schemeClr val="bg1"/>
                </a:solidFill>
              </a:ln>
              <a:effectLst/>
            </c:spPr>
          </c:dPt>
          <c:dPt>
            <c:idx val="2"/>
            <c:bubble3D val="0"/>
            <c:spPr>
              <a:solidFill>
                <a:schemeClr val="accent3"/>
              </a:solidFill>
              <a:ln>
                <a:solidFill>
                  <a:schemeClr val="bg1"/>
                </a:solidFill>
              </a:ln>
              <a:effectLst/>
            </c:spPr>
          </c:dPt>
          <c:dPt>
            <c:idx val="3"/>
            <c:bubble3D val="0"/>
            <c:spPr>
              <a:solidFill>
                <a:schemeClr val="accent4"/>
              </a:solidFill>
              <a:ln>
                <a:solidFill>
                  <a:schemeClr val="bg1"/>
                </a:solidFill>
              </a:ln>
              <a:effectLst/>
            </c:spPr>
          </c:dPt>
          <c:dPt>
            <c:idx val="4"/>
            <c:bubble3D val="0"/>
            <c:spPr>
              <a:solidFill>
                <a:schemeClr val="accent5"/>
              </a:solidFill>
              <a:ln>
                <a:solidFill>
                  <a:schemeClr val="bg1"/>
                </a:solidFill>
              </a:ln>
              <a:effectLst/>
            </c:spPr>
          </c:dPt>
          <c:dPt>
            <c:idx val="5"/>
            <c:bubble3D val="0"/>
            <c:spPr>
              <a:solidFill>
                <a:schemeClr val="accent6"/>
              </a:solidFill>
              <a:ln>
                <a:solidFill>
                  <a:schemeClr val="bg1"/>
                </a:solidFill>
              </a:ln>
              <a:effectLst/>
            </c:spPr>
          </c:dPt>
          <c:dPt>
            <c:idx val="6"/>
            <c:bubble3D val="0"/>
            <c:spPr>
              <a:solidFill>
                <a:schemeClr val="accent1">
                  <a:lumMod val="60000"/>
                </a:schemeClr>
              </a:solidFill>
              <a:ln>
                <a:solidFill>
                  <a:schemeClr val="bg1"/>
                </a:solidFill>
              </a:ln>
              <a:effectLst/>
            </c:spPr>
          </c:dPt>
          <c:dPt>
            <c:idx val="7"/>
            <c:bubble3D val="0"/>
            <c:spPr>
              <a:solidFill>
                <a:schemeClr val="accent2">
                  <a:lumMod val="60000"/>
                </a:schemeClr>
              </a:solidFill>
              <a:ln>
                <a:solidFill>
                  <a:schemeClr val="bg1"/>
                </a:solidFill>
              </a:ln>
              <a:effectLst/>
            </c:spPr>
          </c:dPt>
          <c:dPt>
            <c:idx val="8"/>
            <c:bubble3D val="0"/>
            <c:spPr>
              <a:solidFill>
                <a:schemeClr val="accent3">
                  <a:lumMod val="60000"/>
                </a:schemeClr>
              </a:solidFill>
              <a:ln>
                <a:solidFill>
                  <a:schemeClr val="bg1"/>
                </a:solidFill>
              </a:ln>
              <a:effectLst/>
            </c:spPr>
          </c:dPt>
          <c:dPt>
            <c:idx val="9"/>
            <c:bubble3D val="0"/>
            <c:spPr>
              <a:solidFill>
                <a:schemeClr val="accent4">
                  <a:lumMod val="60000"/>
                </a:schemeClr>
              </a:solidFill>
              <a:ln>
                <a:solidFill>
                  <a:schemeClr val="bg1"/>
                </a:solidFill>
              </a:ln>
              <a:effectLst/>
            </c:spPr>
          </c:dPt>
          <c:dPt>
            <c:idx val="10"/>
            <c:bubble3D val="0"/>
            <c:spPr>
              <a:solidFill>
                <a:schemeClr val="accent5">
                  <a:lumMod val="60000"/>
                </a:schemeClr>
              </a:solidFill>
              <a:ln>
                <a:solidFill>
                  <a:schemeClr val="bg1"/>
                </a:solidFill>
              </a:ln>
              <a:effectLst/>
            </c:spPr>
          </c:dPt>
          <c:dPt>
            <c:idx val="11"/>
            <c:bubble3D val="0"/>
            <c:spPr>
              <a:solidFill>
                <a:schemeClr val="accent6">
                  <a:lumMod val="60000"/>
                </a:schemeClr>
              </a:solidFill>
              <a:ln>
                <a:solidFill>
                  <a:schemeClr val="bg1"/>
                </a:solidFill>
              </a:ln>
              <a:effectLst/>
            </c:spPr>
          </c:dPt>
          <c:dPt>
            <c:idx val="12"/>
            <c:bubble3D val="0"/>
            <c:spPr>
              <a:solidFill>
                <a:schemeClr val="accent1">
                  <a:lumMod val="80000"/>
                  <a:lumOff val="20000"/>
                </a:schemeClr>
              </a:solidFill>
              <a:ln>
                <a:solidFill>
                  <a:schemeClr val="bg1"/>
                </a:solidFill>
              </a:ln>
              <a:effectLst/>
            </c:spPr>
          </c:dPt>
          <c:dPt>
            <c:idx val="13"/>
            <c:bubble3D val="0"/>
            <c:spPr>
              <a:solidFill>
                <a:schemeClr val="accent2">
                  <a:lumMod val="80000"/>
                  <a:lumOff val="20000"/>
                </a:schemeClr>
              </a:solidFill>
              <a:ln>
                <a:solidFill>
                  <a:schemeClr val="bg1"/>
                </a:solidFill>
              </a:ln>
              <a:effectLst/>
            </c:spPr>
          </c:dPt>
          <c:dPt>
            <c:idx val="14"/>
            <c:bubble3D val="0"/>
            <c:spPr>
              <a:solidFill>
                <a:schemeClr val="accent3">
                  <a:lumMod val="80000"/>
                  <a:lumOff val="20000"/>
                </a:schemeClr>
              </a:solidFill>
              <a:ln>
                <a:solidFill>
                  <a:schemeClr val="bg1"/>
                </a:solidFill>
              </a:ln>
              <a:effectLst/>
            </c:spPr>
          </c:dPt>
          <c:dPt>
            <c:idx val="15"/>
            <c:bubble3D val="0"/>
            <c:spPr>
              <a:solidFill>
                <a:schemeClr val="accent4">
                  <a:lumMod val="80000"/>
                  <a:lumOff val="20000"/>
                </a:schemeClr>
              </a:solidFill>
              <a:ln>
                <a:solidFill>
                  <a:schemeClr val="bg1"/>
                </a:solidFill>
              </a:ln>
              <a:effectLst/>
            </c:spPr>
          </c:dPt>
          <c:dPt>
            <c:idx val="16"/>
            <c:bubble3D val="0"/>
            <c:spPr>
              <a:solidFill>
                <a:schemeClr val="accent5">
                  <a:lumMod val="80000"/>
                  <a:lumOff val="20000"/>
                </a:schemeClr>
              </a:solidFill>
              <a:ln>
                <a:solidFill>
                  <a:schemeClr val="bg1"/>
                </a:solidFill>
              </a:ln>
              <a:effectLst/>
            </c:spPr>
          </c:dPt>
          <c:dPt>
            <c:idx val="17"/>
            <c:bubble3D val="0"/>
            <c:spPr>
              <a:solidFill>
                <a:schemeClr val="accent6">
                  <a:lumMod val="80000"/>
                  <a:lumOff val="20000"/>
                </a:schemeClr>
              </a:solidFill>
              <a:ln>
                <a:solidFill>
                  <a:schemeClr val="bg1"/>
                </a:solidFill>
              </a:ln>
              <a:effectLst/>
            </c:spPr>
          </c:dPt>
          <c:dPt>
            <c:idx val="18"/>
            <c:bubble3D val="0"/>
            <c:spPr>
              <a:solidFill>
                <a:schemeClr val="accent1">
                  <a:lumMod val="80000"/>
                </a:schemeClr>
              </a:solidFill>
              <a:ln>
                <a:solidFill>
                  <a:schemeClr val="bg1"/>
                </a:solidFill>
              </a:ln>
              <a:effectLst/>
            </c:spPr>
          </c:dPt>
          <c:dPt>
            <c:idx val="19"/>
            <c:bubble3D val="0"/>
            <c:spPr>
              <a:solidFill>
                <a:schemeClr val="accent2">
                  <a:lumMod val="80000"/>
                </a:schemeClr>
              </a:solidFill>
              <a:ln>
                <a:solidFill>
                  <a:schemeClr val="bg1"/>
                </a:solidFill>
              </a:ln>
              <a:effectLst/>
            </c:spPr>
          </c:dPt>
          <c:dPt>
            <c:idx val="20"/>
            <c:bubble3D val="0"/>
            <c:spPr>
              <a:solidFill>
                <a:schemeClr val="accent3">
                  <a:lumMod val="80000"/>
                </a:schemeClr>
              </a:solidFill>
              <a:ln>
                <a:solidFill>
                  <a:schemeClr val="bg1"/>
                </a:solidFill>
              </a:ln>
              <a:effectLst/>
            </c:spPr>
          </c:dPt>
          <c:dPt>
            <c:idx val="21"/>
            <c:bubble3D val="0"/>
            <c:spPr>
              <a:solidFill>
                <a:schemeClr val="accent4">
                  <a:lumMod val="80000"/>
                </a:schemeClr>
              </a:solidFill>
              <a:ln>
                <a:solidFill>
                  <a:schemeClr val="bg1"/>
                </a:solidFill>
              </a:ln>
              <a:effectLst/>
            </c:spPr>
          </c:dPt>
          <c:dPt>
            <c:idx val="22"/>
            <c:bubble3D val="0"/>
            <c:spPr>
              <a:solidFill>
                <a:schemeClr val="accent5">
                  <a:lumMod val="80000"/>
                </a:schemeClr>
              </a:solidFill>
              <a:ln>
                <a:solidFill>
                  <a:schemeClr val="bg1"/>
                </a:solidFill>
              </a:ln>
              <a:effectLst/>
            </c:spPr>
          </c:dPt>
          <c:dPt>
            <c:idx val="23"/>
            <c:bubble3D val="0"/>
            <c:spPr>
              <a:solidFill>
                <a:schemeClr val="accent6">
                  <a:lumMod val="80000"/>
                </a:schemeClr>
              </a:solidFill>
              <a:ln>
                <a:solidFill>
                  <a:schemeClr val="bg1"/>
                </a:solidFill>
              </a:ln>
              <a:effectLst/>
            </c:spPr>
          </c:dPt>
          <c:dPt>
            <c:idx val="24"/>
            <c:bubble3D val="0"/>
            <c:spPr>
              <a:solidFill>
                <a:schemeClr val="accent1">
                  <a:lumMod val="60000"/>
                  <a:lumOff val="40000"/>
                </a:schemeClr>
              </a:solidFill>
              <a:ln>
                <a:solidFill>
                  <a:schemeClr val="bg1"/>
                </a:solidFill>
              </a:ln>
              <a:effectLst/>
            </c:spPr>
          </c:dPt>
          <c:dPt>
            <c:idx val="25"/>
            <c:bubble3D val="0"/>
            <c:spPr>
              <a:solidFill>
                <a:schemeClr val="accent2">
                  <a:lumMod val="60000"/>
                  <a:lumOff val="40000"/>
                </a:schemeClr>
              </a:solidFill>
              <a:ln>
                <a:solidFill>
                  <a:schemeClr val="bg1"/>
                </a:solidFill>
              </a:ln>
              <a:effectLst/>
            </c:spPr>
          </c:dPt>
          <c:dLbls>
            <c:delete val="1"/>
          </c:dLbls>
          <c:cat>
            <c:strRef>
              <c:f>Sheet1!$A$2:$A$27</c:f>
              <c:strCache>
                <c:ptCount val="26"/>
                <c:pt idx="0">
                  <c:v>一般公共服务支出</c:v>
                </c:pt>
                <c:pt idx="1">
                  <c:v>外交支出</c:v>
                </c:pt>
                <c:pt idx="2">
                  <c:v>国防支出</c:v>
                </c:pt>
                <c:pt idx="3">
                  <c:v>公共安全支出</c:v>
                </c:pt>
                <c:pt idx="4">
                  <c:v>教育支出</c:v>
                </c:pt>
                <c:pt idx="5">
                  <c:v>科学技术支出</c:v>
                </c:pt>
                <c:pt idx="6">
                  <c:v>文化旅游体育与传媒支出</c:v>
                </c:pt>
                <c:pt idx="7">
                  <c:v>社会保障和就业支出</c:v>
                </c:pt>
                <c:pt idx="8">
                  <c:v>卫生健康支出</c:v>
                </c:pt>
                <c:pt idx="9">
                  <c:v>节能环保支出</c:v>
                </c:pt>
                <c:pt idx="10">
                  <c:v>城乡社区支出</c:v>
                </c:pt>
                <c:pt idx="11">
                  <c:v>农林水支出</c:v>
                </c:pt>
                <c:pt idx="12">
                  <c:v>交通运输支出</c:v>
                </c:pt>
                <c:pt idx="13">
                  <c:v>资源勘探工业信息等支出</c:v>
                </c:pt>
                <c:pt idx="14">
                  <c:v>商业服务业等支出</c:v>
                </c:pt>
                <c:pt idx="15">
                  <c:v>金融支出</c:v>
                </c:pt>
                <c:pt idx="16">
                  <c:v>援助其他地区支出</c:v>
                </c:pt>
                <c:pt idx="17">
                  <c:v>自然资源海洋气象等支出</c:v>
                </c:pt>
                <c:pt idx="18">
                  <c:v>住房保障支出</c:v>
                </c:pt>
                <c:pt idx="19">
                  <c:v>粮油物资储备支出</c:v>
                </c:pt>
                <c:pt idx="20">
                  <c:v>国有资本经营预算支出</c:v>
                </c:pt>
                <c:pt idx="21">
                  <c:v>灾害防治及应急管理支出</c:v>
                </c:pt>
                <c:pt idx="22">
                  <c:v>其他支出</c:v>
                </c:pt>
                <c:pt idx="23">
                  <c:v>债务还本支出</c:v>
                </c:pt>
                <c:pt idx="24">
                  <c:v>债务付息支出</c:v>
                </c:pt>
                <c:pt idx="25">
                  <c:v>抗疫特别国债安排的支出</c:v>
                </c:pt>
              </c:strCache>
            </c:strRef>
          </c:cat>
          <c:val>
            <c:numRef>
              <c:f>Sheet1!$B$2:$B$27</c:f>
              <c:numCache>
                <c:formatCode>General</c:formatCode>
                <c:ptCount val="26"/>
                <c:pt idx="0">
                  <c:v>0</c:v>
                </c:pt>
                <c:pt idx="1">
                  <c:v>0</c:v>
                </c:pt>
                <c:pt idx="2">
                  <c:v>0</c:v>
                </c:pt>
                <c:pt idx="3">
                  <c:v>0</c:v>
                </c:pt>
                <c:pt idx="4">
                  <c:v>0</c:v>
                </c:pt>
                <c:pt idx="5">
                  <c:v>0</c:v>
                </c:pt>
                <c:pt idx="6">
                  <c:v>0</c:v>
                </c:pt>
                <c:pt idx="7">
                  <c:v>457.71</c:v>
                </c:pt>
                <c:pt idx="8">
                  <c:v>16.65</c:v>
                </c:pt>
                <c:pt idx="9">
                  <c:v>0</c:v>
                </c:pt>
                <c:pt idx="10">
                  <c:v>0</c:v>
                </c:pt>
                <c:pt idx="11">
                  <c:v>0</c:v>
                </c:pt>
                <c:pt idx="12">
                  <c:v>0</c:v>
                </c:pt>
                <c:pt idx="13">
                  <c:v>0</c:v>
                </c:pt>
                <c:pt idx="14">
                  <c:v>0</c:v>
                </c:pt>
                <c:pt idx="15">
                  <c:v>0</c:v>
                </c:pt>
                <c:pt idx="16">
                  <c:v>0</c:v>
                </c:pt>
                <c:pt idx="17">
                  <c:v>0</c:v>
                </c:pt>
                <c:pt idx="18">
                  <c:v>22.93</c:v>
                </c:pt>
                <c:pt idx="19">
                  <c:v>0</c:v>
                </c:pt>
                <c:pt idx="20">
                  <c:v>0</c:v>
                </c:pt>
                <c:pt idx="21">
                  <c:v>0</c:v>
                </c:pt>
                <c:pt idx="22">
                  <c:v>0</c:v>
                </c:pt>
                <c:pt idx="23">
                  <c:v>0</c:v>
                </c:pt>
                <c:pt idx="24">
                  <c:v>0</c:v>
                </c:pt>
                <c:pt idx="25">
                  <c:v>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r"/>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1008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solidFill>
          <a:schemeClr val="bg1"/>
        </a:solidFill>
      </a:ln>
      <a:effectLst/>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神州网信技术有限公司</Company>
  <Pages>38</Pages>
  <Words>611</Words>
  <Characters>2169</Characters>
  <Lines>86</Lines>
  <Paragraphs>24</Paragraphs>
  <TotalTime>2</TotalTime>
  <ScaleCrop>false</ScaleCrop>
  <LinksUpToDate>false</LinksUpToDate>
  <CharactersWithSpaces>2170</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2023-08-06T07:55:00Z</dcterms:created>
  <dc:creator>王明新TIAD</dc:creator>
  <cp:lastModifiedBy>小雅</cp:lastModifiedBy>
  <cp:lastPrinted>2023-08-06T01:00:00Z</cp:lastPrinted>
  <dcterms:modified xsi:type="dcterms:W3CDTF">2025-09-26T06:00:11Z</dcterms:modified>
  <cp:revision>15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2052-11.8.2.9022</vt:lpwstr>
  </property>
  <property fmtid="{D5CDD505-2E9C-101B-9397-08002B2CF9AE}" pid="3" name="ICV">
    <vt:lpwstr>B9D4097774744A28A58B1072CF95DB35_13</vt:lpwstr>
  </property>
  <property fmtid="{D5CDD505-2E9C-101B-9397-08002B2CF9AE}" pid="4" name="KSOTemplateUUID">
    <vt:lpwstr>v1.0_mb_S7ajbG3IpAnL1wSthNCxfw==</vt:lpwstr>
  </property>
  <property fmtid="{D5CDD505-2E9C-101B-9397-08002B2CF9AE}" pid="5" name="KSOTemplateDocerSaveRecord">
    <vt:lpwstr>eyJoZGlkIjoiYjA3YzVjY2RhYzM1OWI4MmYzZjdlYWUzZWM2YTQyNTYiLCJ1c2VySWQiOiIxNTIwMzY1OTkzIn0=</vt:lpwstr>
  </property>
</Properties>
</file>