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289001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：中共石家庄市鹿泉区委老干部局(本级)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highlight w:val="none"/>
        </w:rPr>
      </w:pPr>
      <w:r>
        <w:rPr>
          <w:rFonts w:ascii="Times New Roman" w:eastAsia="方正小标宋_GBK"/>
          <w:b w:val="0"/>
          <w:sz w:val="72"/>
          <w:szCs w:val="72"/>
          <w:highlight w:val="none"/>
        </w:rPr>
        <w:t>中共石家庄市鹿泉区委老干部局(本级)</w:t>
      </w:r>
    </w:p>
    <w:p>
      <w:pPr>
        <w:widowControl/>
        <w:spacing w:before="0" w:beforeLines="0" w:beforeAutospacing="0" w:after="0" w:afterLines="0" w:afterAutospacing="0" w:line="360" w:lineRule="auto"/>
        <w:jc w:val="center"/>
        <w:rPr>
          <w:rFonts w:ascii="Times New Roman" w:eastAsia="方正小标宋_GBK"/>
          <w:sz w:val="72"/>
          <w:szCs w:val="72"/>
          <w:highlight w:val="none"/>
        </w:rPr>
      </w:pPr>
      <w:r>
        <w:rPr>
          <w:rFonts w:ascii="Times New Roman" w:eastAsia="仿宋_GB2312"/>
          <w:b w:val="0"/>
          <w:sz w:val="72"/>
          <w:szCs w:val="72"/>
          <w:highlight w:val="none"/>
        </w:rPr>
        <w:t>2024</w:t>
      </w:r>
      <w:r>
        <w:rPr>
          <w:rFonts w:ascii="Times New Roman" w:eastAsia="方正小标宋_GBK"/>
          <w:b w:val="0"/>
          <w:sz w:val="72"/>
          <w:szCs w:val="72"/>
          <w:highlight w:val="none"/>
        </w:rPr>
        <w:t>年度部门决算公开文本</w:t>
      </w:r>
    </w:p>
    <w:p>
      <w:pPr>
        <w:spacing w:line="360" w:lineRule="auto"/>
        <w:jc w:val="center"/>
        <w:rPr>
          <w:rFonts w:ascii="黑体" w:hAnsi="黑体" w:eastAsia="黑体" w:cs="黑体"/>
          <w:sz w:val="56"/>
          <w:szCs w:val="72"/>
          <w:highlight w:val="none"/>
        </w:rPr>
      </w:pPr>
    </w:p>
    <w:p>
      <w:pPr>
        <w:spacing w:line="600" w:lineRule="auto"/>
        <w:jc w:val="center"/>
        <w:rPr>
          <w:rFonts w:ascii="黑体" w:hAnsi="黑体" w:eastAsia="黑体" w:cs="黑体"/>
          <w:sz w:val="56"/>
          <w:szCs w:val="72"/>
          <w:highlight w:val="none"/>
        </w:rPr>
      </w:pPr>
    </w:p>
    <w:p>
      <w:pPr>
        <w:spacing w:line="600" w:lineRule="auto"/>
        <w:jc w:val="center"/>
        <w:rPr>
          <w:rFonts w:ascii="黑体" w:hAnsi="黑体" w:eastAsia="黑体" w:cs="黑体"/>
          <w:sz w:val="56"/>
          <w:szCs w:val="72"/>
          <w:highlight w:val="none"/>
        </w:rPr>
      </w:pPr>
    </w:p>
    <w:p>
      <w:pPr>
        <w:spacing w:line="480" w:lineRule="auto"/>
        <w:jc w:val="both"/>
        <w:rPr>
          <w:rFonts w:ascii="黑体" w:hAnsi="黑体" w:eastAsia="黑体" w:cs="黑体"/>
          <w:sz w:val="56"/>
          <w:szCs w:val="72"/>
          <w:highlight w:val="none"/>
        </w:rPr>
      </w:pPr>
    </w:p>
    <w:p>
      <w:pPr>
        <w:widowControl/>
        <w:spacing w:before="0" w:beforeLines="0" w:beforeAutospacing="0" w:after="0" w:afterLines="0" w:afterAutospacing="0" w:line="360" w:lineRule="auto"/>
        <w:jc w:val="center"/>
        <w:rPr>
          <w:rFonts w:ascii="Times New Roman" w:eastAsia="楷体_GB2312"/>
          <w:sz w:val="44"/>
          <w:szCs w:val="44"/>
          <w:highlight w:val="none"/>
        </w:rPr>
      </w:pPr>
      <w:r>
        <w:rPr>
          <w:rFonts w:ascii="Times New Roman" w:eastAsia="楷体_GB2312"/>
          <w:b w:val="0"/>
          <w:sz w:val="44"/>
          <w:szCs w:val="44"/>
          <w:highlight w:val="none"/>
        </w:rPr>
        <w:t>中共石家庄市鹿泉区委老干部局(本级)</w:t>
      </w:r>
    </w:p>
    <w:p>
      <w:pPr>
        <w:widowControl/>
        <w:spacing w:before="0" w:beforeLines="0" w:beforeAutospacing="0" w:after="0" w:afterLines="0" w:afterAutospacing="0" w:line="360" w:lineRule="auto"/>
        <w:jc w:val="center"/>
        <w:rPr>
          <w:rFonts w:ascii="Times New Roman" w:eastAsia="楷体_GB2312"/>
          <w:sz w:val="44"/>
          <w:szCs w:val="44"/>
          <w:highlight w:val="none"/>
        </w:rPr>
      </w:pPr>
      <w:r>
        <w:rPr>
          <w:rFonts w:ascii="Times New Roman" w:eastAsia="楷体_GB2312"/>
          <w:b w:val="0"/>
          <w:sz w:val="44"/>
          <w:szCs w:val="44"/>
          <w:highlight w:val="none"/>
        </w:rPr>
        <w:t>二〇二五年八月</w:t>
      </w:r>
    </w:p>
    <w:p>
      <w:pPr>
        <w:snapToGrid w:val="0"/>
        <w:jc w:val="left"/>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highlight w:val="none"/>
        </w:rPr>
      </w:pPr>
    </w:p>
    <w:p>
      <w:pPr>
        <w:tabs>
          <w:tab w:val="left" w:pos="2728"/>
        </w:tabs>
        <w:jc w:val="center"/>
        <w:rPr>
          <w:rFonts w:ascii="黑体" w:hAnsi="Times New Roman" w:eastAsia="黑体" w:cs="Times New Roman"/>
          <w:sz w:val="48"/>
          <w:szCs w:val="48"/>
          <w:highlight w:val="none"/>
        </w:rPr>
      </w:pPr>
    </w:p>
    <w:p>
      <w:pPr>
        <w:widowControl/>
        <w:spacing w:before="0" w:beforeLines="0" w:beforeAutospacing="0" w:after="0" w:afterLines="0" w:afterAutospacing="0" w:line="360" w:lineRule="auto"/>
        <w:jc w:val="center"/>
        <w:outlineLvl w:val="0"/>
        <w:rPr>
          <w:rFonts w:ascii="Times New Roman" w:eastAsia="黑体"/>
          <w:sz w:val="44"/>
          <w:szCs w:val="44"/>
          <w:highlight w:val="none"/>
        </w:rPr>
      </w:pPr>
      <w:r>
        <w:rPr>
          <w:rFonts w:ascii="Times New Roman" w:eastAsia="黑体"/>
          <w:b w:val="0"/>
          <w:sz w:val="44"/>
          <w:szCs w:val="44"/>
          <w:highlight w:val="none"/>
        </w:rPr>
        <w:t>目    录</w:t>
      </w:r>
    </w:p>
    <w:p>
      <w:pPr>
        <w:widowControl/>
        <w:spacing w:after="160" w:line="580" w:lineRule="exact"/>
        <w:ind w:firstLine="640" w:firstLineChars="200"/>
        <w:rPr>
          <w:rFonts w:ascii="Times New Roman" w:hAnsi="Times New Roman" w:eastAsia="黑体" w:cs="Times New Roman"/>
          <w:sz w:val="32"/>
          <w:szCs w:val="32"/>
          <w:highlight w:val="none"/>
        </w:rPr>
      </w:pPr>
    </w:p>
    <w:p>
      <w:pPr>
        <w:widowControl/>
        <w:spacing w:before="0" w:beforeLines="0" w:beforeAutospacing="0" w:after="0" w:afterLines="0" w:afterAutospacing="0" w:line="360" w:lineRule="auto"/>
        <w:jc w:val="left"/>
        <w:rPr>
          <w:rFonts w:ascii="Times New Roman" w:eastAsia="黑体"/>
          <w:sz w:val="32"/>
          <w:szCs w:val="32"/>
          <w:highlight w:val="none"/>
        </w:rPr>
      </w:pPr>
      <w:r>
        <w:rPr>
          <w:rFonts w:ascii="Times New Roman" w:eastAsia="黑体"/>
          <w:b w:val="0"/>
          <w:sz w:val="32"/>
          <w:szCs w:val="32"/>
          <w:highlight w:val="none"/>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二、机构设置</w:t>
      </w:r>
    </w:p>
    <w:p>
      <w:pPr>
        <w:widowControl/>
        <w:spacing w:before="0" w:beforeLines="0" w:beforeAutospacing="0" w:after="0" w:afterLines="0" w:afterAutospacing="0" w:line="360" w:lineRule="auto"/>
        <w:jc w:val="left"/>
        <w:outlineLvl w:val="0"/>
        <w:rPr>
          <w:rFonts w:ascii="Times New Roman" w:eastAsia="黑体"/>
          <w:sz w:val="32"/>
          <w:szCs w:val="32"/>
          <w:highlight w:val="none"/>
        </w:rPr>
      </w:pPr>
      <w:r>
        <w:rPr>
          <w:rFonts w:ascii="Times New Roman" w:eastAsia="黑体"/>
          <w:b w:val="0"/>
          <w:sz w:val="32"/>
          <w:szCs w:val="32"/>
          <w:highlight w:val="none"/>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highlight w:val="none"/>
        </w:rPr>
      </w:pPr>
      <w:r>
        <w:rPr>
          <w:rFonts w:ascii="Times New Roman" w:eastAsia="黑体"/>
          <w:b w:val="0"/>
          <w:sz w:val="32"/>
          <w:szCs w:val="32"/>
          <w:highlight w:val="none"/>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十、其他需要说明的情况</w:t>
      </w:r>
    </w:p>
    <w:p>
      <w:pPr>
        <w:widowControl/>
        <w:spacing w:before="0" w:beforeLines="0" w:beforeAutospacing="0" w:after="0" w:afterLines="0" w:afterAutospacing="0" w:line="360" w:lineRule="auto"/>
        <w:jc w:val="left"/>
        <w:rPr>
          <w:rFonts w:ascii="Times New Roman" w:eastAsia="黑体"/>
          <w:sz w:val="32"/>
          <w:szCs w:val="32"/>
          <w:highlight w:val="none"/>
        </w:rPr>
      </w:pPr>
      <w:r>
        <w:rPr>
          <w:rFonts w:ascii="Times New Roman" w:eastAsia="黑体"/>
          <w:b w:val="0"/>
          <w:sz w:val="32"/>
          <w:szCs w:val="32"/>
          <w:highlight w:val="none"/>
        </w:rPr>
        <w:t>第四部分   名词解释</w:t>
      </w:r>
    </w:p>
    <w:p>
      <w:pPr>
        <w:widowControl/>
        <w:spacing w:after="160" w:line="580" w:lineRule="exact"/>
        <w:rPr>
          <w:rFonts w:hint="eastAsia" w:ascii="Times New Roman" w:hAnsi="Times New Roman" w:eastAsia="黑体" w:cs="Times New Roman"/>
          <w:sz w:val="32"/>
          <w:szCs w:val="32"/>
          <w:highlight w:val="none"/>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highlight w:val="none"/>
        </w:rPr>
      </w:pPr>
      <w:r>
        <w:rPr>
          <w:rFonts w:ascii="Times New Roman" w:eastAsia="黑体"/>
          <w:b w:val="0"/>
          <w:sz w:val="44"/>
          <w:szCs w:val="44"/>
          <w:highlight w:val="none"/>
        </w:rPr>
        <w:t>第一部分   单位概况</w:t>
      </w:r>
    </w:p>
    <w:p>
      <w:pPr>
        <w:widowControl/>
        <w:numPr>
          <w:ilvl w:val="0"/>
          <w:numId w:val="2"/>
        </w:numPr>
        <w:spacing w:before="0" w:beforeLines="0" w:beforeAutospacing="0" w:after="0" w:afterLines="0" w:afterAutospacing="0" w:line="360" w:lineRule="auto"/>
        <w:jc w:val="left"/>
        <w:outlineLvl w:val="1"/>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Times New Roman" w:eastAsia="黑体"/>
          <w:b w:val="0"/>
          <w:sz w:val="32"/>
          <w:szCs w:val="32"/>
          <w:lang w:val="en-US" w:eastAsia="zh-CN"/>
        </w:rPr>
        <w:t>单位</w:t>
      </w:r>
      <w:r>
        <w:rPr>
          <w:rFonts w:ascii="Times New Roman" w:eastAsia="黑体"/>
          <w:b w:val="0"/>
          <w:sz w:val="32"/>
          <w:szCs w:val="32"/>
        </w:rPr>
        <w:t>职责</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（二）负责指导、督促、检查全区的离退休干部工作；组织和协调有关部门做好离退休干部工作。</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（五）指导全区老干部活动中心等活动阵地建设与管理。</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（六）指导各乡（镇、区）和区直各部门组织离退休干部利用自身优势,在政治、经济、文化和青少年教育等各领域发挥作用,增添正能量。</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（七）了解离退休干部对医疗保健方面的意见和要求。组织指导离退休干部开展健康科学的文化健身、保健讲座、参观学习等活动。</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（八）负责易地安置离休干部服务管理工作。</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（九）会同有关部门拟订治丧办法,指导逝世老干部的善后工作,协助承办区委交办的丧葬事宜。</w:t>
      </w:r>
    </w:p>
    <w:p>
      <w:pPr>
        <w:pStyle w:val="25"/>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（十）承担区关心下一代工作委员会的日常工作。</w:t>
      </w:r>
    </w:p>
    <w:p>
      <w:pPr>
        <w:widowControl/>
        <w:numPr>
          <w:ilvl w:val="0"/>
          <w:numId w:val="2"/>
        </w:numPr>
        <w:spacing w:before="0" w:beforeLines="0" w:beforeAutospacing="0" w:after="0" w:afterLines="0" w:afterAutospacing="0" w:line="360" w:lineRule="auto"/>
        <w:jc w:val="left"/>
        <w:outlineLvl w:val="1"/>
        <w:rPr>
          <w:rFonts w:hint="default" w:ascii="Times New Roman" w:eastAsia="黑体"/>
          <w:b w:val="0"/>
          <w:sz w:val="32"/>
          <w:szCs w:val="32"/>
          <w:lang w:val="en-US" w:eastAsia="zh-CN"/>
        </w:rPr>
      </w:pPr>
      <w:r>
        <w:rPr>
          <w:rFonts w:hint="eastAsia" w:ascii="Times New Roman" w:eastAsia="黑体"/>
          <w:b w:val="0"/>
          <w:sz w:val="32"/>
          <w:szCs w:val="32"/>
          <w:lang w:val="en-US" w:eastAsia="zh-CN"/>
        </w:rPr>
        <w:t>机构设置</w:t>
      </w:r>
    </w:p>
    <w:p>
      <w:pPr>
        <w:pStyle w:val="25"/>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从决算编报</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单位</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构成看，纳入</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2024</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年度</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本部门</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决算汇编范围的独立核算</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单位</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（以下简称“</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单位</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”）共</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1</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highlight w:val="none"/>
              </w:rPr>
            </w:pPr>
            <w:r>
              <w:rPr>
                <w:rFonts w:hint="eastAsia" w:ascii="仿宋_GB2312" w:hAnsi="Calibri" w:eastAsia="仿宋_GB2312" w:cs="ArialUnicodeMS"/>
                <w:b/>
                <w:bCs/>
                <w:kern w:val="0"/>
                <w:sz w:val="28"/>
                <w:szCs w:val="28"/>
                <w:highlight w:val="none"/>
              </w:rPr>
              <w:t>序号</w:t>
            </w:r>
          </w:p>
        </w:tc>
        <w:tc>
          <w:tcPr>
            <w:tcW w:w="3485" w:type="dxa"/>
            <w:vAlign w:val="center"/>
          </w:tcPr>
          <w:p>
            <w:pPr>
              <w:spacing w:line="560" w:lineRule="exact"/>
              <w:jc w:val="center"/>
              <w:rPr>
                <w:rFonts w:ascii="仿宋_GB2312" w:hAnsi="Calibri" w:eastAsia="仿宋_GB2312" w:cs="ArialUnicodeMS"/>
                <w:b/>
                <w:bCs/>
                <w:kern w:val="0"/>
                <w:sz w:val="28"/>
                <w:szCs w:val="28"/>
                <w:highlight w:val="none"/>
              </w:rPr>
            </w:pPr>
            <w:r>
              <w:rPr>
                <w:rFonts w:hint="eastAsia" w:ascii="仿宋_GB2312" w:hAnsi="Calibri" w:eastAsia="仿宋_GB2312" w:cs="ArialUnicodeMS"/>
                <w:b/>
                <w:bCs/>
                <w:kern w:val="0"/>
                <w:sz w:val="28"/>
                <w:szCs w:val="28"/>
                <w:highlight w:val="none"/>
              </w:rPr>
              <w:t>单位名称</w:t>
            </w:r>
          </w:p>
        </w:tc>
        <w:tc>
          <w:tcPr>
            <w:tcW w:w="2445" w:type="dxa"/>
            <w:vAlign w:val="center"/>
          </w:tcPr>
          <w:p>
            <w:pPr>
              <w:spacing w:line="560" w:lineRule="exact"/>
              <w:jc w:val="center"/>
              <w:rPr>
                <w:rFonts w:ascii="仿宋_GB2312" w:hAnsi="Calibri" w:eastAsia="仿宋_GB2312" w:cs="ArialUnicodeMS"/>
                <w:b/>
                <w:bCs/>
                <w:kern w:val="0"/>
                <w:sz w:val="28"/>
                <w:szCs w:val="28"/>
                <w:highlight w:val="none"/>
              </w:rPr>
            </w:pPr>
            <w:r>
              <w:rPr>
                <w:rFonts w:hint="eastAsia" w:ascii="仿宋_GB2312" w:hAnsi="Calibri" w:eastAsia="仿宋_GB2312" w:cs="ArialUnicodeMS"/>
                <w:b/>
                <w:bCs/>
                <w:kern w:val="0"/>
                <w:sz w:val="28"/>
                <w:szCs w:val="28"/>
                <w:highlight w:val="none"/>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highlight w:val="none"/>
              </w:rPr>
            </w:pPr>
            <w:r>
              <w:rPr>
                <w:rFonts w:hint="eastAsia" w:ascii="仿宋_GB2312" w:hAnsi="Calibri" w:eastAsia="仿宋_GB2312" w:cs="ArialUnicodeMS"/>
                <w:b/>
                <w:bCs/>
                <w:kern w:val="0"/>
                <w:sz w:val="28"/>
                <w:szCs w:val="28"/>
                <w:highlight w:val="none"/>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1</w:t>
            </w:r>
          </w:p>
        </w:tc>
        <w:tc>
          <w:tcPr>
            <w:tcW w:w="3485" w:type="dxa"/>
          </w:tcPr>
          <w:p>
            <w:pPr>
              <w:spacing w:line="560" w:lineRule="exact"/>
              <w:rPr>
                <w:rFonts w:ascii="仿宋_GB2312" w:hAnsi="Calibri" w:eastAsia="仿宋_GB2312" w:cs="ArialUnicodeMS"/>
                <w:kern w:val="0"/>
                <w:sz w:val="28"/>
                <w:szCs w:val="28"/>
                <w:highlight w:val="none"/>
              </w:rPr>
            </w:pPr>
            <w:r>
              <w:rPr>
                <w:rFonts w:hint="eastAsia" w:ascii="仿宋_GB2312" w:eastAsia="仿宋_GB2312" w:cs="仿宋_GB2312"/>
                <w:kern w:val="0"/>
                <w:sz w:val="21"/>
                <w:szCs w:val="21"/>
                <w:highlight w:val="none"/>
                <w:lang w:val="en-US" w:eastAsia="zh-CN"/>
              </w:rPr>
              <w:t>中共石家庄市鹿泉区委老干部局（本级</w:t>
            </w:r>
            <w:bookmarkStart w:id="0" w:name="_GoBack"/>
            <w:bookmarkEnd w:id="0"/>
            <w:r>
              <w:rPr>
                <w:rFonts w:hint="eastAsia" w:ascii="仿宋_GB2312" w:eastAsia="仿宋_GB2312" w:cs="仿宋_GB2312"/>
                <w:kern w:val="0"/>
                <w:sz w:val="21"/>
                <w:szCs w:val="21"/>
                <w:highlight w:val="none"/>
                <w:lang w:val="en-US" w:eastAsia="zh-CN"/>
              </w:rPr>
              <w:t>）</w:t>
            </w:r>
          </w:p>
        </w:tc>
        <w:tc>
          <w:tcPr>
            <w:tcW w:w="2445" w:type="dxa"/>
          </w:tcPr>
          <w:p>
            <w:pPr>
              <w:spacing w:line="560" w:lineRule="exact"/>
              <w:jc w:val="center"/>
              <w:rPr>
                <w:rFonts w:ascii="仿宋_GB2312" w:hAnsi="Calibri" w:eastAsia="仿宋_GB2312" w:cs="ArialUnicodeMS"/>
                <w:kern w:val="0"/>
                <w:sz w:val="28"/>
                <w:szCs w:val="28"/>
                <w:highlight w:val="none"/>
              </w:rPr>
            </w:pPr>
            <w:r>
              <w:rPr>
                <w:rFonts w:hint="eastAsia" w:ascii="仿宋_GB2312" w:hAnsi="仿宋_GB2312" w:eastAsia="仿宋_GB2312" w:cs="仿宋_GB2312"/>
                <w:szCs w:val="21"/>
                <w:highlight w:val="none"/>
              </w:rPr>
              <w:t>行政</w:t>
            </w:r>
            <w:r>
              <w:rPr>
                <w:rFonts w:hint="eastAsia" w:ascii="仿宋_GB2312" w:hAnsi="仿宋_GB2312" w:eastAsia="仿宋_GB2312" w:cs="仿宋_GB2312"/>
                <w:szCs w:val="21"/>
                <w:highlight w:val="none"/>
                <w:lang w:val="en-US" w:eastAsia="zh-CN"/>
              </w:rPr>
              <w:t>单位</w:t>
            </w:r>
          </w:p>
        </w:tc>
        <w:tc>
          <w:tcPr>
            <w:tcW w:w="2665" w:type="dxa"/>
          </w:tcPr>
          <w:p>
            <w:pPr>
              <w:spacing w:line="560" w:lineRule="exact"/>
              <w:jc w:val="center"/>
              <w:rPr>
                <w:rFonts w:ascii="仿宋_GB2312" w:hAnsi="Calibri" w:eastAsia="仿宋_GB2312" w:cs="ArialUnicodeMS"/>
                <w:kern w:val="0"/>
                <w:sz w:val="28"/>
                <w:szCs w:val="28"/>
                <w:highlight w:val="none"/>
              </w:rPr>
            </w:pPr>
            <w:r>
              <w:rPr>
                <w:rFonts w:hint="eastAsia" w:ascii="仿宋_GB2312" w:hAnsi="仿宋_GB2312" w:eastAsia="仿宋_GB2312" w:cs="仿宋_GB2312"/>
                <w:szCs w:val="21"/>
                <w:highlight w:val="none"/>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2、经费形式分为财政拨款、财政性资金基本保证、财政性资金定额或定项补助、财政性资金零补助四类。</w:t>
            </w:r>
          </w:p>
        </w:tc>
      </w:tr>
    </w:tbl>
    <w:p>
      <w:pPr>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highlight w:val="none"/>
        </w:rPr>
      </w:pPr>
      <w:r>
        <w:rPr>
          <w:rFonts w:ascii="Times New Roman" w:eastAsia="黑体"/>
          <w:b w:val="0"/>
          <w:sz w:val="44"/>
          <w:szCs w:val="44"/>
          <w:highlight w:val="none"/>
        </w:rPr>
        <w:t>第二部分   </w:t>
      </w:r>
      <w:r>
        <w:rPr>
          <w:rFonts w:ascii="Times New Roman" w:eastAsia="仿宋_GB2312"/>
          <w:b w:val="0"/>
          <w:sz w:val="44"/>
          <w:szCs w:val="44"/>
          <w:highlight w:val="none"/>
        </w:rPr>
        <w:t>2024</w:t>
      </w:r>
      <w:r>
        <w:rPr>
          <w:rFonts w:ascii="Times New Roman" w:eastAsia="黑体"/>
          <w:b w:val="0"/>
          <w:sz w:val="44"/>
          <w:szCs w:val="44"/>
          <w:highlight w:val="none"/>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部门（单位）：中共石家庄市鹿泉区委老干部局(本级)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497.29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497.29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457.71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457.71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457.71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457.71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132.16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132.16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2080503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离退休人员管理机构</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301.86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301.86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23.69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23.69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16.65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highlight w:val="none"/>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440.97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离退休人员管理机构</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301.86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245.54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497.29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012"/>
        <w:gridCol w:w="1040"/>
        <w:gridCol w:w="677"/>
        <w:gridCol w:w="710"/>
        <w:gridCol w:w="339"/>
        <w:gridCol w:w="11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编制部门（单位）：中共石家庄市鹿泉区委老干部局(本级)</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440.97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离退休人员管理机构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245.54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部门（单位）：中共石家庄市鹿泉区委老干部局(本级)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252.58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55.51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388.99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部门（单位）：中共石家庄市鹿泉区委老干部局(本级)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注：本表反映部门本年度国有资本经营预算财政拨款支出情况。本部门本年度无相关收入（或支出、收支及结转结余等）情况，按要求空表列示。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部门（单位）：中共石家庄市鹿泉区委老干部局(本级)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highlight w:val="none"/>
        </w:rPr>
      </w:pPr>
      <w:r>
        <w:rPr>
          <w:rFonts w:ascii="Times New Roman" w:eastAsia="黑体"/>
          <w:b w:val="0"/>
          <w:sz w:val="44"/>
          <w:szCs w:val="44"/>
          <w:highlight w:val="none"/>
        </w:rPr>
        <w:t>第三部分   </w:t>
      </w:r>
      <w:r>
        <w:rPr>
          <w:rFonts w:ascii="Times New Roman" w:eastAsia="仿宋_GB2312"/>
          <w:b w:val="0"/>
          <w:sz w:val="44"/>
          <w:szCs w:val="44"/>
          <w:highlight w:val="none"/>
        </w:rPr>
        <w:t>2024</w:t>
      </w:r>
      <w:r>
        <w:rPr>
          <w:rFonts w:ascii="Times New Roman" w:eastAsia="黑体"/>
          <w:b w:val="0"/>
          <w:sz w:val="44"/>
          <w:szCs w:val="44"/>
          <w:highlight w:val="none"/>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highlight w:val="none"/>
        </w:rPr>
      </w:pPr>
      <w:r>
        <w:rPr>
          <w:rFonts w:ascii="Times New Roman" w:eastAsia="黑体"/>
          <w:b w:val="0"/>
          <w:sz w:val="32"/>
          <w:szCs w:val="32"/>
          <w:highlight w:val="none"/>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本单位2024年度收、支总计（含结转和结余）均为497.29万元。与2023年度决算相比，收支各减少66.55万元，下降11.8%，主要原因是</w:t>
      </w:r>
      <w:r>
        <w:rPr>
          <w:rFonts w:hint="eastAsia" w:ascii="Times New Roman" w:hAnsi="Times New Roman" w:eastAsia="仿宋_GB2312" w:cs="Times New Roman"/>
          <w:kern w:val="2"/>
          <w:sz w:val="32"/>
          <w:szCs w:val="32"/>
          <w:highlight w:val="none"/>
          <w:lang w:val="en-US" w:eastAsia="zh-CN"/>
        </w:rPr>
        <w:t>人员经费、公用经费和项目支出均减少</w:t>
      </w:r>
      <w:r>
        <w:rPr>
          <w:rFonts w:ascii="Times New Roman" w:eastAsia="仿宋_GB2312"/>
          <w:b w:val="0"/>
          <w:sz w:val="32"/>
          <w:szCs w:val="32"/>
          <w:highlight w:val="none"/>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highlight w:val="none"/>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highlight w:val="none"/>
        </w:rPr>
      </w:pPr>
      <w:r>
        <w:rPr>
          <w:rFonts w:ascii="Times New Roman" w:eastAsia="黑体"/>
          <w:b w:val="0"/>
          <w:sz w:val="32"/>
          <w:szCs w:val="32"/>
          <w:highlight w:val="none"/>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本单位2024年度本年收入合计497.29万元，其中：财政拨款收入497.29万元，占100%；上级补助收入0万元，占0%；事业收入0万元，占0%；经营收入0万元，占0%；附属单位上缴收入0万元，占0%；其他收入0万元，占0%。</w:t>
      </w:r>
    </w:p>
    <w:p>
      <w:pPr>
        <w:adjustRightInd w:val="0"/>
        <w:snapToGrid w:val="0"/>
        <w:spacing w:line="580" w:lineRule="exact"/>
        <w:jc w:val="both"/>
        <w:rPr>
          <w:rFonts w:hint="default" w:ascii="Times New Roman" w:hAnsi="Times New Roman" w:eastAsia="仿宋_GB2312" w:cs="Times New Roman"/>
          <w:kern w:val="2"/>
          <w:sz w:val="32"/>
          <w:szCs w:val="32"/>
          <w:highlight w:val="none"/>
          <w:lang w:val="zh-CN"/>
        </w:rPr>
      </w:pPr>
      <w:r>
        <w:rPr>
          <w:rFonts w:ascii="Times New Roman" w:hAnsi="Times New Roman" w:eastAsia="仿宋_GB2312"/>
          <w:kern w:val="2"/>
          <w:sz w:val="32"/>
          <w:szCs w:val="32"/>
          <w:highlight w:val="none"/>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highlight w:val="none"/>
        </w:rPr>
      </w:pPr>
      <w:r>
        <w:rPr>
          <w:rFonts w:ascii="Times New Roman" w:eastAsia="黑体"/>
          <w:b w:val="0"/>
          <w:sz w:val="32"/>
          <w:szCs w:val="32"/>
          <w:highlight w:val="none"/>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本单位2024年度本年支出合计497.29万元，其中：基本支出440.97万元，占88.7%；项目支出56.32万元，占11.3%；上缴上级支出0万元，占0%；经营支出0万元，占0%；对附属单位补助支出0万元，占0%。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（一）财政拨款收支与</w:t>
      </w:r>
      <w:r>
        <w:rPr>
          <w:rFonts w:ascii="Times New Roman" w:eastAsia="仿宋_GB2312"/>
          <w:b/>
          <w:sz w:val="32"/>
          <w:szCs w:val="32"/>
          <w:highlight w:val="none"/>
        </w:rPr>
        <w:t>2023</w:t>
      </w:r>
      <w:r>
        <w:rPr>
          <w:rFonts w:ascii="Times New Roman" w:eastAsia="楷体_GB2312"/>
          <w:b/>
          <w:sz w:val="32"/>
          <w:szCs w:val="32"/>
          <w:highlight w:val="none"/>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本单位2024年度财政拨款收、支总计（含结转和结余）均为497.29万元。与2023年度相比，财政拨款收支各减少66.55万元，降低11.8%，主要原因是</w:t>
      </w:r>
      <w:r>
        <w:rPr>
          <w:rFonts w:hint="eastAsia" w:ascii="Times New Roman" w:eastAsia="仿宋_GB2312"/>
          <w:b w:val="0"/>
          <w:sz w:val="32"/>
          <w:szCs w:val="32"/>
          <w:highlight w:val="none"/>
        </w:rPr>
        <w:t>人员经费、公用经费和项目支出均减少</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本单位2024年度财政拨款本年收入497.29万元,比上年减少66.55万元，降低11.8%，主要原因是</w:t>
      </w:r>
      <w:r>
        <w:rPr>
          <w:rFonts w:hint="eastAsia" w:ascii="Times New Roman" w:eastAsia="仿宋_GB2312"/>
          <w:b w:val="0"/>
          <w:sz w:val="32"/>
          <w:szCs w:val="32"/>
          <w:highlight w:val="none"/>
        </w:rPr>
        <w:t>人员经费、公用经费和项目支出均减少</w:t>
      </w:r>
      <w:r>
        <w:rPr>
          <w:rFonts w:ascii="Times New Roman" w:eastAsia="仿宋_GB2312"/>
          <w:b w:val="0"/>
          <w:sz w:val="32"/>
          <w:szCs w:val="32"/>
          <w:highlight w:val="none"/>
        </w:rPr>
        <w:t>；本年支出497.29万元，比上年减少66.55万元，降低11.8%，主要原因是</w:t>
      </w:r>
      <w:r>
        <w:rPr>
          <w:rFonts w:hint="eastAsia" w:ascii="Times New Roman" w:eastAsia="仿宋_GB2312"/>
          <w:b w:val="0"/>
          <w:sz w:val="32"/>
          <w:szCs w:val="32"/>
          <w:highlight w:val="none"/>
        </w:rPr>
        <w:t>人员经费、公用经费和项目支出均减少</w:t>
      </w:r>
      <w:r>
        <w:rPr>
          <w:rFonts w:ascii="Times New Roman" w:eastAsia="仿宋_GB2312"/>
          <w:b w:val="0"/>
          <w:sz w:val="32"/>
          <w:szCs w:val="32"/>
          <w:highlight w:val="none"/>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highlight w:val="none"/>
        </w:rPr>
      </w:pPr>
      <w:r>
        <w:rPr>
          <w:rFonts w:ascii="Times New Roman" w:eastAsia="仿宋_GB2312"/>
          <w:b w:val="0"/>
          <w:sz w:val="32"/>
          <w:szCs w:val="32"/>
          <w:highlight w:val="none"/>
        </w:rPr>
        <w:t>1. 一般公共预算财政拨款本年收入497.29万元,比上年减少66.55万元，降低11.8%，主要原因是</w:t>
      </w:r>
      <w:r>
        <w:rPr>
          <w:rFonts w:hint="eastAsia" w:ascii="Times New Roman" w:eastAsia="仿宋_GB2312"/>
          <w:b w:val="0"/>
          <w:sz w:val="32"/>
          <w:szCs w:val="32"/>
          <w:highlight w:val="none"/>
        </w:rPr>
        <w:t>人员经费、公用经费和项目支出均减少</w:t>
      </w:r>
      <w:r>
        <w:rPr>
          <w:rFonts w:ascii="Times New Roman" w:eastAsia="仿宋_GB2312"/>
          <w:b w:val="0"/>
          <w:sz w:val="32"/>
          <w:szCs w:val="32"/>
          <w:highlight w:val="none"/>
        </w:rPr>
        <w:t>；本年支出497.29万元，比上年减少66.55万元，降低11.8%，主要原因是</w:t>
      </w:r>
      <w:r>
        <w:rPr>
          <w:rFonts w:hint="eastAsia" w:ascii="Times New Roman" w:eastAsia="仿宋_GB2312"/>
          <w:b w:val="0"/>
          <w:sz w:val="32"/>
          <w:szCs w:val="32"/>
          <w:highlight w:val="none"/>
        </w:rPr>
        <w:t>人员经费、公用经费和项目支出均减少</w:t>
      </w:r>
      <w:r>
        <w:rPr>
          <w:rFonts w:ascii="Times New Roman" w:eastAsia="仿宋_GB2312"/>
          <w:b w:val="0"/>
          <w:sz w:val="32"/>
          <w:szCs w:val="32"/>
          <w:highlight w:val="none"/>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kern w:val="2"/>
          <w:sz w:val="32"/>
          <w:szCs w:val="32"/>
          <w:highlight w:val="none"/>
          <w:lang w:val="zh-CN"/>
        </w:rPr>
        <w:t>2. 政府性基金预算财政拨款本年收入0</w:t>
      </w:r>
      <w:r>
        <w:rPr>
          <w:rFonts w:hint="default" w:ascii="Times New Roman" w:hAnsi="Times New Roman" w:eastAsia="仿宋_GB2312" w:cs="Times New Roman"/>
          <w:kern w:val="2"/>
          <w:sz w:val="32"/>
          <w:szCs w:val="32"/>
          <w:highlight w:val="none"/>
          <w:lang w:val="en-US" w:eastAsia="zh-CN"/>
        </w:rPr>
        <w:t>万</w:t>
      </w:r>
      <w:r>
        <w:rPr>
          <w:rFonts w:hint="default"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highlight w:val="none"/>
          <w:lang w:val="zh-CN"/>
        </w:rPr>
        <w:t>，</w:t>
      </w:r>
      <w:r>
        <w:rPr>
          <w:rFonts w:hint="eastAsia" w:ascii="仿宋_GB2312" w:hAnsi="Times New Roman" w:eastAsia="仿宋_GB2312" w:cs="仿宋_GB2312"/>
          <w:sz w:val="32"/>
          <w:szCs w:val="32"/>
          <w:highlight w:val="none"/>
          <w:lang w:eastAsia="zh-CN"/>
        </w:rPr>
        <w:t>无增减变化</w:t>
      </w:r>
      <w:r>
        <w:rPr>
          <w:rFonts w:hint="default" w:ascii="Times New Roman" w:hAnsi="Times New Roman" w:eastAsia="仿宋_GB2312" w:cs="Times New Roman"/>
          <w:kern w:val="2"/>
          <w:sz w:val="32"/>
          <w:szCs w:val="32"/>
          <w:highlight w:val="none"/>
          <w:lang w:val="zh-CN"/>
        </w:rPr>
        <w:t>；本年支出0</w:t>
      </w:r>
      <w:r>
        <w:rPr>
          <w:rFonts w:hint="default" w:ascii="Times New Roman" w:hAnsi="Times New Roman" w:eastAsia="仿宋_GB2312" w:cs="Times New Roman"/>
          <w:kern w:val="2"/>
          <w:sz w:val="32"/>
          <w:szCs w:val="32"/>
          <w:highlight w:val="none"/>
          <w:lang w:val="en-US" w:eastAsia="zh-CN"/>
        </w:rPr>
        <w:t>万</w:t>
      </w:r>
      <w:r>
        <w:rPr>
          <w:rFonts w:hint="default"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highlight w:val="none"/>
          <w:lang w:val="zh-CN"/>
        </w:rPr>
        <w:t>，</w:t>
      </w:r>
      <w:r>
        <w:rPr>
          <w:rFonts w:hint="eastAsia" w:ascii="仿宋_GB2312" w:hAnsi="Times New Roman" w:eastAsia="仿宋_GB2312" w:cs="仿宋_GB2312"/>
          <w:sz w:val="32"/>
          <w:szCs w:val="32"/>
          <w:highlight w:val="none"/>
          <w:lang w:eastAsia="zh-CN"/>
        </w:rPr>
        <w:t>无增减变化</w:t>
      </w:r>
      <w:r>
        <w:rPr>
          <w:rFonts w:hint="default" w:ascii="Times New Roman" w:hAnsi="Times New Roman" w:eastAsia="仿宋_GB2312" w:cs="Times New Roman"/>
          <w:kern w:val="2"/>
          <w:sz w:val="32"/>
          <w:szCs w:val="32"/>
          <w:highlight w:val="none"/>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highlight w:val="none"/>
          <w:lang w:val="zh-CN"/>
        </w:rPr>
      </w:pPr>
      <w:r>
        <w:rPr>
          <w:rFonts w:hint="default" w:ascii="Times New Roman" w:hAnsi="Times New Roman" w:eastAsia="仿宋_GB2312" w:cs="Times New Roman"/>
          <w:kern w:val="2"/>
          <w:sz w:val="32"/>
          <w:szCs w:val="32"/>
          <w:highlight w:val="none"/>
          <w:lang w:val="zh-CN"/>
        </w:rPr>
        <w:t>3. 国有资本经营预算财政拨款本年收入0</w:t>
      </w:r>
      <w:r>
        <w:rPr>
          <w:rFonts w:hint="default" w:ascii="Times New Roman" w:hAnsi="Times New Roman" w:eastAsia="仿宋_GB2312" w:cs="Times New Roman"/>
          <w:kern w:val="2"/>
          <w:sz w:val="32"/>
          <w:szCs w:val="32"/>
          <w:highlight w:val="none"/>
          <w:lang w:val="en-US" w:eastAsia="zh-CN"/>
        </w:rPr>
        <w:t>万</w:t>
      </w:r>
      <w:r>
        <w:rPr>
          <w:rFonts w:hint="default"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highlight w:val="none"/>
          <w:lang w:val="zh-CN"/>
        </w:rPr>
        <w:t>，</w:t>
      </w:r>
      <w:r>
        <w:rPr>
          <w:rFonts w:hint="eastAsia" w:ascii="仿宋_GB2312" w:hAnsi="Times New Roman" w:eastAsia="仿宋_GB2312" w:cs="仿宋_GB2312"/>
          <w:sz w:val="32"/>
          <w:szCs w:val="32"/>
          <w:highlight w:val="none"/>
          <w:lang w:eastAsia="zh-CN"/>
        </w:rPr>
        <w:t>无增减变化</w:t>
      </w:r>
      <w:r>
        <w:rPr>
          <w:rFonts w:hint="default" w:ascii="Times New Roman" w:hAnsi="Times New Roman" w:eastAsia="仿宋_GB2312" w:cs="Times New Roman"/>
          <w:kern w:val="2"/>
          <w:sz w:val="32"/>
          <w:szCs w:val="32"/>
          <w:highlight w:val="none"/>
          <w:lang w:val="zh-CN"/>
        </w:rPr>
        <w:t>；本年支出0</w:t>
      </w:r>
      <w:r>
        <w:rPr>
          <w:rFonts w:hint="default" w:ascii="Times New Roman" w:hAnsi="Times New Roman" w:eastAsia="仿宋_GB2312" w:cs="Times New Roman"/>
          <w:kern w:val="2"/>
          <w:sz w:val="32"/>
          <w:szCs w:val="32"/>
          <w:highlight w:val="none"/>
          <w:lang w:val="en-US" w:eastAsia="zh-CN"/>
        </w:rPr>
        <w:t>万</w:t>
      </w:r>
      <w:r>
        <w:rPr>
          <w:rFonts w:hint="default"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highlight w:val="none"/>
          <w:lang w:val="zh-CN"/>
        </w:rPr>
        <w:t>，</w:t>
      </w:r>
      <w:r>
        <w:rPr>
          <w:rFonts w:hint="eastAsia" w:ascii="仿宋_GB2312" w:hAnsi="Times New Roman" w:eastAsia="仿宋_GB2312" w:cs="仿宋_GB2312"/>
          <w:sz w:val="32"/>
          <w:szCs w:val="32"/>
          <w:highlight w:val="none"/>
          <w:lang w:eastAsia="zh-CN"/>
        </w:rPr>
        <w:t>无增减变化</w:t>
      </w:r>
      <w:r>
        <w:rPr>
          <w:rFonts w:hint="default" w:ascii="Times New Roman" w:hAnsi="Times New Roman" w:eastAsia="仿宋_GB2312" w:cs="Times New Roman"/>
          <w:kern w:val="2"/>
          <w:sz w:val="32"/>
          <w:szCs w:val="32"/>
          <w:highlight w:val="none"/>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highlight w:val="none"/>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（二）财政拨款收支与年初预算数对比情况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本单位2024年度财政拨款本年收入497.29万元，完成年初预算的92.6%，比年初预算减少39.79万元，决算数少于预算数主要原因是基本支出和项目支出均减少；本年支出497.29万元，完成年初预算的92.6%，比年初预算减少39.79万元，决算数少于预算数主要原因是基本支出和项目支出均减少。具体情况如下：</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1.一般公共预算财政拨款本年收入完成年初预算的92.6%，比年初预算减少39.79万元，主要原因是基本支出和项目支出均减少；支出完成年初预算的92.6%，比年初预算减少39.79万元，主要原因是基本支出和项目支出均减少。</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2.政府性基金预算财政拨款本年收入完成年初预算的0%，与年初预算持平，无增减变化；支出完成年初预算的0%，与年初预算持平，无增减变化。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Arial" w:cs="Times New Roman"/>
          <w:highlight w:val="none"/>
        </w:rPr>
      </w:pPr>
      <w:r>
        <w:rPr>
          <w:rFonts w:hint="eastAsia" w:ascii="Times New Roman" w:eastAsia="仿宋_GB2312"/>
          <w:b w:val="0"/>
          <w:sz w:val="32"/>
          <w:szCs w:val="32"/>
          <w:highlight w:val="none"/>
        </w:rPr>
        <w:t>3.国有资本经营预算财政拨款本年收入完成年初预算的0%，与年初预算持平，无增减变化；支出完成年初预算的0%，与年初预算持平，无增减变化。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  2024年度财政拨款支出497.29万元，主要用于以下方面：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一般公共预算财政拨款支出：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eastAsia="仿宋_GB2312"/>
          <w:b w:val="0"/>
          <w:sz w:val="32"/>
          <w:szCs w:val="32"/>
          <w:highlight w:val="none"/>
          <w:lang w:eastAsia="zh-CN"/>
        </w:rPr>
      </w:pPr>
      <w:r>
        <w:rPr>
          <w:rFonts w:hint="eastAsia" w:ascii="Times New Roman" w:eastAsia="仿宋_GB2312"/>
          <w:b w:val="0"/>
          <w:sz w:val="32"/>
          <w:szCs w:val="32"/>
          <w:highlight w:val="none"/>
        </w:rPr>
        <w:t>社会保障和就业（类）支出457.71万元，占92%；卫生健康（类）支出16.65万元，占3.</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%；住房保障（类）支出22.93</w:t>
      </w:r>
      <w:r>
        <w:rPr>
          <w:rFonts w:hint="eastAsia" w:ascii="Times New Roman" w:eastAsia="仿宋_GB2312"/>
          <w:b w:val="0"/>
          <w:sz w:val="32"/>
          <w:szCs w:val="32"/>
          <w:highlight w:val="none"/>
          <w:lang w:eastAsia="zh-CN"/>
        </w:rPr>
        <w:t>万元</w:t>
      </w:r>
      <w:r>
        <w:rPr>
          <w:rFonts w:hint="eastAsia" w:ascii="Times New Roman" w:eastAsia="仿宋_GB2312"/>
          <w:b w:val="0"/>
          <w:sz w:val="32"/>
          <w:szCs w:val="32"/>
          <w:highlight w:val="none"/>
        </w:rPr>
        <w:t>，占4.6%。</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eastAsia="仿宋_GB2312"/>
          <w:b w:val="0"/>
          <w:sz w:val="32"/>
          <w:szCs w:val="32"/>
          <w:highlight w:val="none"/>
        </w:rPr>
      </w:pP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color w:val="auto"/>
          <w:kern w:val="2"/>
          <w:sz w:val="32"/>
          <w:szCs w:val="32"/>
          <w:highlight w:val="none"/>
          <w:lang w:val="zh-CN" w:eastAsia="zh-CN" w:bidi="ar-SA"/>
        </w:rPr>
      </w:pPr>
      <w:r>
        <w:rPr>
          <w:rFonts w:ascii="Times New Roman" w:hAnsi="Times New Roman" w:eastAsia="仿宋_GB2312"/>
          <w:kern w:val="2"/>
          <w:sz w:val="32"/>
          <w:szCs w:val="32"/>
          <w:highlight w:val="none"/>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  2024年度财政拨款基本支出440.97万元，其中：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人员经费388.99万元，主要包括基本工资、津贴补贴、奖金、绩效工资、机关事业部门基本养老保险缴费、职工基本医疗保险缴费、</w:t>
      </w:r>
      <w:r>
        <w:rPr>
          <w:rFonts w:hint="eastAsia" w:ascii="Times New Roman" w:eastAsia="仿宋_GB2312"/>
          <w:b w:val="0"/>
          <w:sz w:val="32"/>
          <w:szCs w:val="32"/>
          <w:highlight w:val="none"/>
          <w:lang w:val="en-US" w:eastAsia="zh-CN"/>
        </w:rPr>
        <w:t>其他社会保障缴费、</w:t>
      </w:r>
      <w:r>
        <w:rPr>
          <w:rFonts w:ascii="Times New Roman" w:eastAsia="仿宋_GB2312"/>
          <w:b w:val="0"/>
          <w:sz w:val="32"/>
          <w:szCs w:val="32"/>
          <w:highlight w:val="none"/>
        </w:rPr>
        <w:t>住房公积金、离休费、退休费、生活补助、奖励金、其他对个人和家庭的补助支出。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highlight w:val="none"/>
          <w:lang w:eastAsia="zh-CN"/>
        </w:rPr>
      </w:pPr>
      <w:r>
        <w:rPr>
          <w:rFonts w:ascii="Times New Roman" w:eastAsia="仿宋_GB2312"/>
          <w:b w:val="0"/>
          <w:sz w:val="32"/>
          <w:szCs w:val="32"/>
          <w:highlight w:val="none"/>
        </w:rPr>
        <w:t>公用经费51.97万元，主要包括办公费、印刷费、水费、电费、邮电费、取暖费、差旅费、维修（护）费、劳务费、委托业务费、工会经费、福利费、公务用车运行维护费、其他交通费用、其他商品和服务支出</w:t>
      </w:r>
      <w:r>
        <w:rPr>
          <w:rFonts w:hint="eastAsia" w:ascii="Times New Roman" w:eastAsia="仿宋_GB2312"/>
          <w:b w:val="0"/>
          <w:sz w:val="32"/>
          <w:szCs w:val="32"/>
          <w:highlight w:val="none"/>
          <w:lang w:eastAsia="zh-CN"/>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本单位2024年度“三公”经费财政拨款支出预算为0.89万元，支出决算为0.89万元，完成预算的100%，</w:t>
      </w:r>
      <w:r>
        <w:rPr>
          <w:rFonts w:hint="eastAsia" w:ascii="Times New Roman" w:eastAsia="仿宋_GB2312"/>
          <w:b w:val="0"/>
          <w:sz w:val="32"/>
          <w:szCs w:val="32"/>
          <w:highlight w:val="none"/>
        </w:rPr>
        <w:t>与预算持平</w:t>
      </w:r>
      <w:r>
        <w:rPr>
          <w:rFonts w:ascii="Times New Roman" w:eastAsia="仿宋_GB2312"/>
          <w:b w:val="0"/>
          <w:sz w:val="32"/>
          <w:szCs w:val="32"/>
          <w:highlight w:val="none"/>
        </w:rPr>
        <w:t>；较2023年度决算减少0.80万元，降低47.3%，主要原因是</w:t>
      </w:r>
      <w:r>
        <w:rPr>
          <w:rFonts w:hint="eastAsia" w:ascii="Times New Roman" w:eastAsia="仿宋_GB2312"/>
          <w:b w:val="0"/>
          <w:sz w:val="32"/>
          <w:szCs w:val="32"/>
          <w:highlight w:val="none"/>
        </w:rPr>
        <w:t>公车使用减少，油费降低</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highlight w:val="none"/>
          <w:lang w:val="en-US" w:eastAsia="zh-CN" w:bidi="ar-SA"/>
        </w:rPr>
      </w:pPr>
      <w:r>
        <w:rPr>
          <w:rFonts w:ascii="Times New Roman" w:eastAsia="楷体_GB2312"/>
          <w:b/>
          <w:sz w:val="32"/>
          <w:szCs w:val="32"/>
          <w:highlight w:val="none"/>
        </w:rPr>
        <w:t> 1.因公出国（境）费支出情况。</w:t>
      </w:r>
      <w:r>
        <w:rPr>
          <w:rFonts w:ascii="Times New Roman" w:eastAsia="仿宋_GB2312"/>
          <w:b w:val="0"/>
          <w:sz w:val="32"/>
          <w:szCs w:val="32"/>
          <w:highlight w:val="none"/>
        </w:rPr>
        <w:t>本单位</w:t>
      </w:r>
      <w:r>
        <w:rPr>
          <w:rFonts w:hint="default" w:ascii="Times New Roman" w:hAnsi="Times New Roman" w:eastAsia="仿宋_GB2312" w:cs="Times New Roman"/>
          <w:color w:val="auto"/>
          <w:kern w:val="2"/>
          <w:sz w:val="32"/>
          <w:szCs w:val="32"/>
          <w:highlight w:val="none"/>
          <w:lang w:val="en-US" w:eastAsia="zh-CN" w:bidi="ar-SA"/>
        </w:rPr>
        <w:t>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en-US" w:eastAsia="zh-CN" w:bidi="ar-SA"/>
        </w:rPr>
        <w:t>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en-US" w:eastAsia="zh-CN" w:bidi="ar-SA"/>
        </w:rPr>
        <w:t>；较上年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en-US" w:eastAsia="zh-CN" w:bidi="ar-SA"/>
        </w:rPr>
        <w:t>，</w:t>
      </w:r>
      <w:r>
        <w:rPr>
          <w:rFonts w:hint="eastAsia" w:ascii="Times New Roman" w:hAnsi="Times New Roman" w:eastAsia="仿宋_GB2312" w:cs="Times New Roman"/>
          <w:color w:val="auto"/>
          <w:kern w:val="2"/>
          <w:sz w:val="32"/>
          <w:szCs w:val="32"/>
          <w:highlight w:val="none"/>
          <w:lang w:val="en-US" w:eastAsia="zh-CN" w:bidi="ar-SA"/>
        </w:rPr>
        <w:t>无增减变化</w:t>
      </w:r>
      <w:r>
        <w:rPr>
          <w:rFonts w:hint="default" w:ascii="Times New Roman" w:hAnsi="Times New Roman" w:eastAsia="仿宋_GB2312" w:cs="Times New Roman"/>
          <w:color w:val="auto"/>
          <w:kern w:val="2"/>
          <w:sz w:val="32"/>
          <w:szCs w:val="32"/>
          <w:highlight w:val="none"/>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个、共</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楷体_GB2312"/>
          <w:b/>
          <w:sz w:val="32"/>
          <w:szCs w:val="32"/>
          <w:highlight w:val="none"/>
        </w:rPr>
        <w:t> 2.公务用车购置及运行维护费支出情况。</w:t>
      </w:r>
      <w:r>
        <w:rPr>
          <w:rFonts w:ascii="Times New Roman" w:eastAsia="仿宋_GB2312"/>
          <w:b w:val="0"/>
          <w:sz w:val="32"/>
          <w:szCs w:val="32"/>
          <w:highlight w:val="none"/>
        </w:rPr>
        <w:t>本单位2024年度公务用车购置及运行维护费预算为0.89万元，支出决算0.89万元，完成预算的100%,</w:t>
      </w:r>
      <w:r>
        <w:rPr>
          <w:rFonts w:hint="eastAsia" w:ascii="Times New Roman" w:eastAsia="仿宋_GB2312"/>
          <w:b w:val="0"/>
          <w:sz w:val="32"/>
          <w:szCs w:val="32"/>
          <w:highlight w:val="none"/>
        </w:rPr>
        <w:t>与预算持平</w:t>
      </w:r>
      <w:r>
        <w:rPr>
          <w:rFonts w:ascii="Times New Roman" w:eastAsia="仿宋_GB2312"/>
          <w:b w:val="0"/>
          <w:sz w:val="32"/>
          <w:szCs w:val="32"/>
          <w:highlight w:val="none"/>
        </w:rPr>
        <w:t>；较上年减少0.8万元，降低47.3%,主要原因是</w:t>
      </w:r>
      <w:r>
        <w:rPr>
          <w:rFonts w:hint="eastAsia" w:ascii="Times New Roman" w:eastAsia="仿宋_GB2312"/>
          <w:b w:val="0"/>
          <w:sz w:val="32"/>
          <w:szCs w:val="32"/>
          <w:highlight w:val="none"/>
          <w:lang w:eastAsia="zh-CN"/>
        </w:rPr>
        <w:t>公车使用减少，油费降低</w:t>
      </w:r>
      <w:r>
        <w:rPr>
          <w:rFonts w:ascii="Times New Roman" w:eastAsia="仿宋_GB2312"/>
          <w:b w:val="0"/>
          <w:sz w:val="32"/>
          <w:szCs w:val="32"/>
          <w:highlight w:val="none"/>
        </w:rPr>
        <w:t>。其中：</w:t>
      </w:r>
    </w:p>
    <w:p>
      <w:pPr>
        <w:widowControl/>
        <w:spacing w:before="0" w:beforeLines="0" w:beforeAutospacing="0" w:after="0" w:afterLines="0" w:afterAutospacing="0" w:line="360" w:lineRule="auto"/>
        <w:ind w:firstLine="643" w:firstLineChars="200"/>
        <w:jc w:val="left"/>
        <w:rPr>
          <w:rFonts w:hint="default" w:ascii="Times New Roman" w:hAnsi="Times New Roman" w:eastAsia="仿宋_GB2312" w:cs="Times New Roman"/>
          <w:color w:val="auto"/>
          <w:kern w:val="2"/>
          <w:sz w:val="32"/>
          <w:szCs w:val="32"/>
          <w:highlight w:val="none"/>
          <w:lang w:val="zh-CN" w:eastAsia="zh-CN" w:bidi="ar-SA"/>
        </w:rPr>
      </w:pPr>
      <w:r>
        <w:rPr>
          <w:rFonts w:ascii="Times New Roman" w:eastAsia="仿宋_GB2312"/>
          <w:b/>
          <w:sz w:val="32"/>
          <w:szCs w:val="32"/>
          <w:highlight w:val="none"/>
        </w:rPr>
        <w:t>公务用车购置费支出0.00万元：</w:t>
      </w:r>
      <w:r>
        <w:rPr>
          <w:rFonts w:ascii="Times New Roman" w:eastAsia="仿宋_GB2312"/>
          <w:b w:val="0"/>
          <w:sz w:val="32"/>
          <w:szCs w:val="32"/>
          <w:highlight w:val="none"/>
        </w:rPr>
        <w:t>本单位</w:t>
      </w:r>
      <w:r>
        <w:rPr>
          <w:rFonts w:hint="eastAsia" w:ascii="Times New Roman" w:eastAsia="仿宋_GB2312"/>
          <w:b w:val="0"/>
          <w:sz w:val="32"/>
          <w:szCs w:val="32"/>
          <w:highlight w:val="none"/>
          <w:lang w:val="en-US" w:eastAsia="zh-CN"/>
        </w:rPr>
        <w:t>2</w:t>
      </w:r>
      <w:r>
        <w:rPr>
          <w:rFonts w:hint="default" w:ascii="Times New Roman" w:hAnsi="Times New Roman" w:eastAsia="仿宋_GB2312" w:cs="Times New Roman"/>
          <w:color w:val="auto"/>
          <w:kern w:val="2"/>
          <w:sz w:val="32"/>
          <w:szCs w:val="32"/>
          <w:highlight w:val="none"/>
          <w:lang w:val="zh-CN" w:eastAsia="zh-CN" w:bidi="ar-SA"/>
        </w:rPr>
        <w:t>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年度公务用车购置量0辆，发生“公务用车购置”经费支出0万元。公务用车购置费支出较预算</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w:t>
      </w:r>
      <w:r>
        <w:rPr>
          <w:rFonts w:hint="eastAsia" w:ascii="Times New Roman" w:hAnsi="Times New Roman" w:eastAsia="仿宋_GB2312" w:cs="Times New Roman"/>
          <w:color w:val="auto"/>
          <w:kern w:val="2"/>
          <w:sz w:val="32"/>
          <w:szCs w:val="32"/>
          <w:highlight w:val="none"/>
          <w:lang w:val="en-US" w:eastAsia="zh-CN" w:bidi="ar-SA"/>
        </w:rPr>
        <w:t>无增减变化</w:t>
      </w:r>
      <w:r>
        <w:rPr>
          <w:rFonts w:hint="default" w:ascii="Times New Roman" w:hAnsi="Times New Roman" w:eastAsia="仿宋_GB2312" w:cs="Times New Roman"/>
          <w:color w:val="auto"/>
          <w:kern w:val="2"/>
          <w:sz w:val="32"/>
          <w:szCs w:val="32"/>
          <w:highlight w:val="none"/>
          <w:lang w:val="zh-CN" w:eastAsia="zh-CN" w:bidi="ar-SA"/>
        </w:rPr>
        <w:t>。</w:t>
      </w:r>
    </w:p>
    <w:p>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highlight w:val="none"/>
        </w:rPr>
      </w:pPr>
      <w:r>
        <w:rPr>
          <w:rFonts w:ascii="Times New Roman" w:eastAsia="仿宋_GB2312"/>
          <w:b/>
          <w:sz w:val="32"/>
          <w:szCs w:val="32"/>
          <w:highlight w:val="none"/>
        </w:rPr>
        <w:t>公务用车运行维护费支出0.89万元：</w:t>
      </w:r>
      <w:r>
        <w:rPr>
          <w:rFonts w:ascii="Times New Roman" w:eastAsia="仿宋_GB2312"/>
          <w:b w:val="0"/>
          <w:sz w:val="32"/>
          <w:szCs w:val="32"/>
          <w:highlight w:val="none"/>
        </w:rPr>
        <w:t>本单位2024年度单位公务用车保有量2辆，发生运行维护费支出0.89万元。公车运行维护费支出</w:t>
      </w:r>
      <w:r>
        <w:rPr>
          <w:rFonts w:hint="eastAsia" w:ascii="Times New Roman" w:eastAsia="仿宋_GB2312"/>
          <w:b w:val="0"/>
          <w:sz w:val="32"/>
          <w:szCs w:val="32"/>
          <w:highlight w:val="none"/>
        </w:rPr>
        <w:t>与预算持平；较</w:t>
      </w:r>
      <w:r>
        <w:rPr>
          <w:rFonts w:hint="eastAsia" w:ascii="Times New Roman" w:eastAsia="仿宋_GB2312"/>
          <w:b w:val="0"/>
          <w:sz w:val="32"/>
          <w:szCs w:val="32"/>
          <w:highlight w:val="none"/>
          <w:lang w:eastAsia="zh-CN"/>
        </w:rPr>
        <w:t>上年</w:t>
      </w:r>
      <w:r>
        <w:rPr>
          <w:rFonts w:hint="eastAsia" w:ascii="Times New Roman" w:eastAsia="仿宋_GB2312"/>
          <w:b w:val="0"/>
          <w:sz w:val="32"/>
          <w:szCs w:val="32"/>
          <w:highlight w:val="none"/>
        </w:rPr>
        <w:t>减少0.8万元，降低47.3%，主要原因是</w:t>
      </w:r>
      <w:r>
        <w:rPr>
          <w:rFonts w:hint="eastAsia" w:ascii="Times New Roman" w:eastAsia="仿宋_GB2312"/>
          <w:b w:val="0"/>
          <w:sz w:val="32"/>
          <w:szCs w:val="32"/>
          <w:highlight w:val="none"/>
          <w:lang w:eastAsia="zh-CN"/>
        </w:rPr>
        <w:t>公车使用减少，油费降低</w:t>
      </w:r>
      <w:r>
        <w:rPr>
          <w:rFonts w:hint="eastAsia" w:ascii="Times New Roman" w:eastAsia="仿宋_GB2312"/>
          <w:b w:val="0"/>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ascii="Times New Roman" w:eastAsia="仿宋_GB2312"/>
          <w:sz w:val="32"/>
          <w:szCs w:val="32"/>
          <w:highlight w:val="none"/>
        </w:rPr>
      </w:pPr>
      <w:r>
        <w:rPr>
          <w:rFonts w:ascii="Times New Roman" w:eastAsia="楷体_GB2312"/>
          <w:b/>
          <w:sz w:val="32"/>
          <w:szCs w:val="32"/>
          <w:highlight w:val="none"/>
        </w:rPr>
        <w:t>3.公务接待费支出情况。</w:t>
      </w:r>
      <w:r>
        <w:rPr>
          <w:rFonts w:ascii="Times New Roman" w:eastAsia="仿宋_GB2312"/>
          <w:b w:val="0"/>
          <w:sz w:val="32"/>
          <w:szCs w:val="32"/>
          <w:highlight w:val="none"/>
        </w:rPr>
        <w:t>本单位</w:t>
      </w:r>
      <w:r>
        <w:rPr>
          <w:rFonts w:hint="default" w:ascii="Times New Roman" w:hAnsi="Times New Roman" w:eastAsia="仿宋_GB2312" w:cs="Times New Roman"/>
          <w:color w:val="auto"/>
          <w:kern w:val="2"/>
          <w:sz w:val="32"/>
          <w:szCs w:val="32"/>
          <w:highlight w:val="none"/>
          <w:lang w:val="zh-CN" w:eastAsia="zh-CN" w:bidi="ar-SA"/>
        </w:rPr>
        <w:t>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zh-CN" w:eastAsia="zh-CN" w:bidi="ar-SA"/>
        </w:rPr>
        <w:t>；较上年度</w:t>
      </w:r>
      <w:r>
        <w:rPr>
          <w:rFonts w:hint="eastAsia" w:ascii="Times New Roman" w:hAnsi="Times New Roman" w:eastAsia="仿宋_GB2312" w:cs="Times New Roman"/>
          <w:color w:val="auto"/>
          <w:kern w:val="2"/>
          <w:sz w:val="32"/>
          <w:szCs w:val="32"/>
          <w:highlight w:val="none"/>
          <w:lang w:val="en-US" w:eastAsia="zh-CN" w:bidi="ar-SA"/>
        </w:rPr>
        <w:t>决算持平</w:t>
      </w:r>
      <w:r>
        <w:rPr>
          <w:rFonts w:hint="default" w:ascii="Times New Roman" w:hAnsi="Times New Roman" w:eastAsia="仿宋_GB2312" w:cs="Times New Roman"/>
          <w:color w:val="auto"/>
          <w:kern w:val="2"/>
          <w:sz w:val="32"/>
          <w:szCs w:val="32"/>
          <w:highlight w:val="none"/>
          <w:lang w:val="zh-CN" w:eastAsia="zh-CN" w:bidi="ar-SA"/>
        </w:rPr>
        <w:t>。本年度共发生公务接待</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zh-CN" w:eastAsia="zh-CN" w:bidi="ar-SA"/>
        </w:rPr>
        <w:t>批次、</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zh-CN" w:eastAsia="zh-CN" w:bidi="ar-SA"/>
        </w:rPr>
        <w:t>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本单位2024年度机关运行经费支出51.97万元，较2023年度减少14.06万元，降低21.3%。</w:t>
      </w:r>
      <w:r>
        <w:rPr>
          <w:rFonts w:hint="eastAsia"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办公费、</w:t>
      </w:r>
      <w:r>
        <w:rPr>
          <w:rFonts w:hint="eastAsia" w:ascii="Times New Roman" w:eastAsia="仿宋_GB2312"/>
          <w:b w:val="0"/>
          <w:sz w:val="32"/>
          <w:szCs w:val="32"/>
          <w:highlight w:val="none"/>
        </w:rPr>
        <w:t>印刷费、</w:t>
      </w:r>
      <w:r>
        <w:rPr>
          <w:rFonts w:hint="eastAsia" w:ascii="Times New Roman" w:eastAsia="仿宋_GB2312"/>
          <w:b w:val="0"/>
          <w:sz w:val="32"/>
          <w:szCs w:val="32"/>
          <w:highlight w:val="none"/>
          <w:lang w:val="en-US" w:eastAsia="zh-CN"/>
        </w:rPr>
        <w:t>邮电、委托业务费等费用</w:t>
      </w:r>
      <w:r>
        <w:rPr>
          <w:rFonts w:hint="eastAsia" w:ascii="Times New Roman" w:eastAsia="仿宋_GB2312"/>
          <w:b w:val="0"/>
          <w:sz w:val="32"/>
          <w:szCs w:val="32"/>
          <w:highlight w:val="none"/>
        </w:rPr>
        <w:t>减少</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单位2024年度政府采购支出总额2万元，从采购类型来看，政府采购货物支出1.11万元、政府采购工程支出0万元、政府采购服务支出0.89万元。授予中小企业合同金额1.52万元，占政府采购支出总额的76%，其中授予小微企业合同金额1.52万元，占政府采购支出总额的76%。</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截至2024年12月31日，本单位共有车辆2辆，</w:t>
      </w:r>
      <w:r>
        <w:rPr>
          <w:rFonts w:hint="eastAsia" w:ascii="Times New Roman" w:eastAsia="仿宋_GB2312"/>
          <w:b w:val="0"/>
          <w:sz w:val="32"/>
          <w:szCs w:val="32"/>
          <w:highlight w:val="none"/>
        </w:rPr>
        <w:t>与上年持平。</w:t>
      </w:r>
      <w:r>
        <w:rPr>
          <w:rFonts w:ascii="Times New Roman" w:eastAsia="仿宋_GB2312"/>
          <w:b w:val="0"/>
          <w:sz w:val="32"/>
          <w:szCs w:val="32"/>
          <w:highlight w:val="none"/>
        </w:rPr>
        <w:t>其中，副部（省）级及以上领导用车0辆，主要负责人用车0辆，机要通信用车0辆，应急保障用车1辆，执法执勤用车0辆，特种专业技术用车0辆，离退休干部用车1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（一）绩效评价工作开展情况</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ascii="Times New Roman" w:eastAsia="仿宋_GB2312"/>
          <w:b w:val="0"/>
          <w:sz w:val="32"/>
          <w:szCs w:val="32"/>
          <w:highlight w:val="none"/>
        </w:rPr>
        <w:t>根据预算绩效管理要求，本单位组织对2024年度本级预算项目支出全面开展绩效自评，共涉及资金</w:t>
      </w:r>
      <w:r>
        <w:rPr>
          <w:rFonts w:hint="eastAsia" w:ascii="Times New Roman" w:eastAsia="仿宋_GB2312"/>
          <w:b w:val="0"/>
          <w:sz w:val="32"/>
          <w:szCs w:val="32"/>
          <w:highlight w:val="none"/>
        </w:rPr>
        <w:t>5</w:t>
      </w:r>
      <w:r>
        <w:rPr>
          <w:rFonts w:hint="eastAsia" w:ascii="Times New Roman" w:eastAsia="仿宋_GB2312"/>
          <w:b w:val="0"/>
          <w:sz w:val="32"/>
          <w:szCs w:val="32"/>
          <w:highlight w:val="none"/>
          <w:lang w:val="en-US" w:eastAsia="zh-CN"/>
        </w:rPr>
        <w:t>6.32</w:t>
      </w:r>
      <w:r>
        <w:rPr>
          <w:rFonts w:ascii="Times New Roman" w:eastAsia="仿宋_GB2312"/>
          <w:b w:val="0"/>
          <w:sz w:val="32"/>
          <w:szCs w:val="32"/>
          <w:highlight w:val="none"/>
        </w:rPr>
        <w:t>万元（决算金额）。</w:t>
      </w:r>
      <w:r>
        <w:rPr>
          <w:rFonts w:hint="eastAsia" w:ascii="Times New Roman" w:eastAsia="仿宋_GB2312"/>
          <w:b w:val="0"/>
          <w:sz w:val="32"/>
          <w:szCs w:val="32"/>
          <w:highlight w:val="none"/>
        </w:rPr>
        <w:t>其中，一级项目</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个，二级项目0个，共涉及资金5</w:t>
      </w:r>
      <w:r>
        <w:rPr>
          <w:rFonts w:hint="eastAsia" w:ascii="Times New Roman" w:eastAsia="仿宋_GB2312"/>
          <w:b w:val="0"/>
          <w:sz w:val="32"/>
          <w:szCs w:val="32"/>
          <w:highlight w:val="none"/>
          <w:lang w:val="en-US" w:eastAsia="zh-CN"/>
        </w:rPr>
        <w:t>6.32</w:t>
      </w:r>
      <w:r>
        <w:rPr>
          <w:rFonts w:hint="eastAsia" w:ascii="Times New Roman" w:eastAsia="仿宋_GB2312"/>
          <w:b w:val="0"/>
          <w:sz w:val="32"/>
          <w:szCs w:val="32"/>
          <w:highlight w:val="none"/>
        </w:rPr>
        <w:t>万元，占一般公共预算项目支出总额的100%。本单位无202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年度政府性基金预算项目支出。本单位无202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年度国有资本经营预算项目支出。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ascii="Times New Roman" w:eastAsia="仿宋_GB2312"/>
          <w:b w:val="0"/>
          <w:sz w:val="32"/>
          <w:szCs w:val="32"/>
          <w:highlight w:val="none"/>
        </w:rPr>
        <w:t>组织对</w:t>
      </w:r>
      <w:r>
        <w:rPr>
          <w:rFonts w:hint="eastAsia" w:ascii="Times New Roman" w:eastAsia="仿宋_GB2312"/>
          <w:b w:val="0"/>
          <w:sz w:val="32"/>
          <w:szCs w:val="32"/>
          <w:highlight w:val="none"/>
        </w:rPr>
        <w:t>“离退休特需费”、“企业离休公用经费及老干部专项活动经费”等4个一级项目开展了重点评价，涉及一般公共预算支出5</w:t>
      </w:r>
      <w:r>
        <w:rPr>
          <w:rFonts w:hint="eastAsia" w:ascii="Times New Roman" w:eastAsia="仿宋_GB2312"/>
          <w:b w:val="0"/>
          <w:sz w:val="32"/>
          <w:szCs w:val="32"/>
          <w:highlight w:val="none"/>
          <w:lang w:val="en-US" w:eastAsia="zh-CN"/>
        </w:rPr>
        <w:t>6.32</w:t>
      </w:r>
      <w:r>
        <w:rPr>
          <w:rFonts w:hint="eastAsia" w:ascii="Times New Roman" w:eastAsia="仿宋_GB2312"/>
          <w:b w:val="0"/>
          <w:sz w:val="32"/>
          <w:szCs w:val="32"/>
          <w:highlight w:val="none"/>
        </w:rPr>
        <w:t>万元</w:t>
      </w:r>
      <w:r>
        <w:rPr>
          <w:rFonts w:ascii="Times New Roman" w:eastAsia="仿宋_GB2312"/>
          <w:b w:val="0"/>
          <w:sz w:val="32"/>
          <w:szCs w:val="32"/>
          <w:highlight w:val="none"/>
        </w:rPr>
        <w:t>，政府性基金预算支出</w:t>
      </w:r>
      <w:r>
        <w:rPr>
          <w:rFonts w:hint="eastAsia" w:ascii="Times New Roman" w:eastAsia="仿宋_GB2312"/>
          <w:b w:val="0"/>
          <w:sz w:val="32"/>
          <w:szCs w:val="32"/>
          <w:highlight w:val="none"/>
          <w:lang w:val="en-US" w:eastAsia="zh-CN"/>
        </w:rPr>
        <w:t>0</w:t>
      </w:r>
      <w:r>
        <w:rPr>
          <w:rFonts w:ascii="Times New Roman" w:eastAsia="仿宋_GB2312"/>
          <w:b w:val="0"/>
          <w:sz w:val="32"/>
          <w:szCs w:val="32"/>
          <w:highlight w:val="none"/>
        </w:rPr>
        <w:t>万元，国有资本经营预算支出</w:t>
      </w:r>
      <w:r>
        <w:rPr>
          <w:rFonts w:hint="eastAsia" w:ascii="Times New Roman" w:eastAsia="仿宋_GB2312"/>
          <w:b w:val="0"/>
          <w:sz w:val="32"/>
          <w:szCs w:val="32"/>
          <w:highlight w:val="none"/>
          <w:lang w:val="en-US" w:eastAsia="zh-CN"/>
        </w:rPr>
        <w:t>0</w:t>
      </w:r>
      <w:r>
        <w:rPr>
          <w:rFonts w:ascii="Times New Roman" w:eastAsia="仿宋_GB2312"/>
          <w:b w:val="0"/>
          <w:sz w:val="32"/>
          <w:szCs w:val="32"/>
          <w:highlight w:val="none"/>
        </w:rPr>
        <w:t>万元，</w:t>
      </w:r>
      <w:r>
        <w:rPr>
          <w:rFonts w:hint="eastAsia" w:ascii="Times New Roman" w:eastAsia="仿宋_GB2312"/>
          <w:b w:val="0"/>
          <w:sz w:val="32"/>
          <w:szCs w:val="32"/>
          <w:highlight w:val="none"/>
        </w:rPr>
        <w:t>从评价情况来看，基本完成年初目标。</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（二）部门决算中项目绩效自评结果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ascii="Times New Roman" w:eastAsia="仿宋_GB2312"/>
          <w:b w:val="0"/>
          <w:sz w:val="32"/>
          <w:szCs w:val="32"/>
          <w:highlight w:val="none"/>
        </w:rPr>
        <w:t>本单位</w:t>
      </w:r>
      <w:r>
        <w:rPr>
          <w:rFonts w:hint="eastAsia" w:ascii="Times New Roman" w:eastAsia="仿宋_GB2312"/>
          <w:b w:val="0"/>
          <w:sz w:val="32"/>
          <w:szCs w:val="32"/>
          <w:highlight w:val="none"/>
          <w:lang w:eastAsia="zh-CN"/>
        </w:rPr>
        <w:t>在</w:t>
      </w:r>
      <w:r>
        <w:rPr>
          <w:rFonts w:hint="eastAsia" w:ascii="Times New Roman" w:eastAsia="仿宋_GB2312"/>
          <w:b w:val="0"/>
          <w:sz w:val="32"/>
          <w:szCs w:val="32"/>
          <w:highlight w:val="none"/>
        </w:rPr>
        <w:t>今年部门决算公开中反映202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年离退休特需费项目及202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年企业离休公用经费及老干部专项活动经费项目等</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年离退休特需费项目绩效自评情况：根据年初设定的绩效目标，202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年离退休特需费项目绩效自评得分为98分（绩效自评表附后）。全年预算数为42.</w:t>
      </w:r>
      <w:r>
        <w:rPr>
          <w:rFonts w:hint="eastAsia" w:ascii="Times New Roman" w:eastAsia="仿宋_GB2312"/>
          <w:b w:val="0"/>
          <w:sz w:val="32"/>
          <w:szCs w:val="32"/>
          <w:highlight w:val="none"/>
          <w:lang w:val="en-US" w:eastAsia="zh-CN"/>
        </w:rPr>
        <w:t>9</w:t>
      </w:r>
      <w:r>
        <w:rPr>
          <w:rFonts w:hint="eastAsia" w:ascii="Times New Roman" w:eastAsia="仿宋_GB2312"/>
          <w:b w:val="0"/>
          <w:sz w:val="32"/>
          <w:szCs w:val="32"/>
          <w:highlight w:val="none"/>
        </w:rPr>
        <w:t>万元，执行数为42.</w:t>
      </w:r>
      <w:r>
        <w:rPr>
          <w:rFonts w:hint="eastAsia" w:ascii="Times New Roman" w:eastAsia="仿宋_GB2312"/>
          <w:b w:val="0"/>
          <w:sz w:val="32"/>
          <w:szCs w:val="32"/>
          <w:highlight w:val="none"/>
          <w:lang w:val="en-US" w:eastAsia="zh-CN"/>
        </w:rPr>
        <w:t>9</w:t>
      </w:r>
      <w:r>
        <w:rPr>
          <w:rFonts w:hint="eastAsia" w:ascii="Times New Roman" w:eastAsia="仿宋_GB2312"/>
          <w:b w:val="0"/>
          <w:sz w:val="32"/>
          <w:szCs w:val="32"/>
          <w:highlight w:val="none"/>
        </w:rPr>
        <w:t>万元，完成预算的100%。通过项目实施，完成了年初设定的各项绩效目标，举办老干部春秋两次趣味运动会、书画展、文艺演出等活动，未发现问题。</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4"/>
        <w:gridCol w:w="1154"/>
        <w:gridCol w:w="1185"/>
        <w:gridCol w:w="771"/>
        <w:gridCol w:w="1098"/>
        <w:gridCol w:w="947"/>
        <w:gridCol w:w="1209"/>
        <w:gridCol w:w="16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7"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eastAsia" w:ascii="方正小标宋_GBK" w:hAnsi="方正小标宋_GBK" w:eastAsia="方正小标宋_GBK" w:cs="方正小标宋_GBK"/>
                <w:i w:val="0"/>
                <w:iCs w:val="0"/>
                <w:color w:val="000000"/>
                <w:kern w:val="0"/>
                <w:sz w:val="44"/>
                <w:szCs w:val="44"/>
                <w:highlight w:val="none"/>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675"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1674" w:type="pct"/>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c>
          <w:tcPr>
            <w:tcW w:w="59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51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50"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898"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Style w:val="26"/>
                <w:rFonts w:eastAsia="宋体"/>
                <w:highlight w:val="none"/>
                <w:lang w:val="en-US" w:eastAsia="zh-CN" w:bidi="ar"/>
              </w:rPr>
              <w:t xml:space="preserve"> </w:t>
            </w:r>
            <w:r>
              <w:rPr>
                <w:rStyle w:val="27"/>
                <w:highlight w:val="none"/>
                <w:lang w:val="en-US" w:eastAsia="zh-CN" w:bidi="ar"/>
              </w:rPr>
              <w:t>基本情况</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0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离退休特需费（非专项资金）</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205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12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11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8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6"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w:t>
            </w:r>
            <w:r>
              <w:rPr>
                <w:rStyle w:val="27"/>
                <w:highlight w:val="none"/>
                <w:lang w:val="en-US" w:eastAsia="zh-CN" w:bidi="ar"/>
              </w:rPr>
              <w:t xml:space="preserve">                 财政资金</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w:t>
            </w:r>
            <w:r>
              <w:rPr>
                <w:rStyle w:val="27"/>
                <w:highlight w:val="none"/>
                <w:lang w:val="en-US" w:eastAsia="zh-CN" w:bidi="ar"/>
              </w:rPr>
              <w:t xml:space="preserve">                      财政资金</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w:t>
            </w:r>
            <w:r>
              <w:rPr>
                <w:rStyle w:val="27"/>
                <w:highlight w:val="none"/>
                <w:lang w:val="en-US" w:eastAsia="zh-CN" w:bidi="ar"/>
              </w:rPr>
              <w:t xml:space="preserve">                     财政资金</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20"/>
                <w:szCs w:val="20"/>
                <w:highlight w:val="none"/>
                <w:u w:val="none"/>
                <w:lang w:val="en-US"/>
              </w:rPr>
            </w:pPr>
            <w:r>
              <w:rPr>
                <w:rFonts w:hint="eastAsia" w:ascii="宋体" w:hAnsi="宋体" w:eastAsia="宋体" w:cs="宋体"/>
                <w:i w:val="0"/>
                <w:iCs w:val="0"/>
                <w:color w:val="000000"/>
                <w:kern w:val="0"/>
                <w:sz w:val="20"/>
                <w:szCs w:val="20"/>
                <w:highlight w:val="none"/>
                <w:u w:val="none"/>
                <w:lang w:val="en-US" w:eastAsia="zh-CN" w:bidi="ar"/>
              </w:rPr>
              <w:t>42.8980</w:t>
            </w: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highlight w:val="none"/>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167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安排照顾离退休干部晚年生活，解决离退休干部特殊困难补助及思想政治建设、党支部建设、各类文体活动的经费开支。</w:t>
            </w:r>
          </w:p>
        </w:tc>
        <w:tc>
          <w:tcPr>
            <w:tcW w:w="175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举办老干部春秋两次趣味运动会、书画展、文艺演出等活动</w:t>
            </w:r>
          </w:p>
        </w:tc>
        <w:tc>
          <w:tcPr>
            <w:tcW w:w="8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 w:hRule="atLeast"/>
        </w:trPr>
        <w:tc>
          <w:tcPr>
            <w:tcW w:w="675"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74" w:type="pct"/>
            <w:gridSpan w:val="3"/>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52" w:type="pct"/>
            <w:gridSpan w:val="3"/>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898"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restart"/>
            <w:tcBorders>
              <w:top w:val="single" w:color="auto"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Style w:val="26"/>
                <w:rFonts w:eastAsia="宋体"/>
                <w:highlight w:val="none"/>
                <w:lang w:val="en-US" w:eastAsia="zh-CN" w:bidi="ar"/>
              </w:rPr>
              <w:t xml:space="preserve"> </w:t>
            </w:r>
            <w:r>
              <w:rPr>
                <w:rStyle w:val="27"/>
                <w:highlight w:val="none"/>
                <w:lang w:val="en-US" w:eastAsia="zh-CN" w:bidi="ar"/>
              </w:rPr>
              <w:t>年度绩效指标完成情况</w:t>
            </w:r>
          </w:p>
        </w:tc>
        <w:tc>
          <w:tcPr>
            <w:tcW w:w="621" w:type="pc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637" w:type="pc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006" w:type="pct"/>
            <w:gridSpan w:val="2"/>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510"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650"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898" w:type="pct"/>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restart"/>
            <w:tcBorders>
              <w:top w:val="single" w:color="auto" w:sz="4" w:space="0"/>
              <w:left w:val="single" w:color="auto"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637" w:type="pct"/>
            <w:tcBorders>
              <w:top w:val="single" w:color="auto"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006"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参加活动人数</w:t>
            </w:r>
          </w:p>
        </w:tc>
        <w:tc>
          <w:tcPr>
            <w:tcW w:w="510"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≥2000人</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≥2000人</w:t>
            </w:r>
          </w:p>
        </w:tc>
        <w:tc>
          <w:tcPr>
            <w:tcW w:w="898" w:type="pct"/>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7"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质量指标</w:t>
            </w:r>
          </w:p>
        </w:tc>
        <w:tc>
          <w:tcPr>
            <w:tcW w:w="1006"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参加活动覆盖率</w:t>
            </w:r>
          </w:p>
        </w:tc>
        <w:tc>
          <w:tcPr>
            <w:tcW w:w="510" w:type="pct"/>
            <w:tcBorders>
              <w:top w:val="single" w:color="000000"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≥70%</w:t>
            </w:r>
          </w:p>
        </w:tc>
        <w:tc>
          <w:tcPr>
            <w:tcW w:w="650" w:type="pct"/>
            <w:tcBorders>
              <w:top w:val="nil"/>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rPr>
            </w:pPr>
            <w:r>
              <w:rPr>
                <w:rFonts w:hint="eastAsia" w:asciiTheme="minorEastAsia" w:hAnsiTheme="minorEastAsia" w:eastAsiaTheme="minorEastAsia" w:cstheme="minorEastAsia"/>
                <w:i w:val="0"/>
                <w:iCs w:val="0"/>
                <w:color w:val="000000"/>
                <w:kern w:val="0"/>
                <w:sz w:val="21"/>
                <w:szCs w:val="21"/>
                <w:highlight w:val="none"/>
                <w:u w:val="none"/>
                <w:lang w:val="en-US" w:eastAsia="zh-CN" w:bidi="ar"/>
              </w:rPr>
              <w:t>≥70%</w:t>
            </w:r>
          </w:p>
        </w:tc>
        <w:tc>
          <w:tcPr>
            <w:tcW w:w="898" w:type="pct"/>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6" w:hRule="atLeast"/>
        </w:trPr>
        <w:tc>
          <w:tcPr>
            <w:tcW w:w="675" w:type="pct"/>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continue"/>
            <w:tcBorders>
              <w:top w:val="single" w:color="auto"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7"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时效指标</w:t>
            </w:r>
          </w:p>
        </w:tc>
        <w:tc>
          <w:tcPr>
            <w:tcW w:w="1006"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举办活动时间</w:t>
            </w:r>
          </w:p>
        </w:tc>
        <w:tc>
          <w:tcPr>
            <w:tcW w:w="510" w:type="pct"/>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春节、重阳节、中秋节等重大节日</w:t>
            </w:r>
          </w:p>
        </w:tc>
        <w:tc>
          <w:tcPr>
            <w:tcW w:w="650"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均按时完成</w:t>
            </w:r>
          </w:p>
        </w:tc>
        <w:tc>
          <w:tcPr>
            <w:tcW w:w="898"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7"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成本指标</w:t>
            </w:r>
          </w:p>
        </w:tc>
        <w:tc>
          <w:tcPr>
            <w:tcW w:w="1006"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参加活动人均费用</w:t>
            </w:r>
          </w:p>
        </w:tc>
        <w:tc>
          <w:tcPr>
            <w:tcW w:w="510"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r>
              <w:rPr>
                <w:rStyle w:val="28"/>
                <w:rFonts w:hint="eastAsia" w:asciiTheme="minorEastAsia" w:hAnsiTheme="minorEastAsia" w:eastAsiaTheme="minorEastAsia" w:cstheme="minorEastAsia"/>
                <w:highlight w:val="none"/>
                <w:lang w:val="en-US" w:eastAsia="zh-CN" w:bidi="ar"/>
              </w:rPr>
              <w:t>元</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r>
              <w:rPr>
                <w:rFonts w:hint="eastAsia" w:asciiTheme="minorEastAsia" w:hAnsiTheme="minorEastAsia" w:cstheme="minorEastAsia"/>
                <w:i w:val="0"/>
                <w:iCs w:val="0"/>
                <w:color w:val="000000"/>
                <w:kern w:val="0"/>
                <w:sz w:val="20"/>
                <w:szCs w:val="20"/>
                <w:highlight w:val="none"/>
                <w:u w:val="none"/>
                <w:lang w:val="en-US" w:eastAsia="zh-CN" w:bidi="ar"/>
              </w:rPr>
              <w:t>7.25</w:t>
            </w:r>
            <w:r>
              <w:rPr>
                <w:rStyle w:val="28"/>
                <w:rFonts w:hint="eastAsia" w:asciiTheme="minorEastAsia" w:hAnsiTheme="minorEastAsia" w:eastAsiaTheme="minorEastAsia" w:cstheme="minorEastAsia"/>
                <w:highlight w:val="none"/>
                <w:lang w:val="en-US" w:eastAsia="zh-CN" w:bidi="ar"/>
              </w:rPr>
              <w:t>元</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Style w:val="27"/>
                <w:highlight w:val="none"/>
                <w:lang w:val="en-US" w:eastAsia="zh-CN" w:bidi="ar"/>
              </w:rPr>
              <w:br w:type="textWrapping"/>
            </w:r>
            <w:r>
              <w:rPr>
                <w:rStyle w:val="27"/>
                <w:highlight w:val="none"/>
                <w:lang w:val="en-US" w:eastAsia="zh-CN" w:bidi="ar"/>
              </w:rPr>
              <w:t>（10分）</w:t>
            </w:r>
          </w:p>
        </w:tc>
        <w:tc>
          <w:tcPr>
            <w:tcW w:w="637" w:type="pct"/>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预算执行率</w:t>
            </w:r>
          </w:p>
        </w:tc>
        <w:tc>
          <w:tcPr>
            <w:tcW w:w="1006"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资金到位情况</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8"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63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社会效益指标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离退休干部生活质量提高</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生活质量稳步提高</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生活质量稳步提高</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可持续影响指标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增强影响力</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2000</w:t>
            </w:r>
            <w:r>
              <w:rPr>
                <w:rStyle w:val="28"/>
                <w:rFonts w:hint="eastAsia" w:asciiTheme="minorEastAsia" w:hAnsiTheme="minorEastAsia" w:eastAsiaTheme="minorEastAsia" w:cstheme="minorEastAsia"/>
                <w:highlight w:val="none"/>
                <w:lang w:val="en-US" w:eastAsia="zh-CN" w:bidi="ar"/>
              </w:rPr>
              <w:t>人</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2000</w:t>
            </w:r>
            <w:r>
              <w:rPr>
                <w:rStyle w:val="28"/>
                <w:rFonts w:hint="eastAsia" w:asciiTheme="minorEastAsia" w:hAnsiTheme="minorEastAsia" w:eastAsiaTheme="minorEastAsia" w:cstheme="minorEastAsia"/>
                <w:highlight w:val="none"/>
                <w:lang w:val="en-US" w:eastAsia="zh-CN" w:bidi="ar"/>
              </w:rPr>
              <w:t>人</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Style w:val="27"/>
                <w:highlight w:val="none"/>
                <w:lang w:val="en-US" w:eastAsia="zh-CN" w:bidi="ar"/>
              </w:rPr>
              <w:br w:type="textWrapping"/>
            </w:r>
            <w:r>
              <w:rPr>
                <w:rStyle w:val="27"/>
                <w:highlight w:val="none"/>
                <w:lang w:val="en-US" w:eastAsia="zh-CN" w:bidi="ar"/>
              </w:rPr>
              <w:t>（10分）</w:t>
            </w:r>
          </w:p>
        </w:tc>
        <w:tc>
          <w:tcPr>
            <w:tcW w:w="63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满意度指标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受助对象满意度</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≥90%</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95%</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342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总分</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5" w:hRule="atLeast"/>
        </w:trPr>
        <w:tc>
          <w:tcPr>
            <w:tcW w:w="675"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Style w:val="26"/>
                <w:rFonts w:eastAsia="宋体"/>
                <w:highlight w:val="none"/>
                <w:lang w:val="en-US" w:eastAsia="zh-CN" w:bidi="ar"/>
              </w:rPr>
              <w:t xml:space="preserve"> </w:t>
            </w:r>
            <w:r>
              <w:rPr>
                <w:rStyle w:val="27"/>
                <w:highlight w:val="none"/>
                <w:lang w:val="en-US" w:eastAsia="zh-CN" w:bidi="ar"/>
              </w:rPr>
              <w:t>存在问题、原因及下一步整改措施</w:t>
            </w:r>
          </w:p>
        </w:tc>
        <w:tc>
          <w:tcPr>
            <w:tcW w:w="432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bl>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firstLine="640" w:firstLineChars="200"/>
        <w:jc w:val="left"/>
        <w:textAlignment w:val="auto"/>
        <w:rPr>
          <w:rFonts w:hint="eastAsia" w:ascii="Times New Roman" w:eastAsia="仿宋_GB2312"/>
          <w:b w:val="0"/>
          <w:sz w:val="32"/>
          <w:szCs w:val="32"/>
          <w:highlight w:val="none"/>
        </w:rPr>
      </w:pPr>
      <w:r>
        <w:rPr>
          <w:rFonts w:hint="default" w:ascii="Times New Roman" w:hAnsi="Times New Roman" w:eastAsia="仿宋_GB2312" w:cs="Times New Roman"/>
          <w:color w:val="auto"/>
          <w:kern w:val="2"/>
          <w:sz w:val="32"/>
          <w:szCs w:val="32"/>
          <w:highlight w:val="none"/>
          <w:lang w:val="zh-CN" w:eastAsia="zh-CN" w:bidi="ar-SA"/>
        </w:rPr>
        <w:t>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年企业离休公用经费及老干部专项活动经费项目绩效自评情况</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根据年初设定的绩效目标，202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年企业离休公用经费及老干部专项活动经费项目绩效自评得分为</w:t>
      </w:r>
      <w:r>
        <w:rPr>
          <w:rFonts w:hint="eastAsia" w:ascii="Times New Roman" w:hAnsi="Times New Roman" w:eastAsia="仿宋_GB2312" w:cs="Times New Roman"/>
          <w:color w:val="auto"/>
          <w:kern w:val="2"/>
          <w:sz w:val="32"/>
          <w:szCs w:val="32"/>
          <w:highlight w:val="none"/>
          <w:lang w:val="en-US" w:eastAsia="zh-CN" w:bidi="ar-SA"/>
        </w:rPr>
        <w:t>98</w:t>
      </w:r>
      <w:r>
        <w:rPr>
          <w:rFonts w:hint="default" w:ascii="Times New Roman" w:hAnsi="Times New Roman" w:eastAsia="仿宋_GB2312" w:cs="Times New Roman"/>
          <w:color w:val="auto"/>
          <w:kern w:val="2"/>
          <w:sz w:val="32"/>
          <w:szCs w:val="32"/>
          <w:highlight w:val="none"/>
          <w:lang w:val="zh-CN" w:eastAsia="zh-CN" w:bidi="ar-SA"/>
        </w:rPr>
        <w:t>分（绩效自评表附后）。全年预算数为</w:t>
      </w:r>
      <w:r>
        <w:rPr>
          <w:rFonts w:hint="eastAsia" w:ascii="Times New Roman" w:hAnsi="Times New Roman" w:eastAsia="仿宋_GB2312" w:cs="Times New Roman"/>
          <w:color w:val="auto"/>
          <w:kern w:val="2"/>
          <w:sz w:val="32"/>
          <w:szCs w:val="32"/>
          <w:highlight w:val="none"/>
          <w:lang w:val="en-US" w:eastAsia="zh-CN" w:bidi="ar-SA"/>
        </w:rPr>
        <w:t>3.82</w:t>
      </w:r>
      <w:r>
        <w:rPr>
          <w:rFonts w:hint="default" w:ascii="Times New Roman" w:hAnsi="Times New Roman" w:eastAsia="仿宋_GB2312" w:cs="Times New Roman"/>
          <w:color w:val="auto"/>
          <w:kern w:val="2"/>
          <w:sz w:val="32"/>
          <w:szCs w:val="32"/>
          <w:highlight w:val="none"/>
          <w:lang w:val="zh-CN" w:eastAsia="zh-CN" w:bidi="ar-SA"/>
        </w:rPr>
        <w:t>万元，执行数为</w:t>
      </w:r>
      <w:r>
        <w:rPr>
          <w:rFonts w:hint="eastAsia" w:ascii="Times New Roman" w:hAnsi="Times New Roman" w:eastAsia="仿宋_GB2312" w:cs="Times New Roman"/>
          <w:color w:val="auto"/>
          <w:kern w:val="2"/>
          <w:sz w:val="32"/>
          <w:szCs w:val="32"/>
          <w:highlight w:val="none"/>
          <w:lang w:val="en-US" w:eastAsia="zh-CN" w:bidi="ar-SA"/>
        </w:rPr>
        <w:t>3.82</w:t>
      </w:r>
      <w:r>
        <w:rPr>
          <w:rFonts w:hint="default" w:ascii="Times New Roman" w:hAnsi="Times New Roman" w:eastAsia="仿宋_GB2312" w:cs="Times New Roman"/>
          <w:color w:val="auto"/>
          <w:kern w:val="2"/>
          <w:sz w:val="32"/>
          <w:szCs w:val="32"/>
          <w:highlight w:val="none"/>
          <w:lang w:val="zh-CN" w:eastAsia="zh-CN" w:bidi="ar-SA"/>
        </w:rPr>
        <w:t>万元，完成预算的</w:t>
      </w:r>
      <w:r>
        <w:rPr>
          <w:rFonts w:hint="eastAsia" w:ascii="Times New Roman" w:hAnsi="Times New Roman" w:eastAsia="仿宋_GB2312" w:cs="Times New Roman"/>
          <w:color w:val="auto"/>
          <w:kern w:val="2"/>
          <w:sz w:val="32"/>
          <w:szCs w:val="32"/>
          <w:highlight w:val="none"/>
          <w:lang w:val="en-US" w:eastAsia="zh-CN" w:bidi="ar-SA"/>
        </w:rPr>
        <w:t>100</w:t>
      </w:r>
      <w:r>
        <w:rPr>
          <w:rFonts w:hint="default" w:ascii="Times New Roman" w:hAnsi="Times New Roman" w:eastAsia="仿宋_GB2312" w:cs="Times New Roman"/>
          <w:color w:val="auto"/>
          <w:kern w:val="2"/>
          <w:sz w:val="32"/>
          <w:szCs w:val="32"/>
          <w:highlight w:val="none"/>
          <w:lang w:val="zh-CN" w:eastAsia="zh-CN" w:bidi="ar-SA"/>
        </w:rPr>
        <w:t>%。</w:t>
      </w:r>
      <w:r>
        <w:rPr>
          <w:rFonts w:hint="eastAsia" w:ascii="仿宋_GB2312" w:hAnsi="仿宋_GB2312" w:eastAsia="仿宋_GB2312" w:cs="仿宋_GB2312"/>
          <w:sz w:val="32"/>
          <w:szCs w:val="32"/>
          <w:highlight w:val="none"/>
        </w:rPr>
        <w:t>项目绩效目标完成情况：中秋节春节期间慰问企业离休干部和副处以上离退休干部共2次，组织召开处级老干部情况通报及座谈会1次。发现的主要问题及原因：慰问人数动态掌握不及时，导致实际慰问人数与预算人数不符</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下一步改进措施：建立动态管理台账，及时掌握人数变化。</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768"/>
        <w:gridCol w:w="1168"/>
        <w:gridCol w:w="1172"/>
        <w:gridCol w:w="1170"/>
        <w:gridCol w:w="832"/>
        <w:gridCol w:w="1155"/>
        <w:gridCol w:w="993"/>
        <w:gridCol w:w="10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eastAsia" w:ascii="方正小标宋_GBK" w:hAnsi="方正小标宋_GBK" w:eastAsia="方正小标宋_GBK" w:cs="方正小标宋_GBK"/>
                <w:i w:val="0"/>
                <w:iCs w:val="0"/>
                <w:color w:val="000000"/>
                <w:kern w:val="0"/>
                <w:sz w:val="44"/>
                <w:szCs w:val="44"/>
                <w:highlight w:val="none"/>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52"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1890" w:type="pct"/>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c>
          <w:tcPr>
            <w:tcW w:w="44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22"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1086" w:type="pct"/>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95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2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企业离休公用经费及老干部专项活动经费（非专项资金）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170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12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11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5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3.8205</w:t>
            </w: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highlight w:val="none"/>
                <w:u w:val="none"/>
              </w:rPr>
            </w:pP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189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160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89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体现区委、区政府对老干部的关爱，每年中秋节春节期间慰问企业离休干部和副处以上离退休干部，组织召开处级老干部情况通报及座谈会。</w:t>
            </w:r>
          </w:p>
        </w:tc>
        <w:tc>
          <w:tcPr>
            <w:tcW w:w="160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中秋节春节期间慰问企业离休干部和副处以上离退休干部共2次，组织召开处级老干部情况通报及座谈会1次。</w:t>
            </w:r>
          </w:p>
        </w:tc>
        <w:tc>
          <w:tcPr>
            <w:tcW w:w="5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89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0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89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0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62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630"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restart"/>
            <w:tcBorders>
              <w:top w:val="single" w:color="auto" w:sz="4" w:space="0"/>
              <w:left w:val="single" w:color="auto"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630" w:type="pct"/>
            <w:tcBorders>
              <w:top w:val="single" w:color="auto" w:sz="4" w:space="0"/>
              <w:left w:val="single" w:color="000000" w:sz="4" w:space="0"/>
              <w:bottom w:val="nil"/>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数量指标</w:t>
            </w:r>
          </w:p>
        </w:tc>
        <w:tc>
          <w:tcPr>
            <w:tcW w:w="1078" w:type="pct"/>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慰问离退休干部人数</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54人</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56人</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continue"/>
            <w:tcBorders>
              <w:top w:val="single" w:color="000000"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0" w:type="pct"/>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质量指标</w:t>
            </w:r>
          </w:p>
        </w:tc>
        <w:tc>
          <w:tcPr>
            <w:tcW w:w="1078" w:type="pct"/>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慰问离退休干部覆盖率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0" w:type="pct"/>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时效指标</w:t>
            </w:r>
          </w:p>
        </w:tc>
        <w:tc>
          <w:tcPr>
            <w:tcW w:w="1078" w:type="pct"/>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慰问离退休干部及时性</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中秋节、春节</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均按时完成</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continue"/>
            <w:tcBorders>
              <w:top w:val="single" w:color="auto"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0"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成本指标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慰问标准</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2次</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2次</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630"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预算执行率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资金到位情况</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630"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社会效益指标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社会效益指标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54人</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56</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人</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30"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可持续影响指标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增强影响力</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≥4次</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≥4次</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29"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630"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满意度指标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服务对象满意度指标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349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总分</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52"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404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统计数据不准确，导致实际慰问人数与预算人数不符，下一步建立动态管理台账，准确掌握人数变化。</w:t>
            </w:r>
          </w:p>
        </w:tc>
      </w:tr>
    </w:tbl>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年特困离退休干部帮扶资金项目绩效自评情况：</w:t>
      </w:r>
      <w:r>
        <w:rPr>
          <w:rFonts w:hint="default" w:ascii="Times New Roman" w:hAnsi="Times New Roman" w:eastAsia="仿宋_GB2312" w:cs="Times New Roman"/>
          <w:color w:val="auto"/>
          <w:kern w:val="2"/>
          <w:sz w:val="32"/>
          <w:szCs w:val="32"/>
          <w:highlight w:val="none"/>
          <w:lang w:val="zh-CN" w:eastAsia="zh-CN" w:bidi="ar-SA"/>
        </w:rPr>
        <w:t>根据年初设定的绩效目标，202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年特困离退休干部帮扶资金项目绩效自评得分为</w:t>
      </w:r>
      <w:r>
        <w:rPr>
          <w:rFonts w:hint="eastAsia" w:ascii="Times New Roman" w:hAnsi="Times New Roman" w:eastAsia="仿宋_GB2312" w:cs="Times New Roman"/>
          <w:color w:val="auto"/>
          <w:kern w:val="2"/>
          <w:sz w:val="32"/>
          <w:szCs w:val="32"/>
          <w:highlight w:val="none"/>
          <w:lang w:val="en-US" w:eastAsia="zh-CN" w:bidi="ar-SA"/>
        </w:rPr>
        <w:t>97</w:t>
      </w:r>
      <w:r>
        <w:rPr>
          <w:rFonts w:hint="default" w:ascii="Times New Roman" w:hAnsi="Times New Roman" w:eastAsia="仿宋_GB2312" w:cs="Times New Roman"/>
          <w:color w:val="auto"/>
          <w:kern w:val="2"/>
          <w:sz w:val="32"/>
          <w:szCs w:val="32"/>
          <w:highlight w:val="none"/>
          <w:lang w:val="zh-CN" w:eastAsia="zh-CN" w:bidi="ar-SA"/>
        </w:rPr>
        <w:t>分（绩效自评表附后）。全年预算数为</w:t>
      </w:r>
      <w:r>
        <w:rPr>
          <w:rFonts w:hint="eastAsia" w:ascii="Times New Roman" w:hAnsi="Times New Roman" w:eastAsia="仿宋_GB2312" w:cs="Times New Roman"/>
          <w:color w:val="auto"/>
          <w:kern w:val="2"/>
          <w:sz w:val="32"/>
          <w:szCs w:val="32"/>
          <w:highlight w:val="none"/>
          <w:lang w:val="en-US" w:eastAsia="zh-CN" w:bidi="ar-SA"/>
        </w:rPr>
        <w:t>5</w:t>
      </w:r>
      <w:r>
        <w:rPr>
          <w:rFonts w:hint="default" w:ascii="Times New Roman" w:hAnsi="Times New Roman" w:eastAsia="仿宋_GB2312" w:cs="Times New Roman"/>
          <w:color w:val="auto"/>
          <w:kern w:val="2"/>
          <w:sz w:val="32"/>
          <w:szCs w:val="32"/>
          <w:highlight w:val="none"/>
          <w:lang w:val="zh-CN" w:eastAsia="zh-CN" w:bidi="ar-SA"/>
        </w:rPr>
        <w:t>万元，执行数为</w:t>
      </w:r>
      <w:r>
        <w:rPr>
          <w:rFonts w:hint="eastAsia" w:ascii="Times New Roman" w:hAnsi="Times New Roman" w:eastAsia="仿宋_GB2312" w:cs="Times New Roman"/>
          <w:color w:val="auto"/>
          <w:kern w:val="2"/>
          <w:sz w:val="32"/>
          <w:szCs w:val="32"/>
          <w:highlight w:val="none"/>
          <w:lang w:val="en-US" w:eastAsia="zh-CN" w:bidi="ar-SA"/>
        </w:rPr>
        <w:t>5</w:t>
      </w:r>
      <w:r>
        <w:rPr>
          <w:rFonts w:hint="default" w:ascii="Times New Roman" w:hAnsi="Times New Roman" w:eastAsia="仿宋_GB2312" w:cs="Times New Roman"/>
          <w:color w:val="auto"/>
          <w:kern w:val="2"/>
          <w:sz w:val="32"/>
          <w:szCs w:val="32"/>
          <w:highlight w:val="none"/>
          <w:lang w:val="zh-CN" w:eastAsia="zh-CN" w:bidi="ar-SA"/>
        </w:rPr>
        <w:t>万元，完成预算的</w:t>
      </w:r>
      <w:r>
        <w:rPr>
          <w:rFonts w:hint="eastAsia" w:ascii="Times New Roman" w:hAnsi="Times New Roman" w:eastAsia="仿宋_GB2312" w:cs="Times New Roman"/>
          <w:color w:val="auto"/>
          <w:kern w:val="2"/>
          <w:sz w:val="32"/>
          <w:szCs w:val="32"/>
          <w:highlight w:val="none"/>
          <w:lang w:val="en-US" w:eastAsia="zh-CN" w:bidi="ar-SA"/>
        </w:rPr>
        <w:t>100</w:t>
      </w:r>
      <w:r>
        <w:rPr>
          <w:rFonts w:hint="default" w:ascii="Times New Roman" w:hAnsi="Times New Roman" w:eastAsia="仿宋_GB2312" w:cs="Times New Roman"/>
          <w:color w:val="auto"/>
          <w:kern w:val="2"/>
          <w:sz w:val="32"/>
          <w:szCs w:val="32"/>
          <w:highlight w:val="none"/>
          <w:lang w:val="zh-CN" w:eastAsia="zh-CN" w:bidi="ar-SA"/>
        </w:rPr>
        <w:t>%。项目绩效目标完成情况：为10名离退休干部发放困难补助</w:t>
      </w:r>
      <w:r>
        <w:rPr>
          <w:rFonts w:hint="eastAsia" w:ascii="Times New Roman" w:hAnsi="Times New Roman" w:eastAsia="仿宋_GB2312" w:cs="Times New Roman"/>
          <w:color w:val="auto"/>
          <w:kern w:val="2"/>
          <w:sz w:val="32"/>
          <w:szCs w:val="32"/>
          <w:highlight w:val="none"/>
          <w:lang w:val="zh-CN" w:eastAsia="zh-CN" w:bidi="ar-SA"/>
        </w:rPr>
        <w:t>。发现的主要问题及原因：2024年10月实际申请特困离退休干部帮扶的人数为10人，小于去年16人，数量指标设置不合理。今后在申请项目时，应合理设置数量指标。</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9"/>
        <w:gridCol w:w="1172"/>
        <w:gridCol w:w="922"/>
        <w:gridCol w:w="1123"/>
        <w:gridCol w:w="1119"/>
        <w:gridCol w:w="958"/>
        <w:gridCol w:w="949"/>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eastAsia" w:ascii="方正小标宋_GBK" w:hAnsi="方正小标宋_GBK" w:eastAsia="方正小标宋_GBK" w:cs="方正小标宋_GBK"/>
                <w:i w:val="0"/>
                <w:iCs w:val="0"/>
                <w:color w:val="000000"/>
                <w:kern w:val="0"/>
                <w:sz w:val="44"/>
                <w:szCs w:val="44"/>
                <w:highlight w:val="none"/>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82" w:type="pct"/>
            <w:tcBorders>
              <w:top w:val="nil"/>
              <w:left w:val="nil"/>
              <w:bottom w:val="single" w:color="auto" w:sz="4" w:space="0"/>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1770" w:type="pct"/>
            <w:gridSpan w:val="3"/>
            <w:tcBorders>
              <w:top w:val="nil"/>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c>
          <w:tcPr>
            <w:tcW w:w="61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528"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521"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781"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82" w:type="pc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644" w:type="pc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125"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特困离退休干部帮扶资金（非专项资金）</w:t>
            </w:r>
          </w:p>
        </w:tc>
        <w:tc>
          <w:tcPr>
            <w:tcW w:w="615"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183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11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2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highlight w:val="none"/>
                <w:u w:val="none"/>
              </w:rPr>
            </w:pP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177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166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帮助特困离退休干部及遗属解决生活方面实际困难</w:t>
            </w:r>
          </w:p>
        </w:tc>
        <w:tc>
          <w:tcPr>
            <w:tcW w:w="16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为10名离退休干部发放困难补助</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82" w:type="pct"/>
            <w:vMerge w:val="restart"/>
            <w:tcBorders>
              <w:top w:val="single" w:color="auto"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644"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508"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232"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50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特困离退休发放补助人数</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16人</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特困离退休补助发放覆盖率</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对特困离退休困难补助发放时间</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r>
              <w:rPr>
                <w:rFonts w:hint="eastAsia" w:ascii="宋体" w:hAnsi="宋体" w:eastAsia="宋体" w:cs="宋体"/>
                <w:i w:val="0"/>
                <w:iCs w:val="0"/>
                <w:color w:val="000000"/>
                <w:kern w:val="0"/>
                <w:sz w:val="16"/>
                <w:szCs w:val="16"/>
                <w:highlight w:val="none"/>
                <w:u w:val="none"/>
                <w:lang w:val="en-US" w:eastAsia="zh-CN" w:bidi="ar"/>
              </w:rPr>
              <w:t>季度</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4季度</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82" w:type="pct"/>
            <w:vMerge w:val="continue"/>
            <w:tcBorders>
              <w:top w:val="single" w:color="000000" w:sz="4" w:space="0"/>
              <w:left w:val="single" w:color="auto"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08"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1232"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帮扶离退休干部人均发放金额</w:t>
            </w:r>
          </w:p>
        </w:tc>
        <w:tc>
          <w:tcPr>
            <w:tcW w:w="528" w:type="pct"/>
            <w:tcBorders>
              <w:top w:val="single" w:color="000000"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3125</w:t>
            </w:r>
            <w:r>
              <w:rPr>
                <w:rFonts w:hint="eastAsia" w:ascii="宋体" w:hAnsi="宋体" w:eastAsia="宋体" w:cs="宋体"/>
                <w:i w:val="0"/>
                <w:iCs w:val="0"/>
                <w:color w:val="000000"/>
                <w:kern w:val="0"/>
                <w:sz w:val="16"/>
                <w:szCs w:val="16"/>
                <w:highlight w:val="none"/>
                <w:u w:val="none"/>
                <w:lang w:val="en-US" w:eastAsia="zh-CN" w:bidi="ar"/>
              </w:rPr>
              <w:t>元</w:t>
            </w:r>
          </w:p>
        </w:tc>
        <w:tc>
          <w:tcPr>
            <w:tcW w:w="52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5000</w:t>
            </w:r>
            <w:r>
              <w:rPr>
                <w:rFonts w:hint="eastAsia" w:ascii="宋体" w:hAnsi="宋体" w:eastAsia="宋体" w:cs="宋体"/>
                <w:i w:val="0"/>
                <w:iCs w:val="0"/>
                <w:color w:val="000000"/>
                <w:kern w:val="0"/>
                <w:sz w:val="16"/>
                <w:szCs w:val="16"/>
                <w:highlight w:val="none"/>
                <w:u w:val="none"/>
                <w:lang w:val="en-US" w:eastAsia="zh-CN" w:bidi="ar"/>
              </w:rPr>
              <w:t>元</w:t>
            </w:r>
          </w:p>
        </w:tc>
        <w:tc>
          <w:tcPr>
            <w:tcW w:w="78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782" w:type="pct"/>
            <w:vMerge w:val="continue"/>
            <w:tcBorders>
              <w:top w:val="single" w:color="auto" w:sz="4" w:space="0"/>
              <w:left w:val="single" w:color="auto"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508" w:type="pct"/>
            <w:tcBorders>
              <w:top w:val="single" w:color="auto" w:sz="4" w:space="0"/>
              <w:left w:val="nil"/>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23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528" w:type="pc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21" w:type="pc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81" w:type="pct"/>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82" w:type="pct"/>
            <w:vMerge w:val="continue"/>
            <w:tcBorders>
              <w:top w:val="single" w:color="auto" w:sz="4" w:space="0"/>
              <w:left w:val="single" w:color="auto"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508" w:type="pct"/>
            <w:tcBorders>
              <w:top w:val="single" w:color="auto" w:sz="4" w:space="0"/>
              <w:left w:val="nil"/>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123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为特困离退休老干部提供关心</w:t>
            </w:r>
          </w:p>
        </w:tc>
        <w:tc>
          <w:tcPr>
            <w:tcW w:w="528" w:type="pct"/>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生活水平提高</w:t>
            </w:r>
          </w:p>
        </w:tc>
        <w:tc>
          <w:tcPr>
            <w:tcW w:w="52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生活水平提高</w:t>
            </w:r>
          </w:p>
        </w:tc>
        <w:tc>
          <w:tcPr>
            <w:tcW w:w="78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82" w:type="pct"/>
            <w:vMerge w:val="continue"/>
            <w:tcBorders>
              <w:top w:val="single" w:color="auto"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vMerge w:val="continue"/>
            <w:tcBorders>
              <w:top w:val="single" w:color="auto"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08" w:type="pct"/>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可持续影响指标</w:t>
            </w:r>
          </w:p>
        </w:tc>
        <w:tc>
          <w:tcPr>
            <w:tcW w:w="1232"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增强影响力</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关心关爱老干部</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关心关爱老干部</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508"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12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帮扶离退休干部满意率</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82" w:type="pct"/>
            <w:vMerge w:val="continue"/>
            <w:tcBorders>
              <w:top w:val="single" w:color="000000" w:sz="4" w:space="0"/>
              <w:left w:val="single" w:color="auto"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3436" w:type="pct"/>
            <w:gridSpan w:val="6"/>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78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782" w:type="pc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4217" w:type="pct"/>
            <w:gridSpan w:val="7"/>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2024年10月实际申请特困离退休干部帮扶的人数为10人，小于去年16人，数量指标设置不合理。今后在申请项目时，应合理设置数量指标。</w:t>
            </w:r>
          </w:p>
        </w:tc>
      </w:tr>
    </w:tbl>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2024年国庆走访慰问离休老干部（非专项资金）项目绩效自评情况：根据年初设定的绩效目标，2024年国庆走访慰问离休老干部（非专项资金）项目绩效自评得分为</w:t>
      </w:r>
      <w:r>
        <w:rPr>
          <w:rFonts w:hint="eastAsia" w:ascii="Times New Roman" w:eastAsia="仿宋_GB2312"/>
          <w:b w:val="0"/>
          <w:sz w:val="32"/>
          <w:szCs w:val="32"/>
          <w:highlight w:val="none"/>
          <w:lang w:val="en-US" w:eastAsia="zh-CN"/>
        </w:rPr>
        <w:t>100</w:t>
      </w:r>
      <w:r>
        <w:rPr>
          <w:rFonts w:hint="eastAsia" w:ascii="Times New Roman" w:eastAsia="仿宋_GB2312"/>
          <w:b w:val="0"/>
          <w:sz w:val="32"/>
          <w:szCs w:val="32"/>
          <w:highlight w:val="none"/>
        </w:rPr>
        <w:t>分（绩效自评表附后）。全年预算数为</w:t>
      </w:r>
      <w:r>
        <w:rPr>
          <w:rFonts w:hint="eastAsia" w:ascii="Times New Roman" w:eastAsia="仿宋_GB2312"/>
          <w:b w:val="0"/>
          <w:sz w:val="32"/>
          <w:szCs w:val="32"/>
          <w:highlight w:val="none"/>
          <w:lang w:val="en-US" w:eastAsia="zh-CN"/>
        </w:rPr>
        <w:t>4.6</w:t>
      </w:r>
      <w:r>
        <w:rPr>
          <w:rFonts w:hint="eastAsia" w:ascii="Times New Roman" w:eastAsia="仿宋_GB2312"/>
          <w:b w:val="0"/>
          <w:sz w:val="32"/>
          <w:szCs w:val="32"/>
          <w:highlight w:val="none"/>
        </w:rPr>
        <w:t>万元，执行数为</w:t>
      </w:r>
      <w:r>
        <w:rPr>
          <w:rFonts w:hint="eastAsia" w:ascii="Times New Roman" w:eastAsia="仿宋_GB2312"/>
          <w:b w:val="0"/>
          <w:sz w:val="32"/>
          <w:szCs w:val="32"/>
          <w:highlight w:val="none"/>
          <w:lang w:val="en-US" w:eastAsia="zh-CN"/>
        </w:rPr>
        <w:t>4.6</w:t>
      </w:r>
      <w:r>
        <w:rPr>
          <w:rFonts w:hint="eastAsia" w:ascii="Times New Roman" w:eastAsia="仿宋_GB2312"/>
          <w:b w:val="0"/>
          <w:sz w:val="32"/>
          <w:szCs w:val="32"/>
          <w:highlight w:val="none"/>
        </w:rPr>
        <w:t>万元，完成预算的100%。项目绩效目标完成情况：国庆期间走访慰问23名建国前参加革命工作的老干部</w:t>
      </w:r>
      <w:r>
        <w:rPr>
          <w:rFonts w:hint="eastAsia" w:ascii="Times New Roman" w:eastAsia="仿宋_GB2312"/>
          <w:b w:val="0"/>
          <w:sz w:val="32"/>
          <w:szCs w:val="32"/>
          <w:highlight w:val="none"/>
          <w:lang w:eastAsia="zh-CN"/>
        </w:rPr>
        <w:t>，未发现问题。</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1197"/>
        <w:gridCol w:w="1000"/>
        <w:gridCol w:w="904"/>
        <w:gridCol w:w="902"/>
        <w:gridCol w:w="1224"/>
        <w:gridCol w:w="1228"/>
        <w:gridCol w:w="16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eastAsia" w:ascii="方正小标宋_GBK" w:hAnsi="方正小标宋_GBK" w:eastAsia="方正小标宋_GBK" w:cs="方正小标宋_GBK"/>
                <w:i w:val="0"/>
                <w:iCs w:val="0"/>
                <w:color w:val="000000"/>
                <w:kern w:val="0"/>
                <w:sz w:val="44"/>
                <w:szCs w:val="44"/>
                <w:highlight w:val="none"/>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1"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1731" w:type="pct"/>
            <w:gridSpan w:val="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c>
          <w:tcPr>
            <w:tcW w:w="50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7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679"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781"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21"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0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国庆走访慰问离休老干部（非专项资金）</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21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12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13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4.6</w:t>
            </w: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highlight w:val="none"/>
                <w:u w:val="none"/>
              </w:rPr>
            </w:pP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173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186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3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国庆期间走访慰问23名建国前参加革命工作的老干部</w:t>
            </w:r>
          </w:p>
        </w:tc>
        <w:tc>
          <w:tcPr>
            <w:tcW w:w="186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国庆期间走访慰问23名建国前参加革命工作的老干部</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86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7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86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621" w:type="pct"/>
            <w:vMerge w:val="restart"/>
            <w:tcBorders>
              <w:top w:val="single" w:color="000000"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665"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55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012" w:type="pct"/>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67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restar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559" w:type="pct"/>
            <w:tcBorders>
              <w:top w:val="single" w:color="auto"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01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发放慰问金人数</w:t>
            </w:r>
          </w:p>
        </w:tc>
        <w:tc>
          <w:tcPr>
            <w:tcW w:w="679" w:type="pc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23 人</w:t>
            </w:r>
          </w:p>
        </w:tc>
        <w:tc>
          <w:tcPr>
            <w:tcW w:w="67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23</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continue"/>
            <w:tcBorders>
              <w:top w:val="single" w:color="auto"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9" w:type="pct"/>
            <w:tcBorders>
              <w:top w:val="single" w:color="auto"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1012"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发放慰问金的覆盖率</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100 %</w:t>
            </w:r>
          </w:p>
        </w:tc>
        <w:tc>
          <w:tcPr>
            <w:tcW w:w="67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continue"/>
            <w:tcBorders>
              <w:top w:val="single" w:color="000000"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9"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发放慰问金时间</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国庆节前后</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国庆节前后</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9" w:type="pct"/>
            <w:tcBorders>
              <w:top w:val="single" w:color="000000"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1012" w:type="pct"/>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人均慰问金金额</w:t>
            </w:r>
          </w:p>
        </w:tc>
        <w:tc>
          <w:tcPr>
            <w:tcW w:w="679"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2000 元</w:t>
            </w:r>
          </w:p>
        </w:tc>
        <w:tc>
          <w:tcPr>
            <w:tcW w:w="679" w:type="pct"/>
            <w:tcBorders>
              <w:top w:val="single" w:color="000000" w:sz="4" w:space="0"/>
              <w:left w:val="nil"/>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2000元</w:t>
            </w:r>
          </w:p>
        </w:tc>
        <w:tc>
          <w:tcPr>
            <w:tcW w:w="781" w:type="pc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6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559" w:type="pct"/>
            <w:tcBorders>
              <w:top w:val="single" w:color="auto" w:sz="4" w:space="0"/>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01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679" w:type="pc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679" w:type="pct"/>
            <w:tcBorders>
              <w:top w:val="single" w:color="auto" w:sz="4" w:space="0"/>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81" w:type="pct"/>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21" w:type="pct"/>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restar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559" w:type="pct"/>
            <w:tcBorders>
              <w:top w:val="single" w:color="auto"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经济效益指标</w:t>
            </w:r>
          </w:p>
        </w:tc>
        <w:tc>
          <w:tcPr>
            <w:tcW w:w="101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离休干部生活质量提高</w:t>
            </w:r>
          </w:p>
        </w:tc>
        <w:tc>
          <w:tcPr>
            <w:tcW w:w="679" w:type="pct"/>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23 人</w:t>
            </w:r>
          </w:p>
        </w:tc>
        <w:tc>
          <w:tcPr>
            <w:tcW w:w="679" w:type="pct"/>
            <w:tcBorders>
              <w:top w:val="single" w:color="auto"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23人</w:t>
            </w:r>
          </w:p>
        </w:tc>
        <w:tc>
          <w:tcPr>
            <w:tcW w:w="781" w:type="pct"/>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continue"/>
            <w:tcBorders>
              <w:top w:val="single" w:color="auto" w:sz="4" w:space="0"/>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9" w:type="pct"/>
            <w:tcBorders>
              <w:top w:val="single" w:color="auto"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1012"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增加社会效益</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关心关爱老干部</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关心关爱老干部</w:t>
            </w:r>
          </w:p>
        </w:tc>
        <w:tc>
          <w:tcPr>
            <w:tcW w:w="78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vMerge w:val="continue"/>
            <w:tcBorders>
              <w:top w:val="nil"/>
              <w:left w:val="single" w:color="auto"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559" w:type="pct"/>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可持续影响指标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增强影响力</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老干部认同感、亲密感提升</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老干部认同感、亲密感提升</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559" w:type="pct"/>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服务对象满意度指标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受慰问老干部的满意度</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 90 %</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359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highlight w:val="none"/>
                <w:u w:val="none"/>
              </w:rPr>
            </w:pP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621"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43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bl>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（三）部门评价项目绩效评价结果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hint="eastAsia" w:ascii="Times New Roman" w:eastAsia="仿宋_GB2312"/>
          <w:sz w:val="32"/>
          <w:szCs w:val="32"/>
          <w:highlight w:val="none"/>
        </w:rPr>
        <w:t>根据部门职责定位和各项工作履职情况进行综合评价，最终得分9</w:t>
      </w:r>
      <w:r>
        <w:rPr>
          <w:rFonts w:hint="eastAsia" w:ascii="Times New Roman" w:eastAsia="仿宋_GB2312"/>
          <w:sz w:val="32"/>
          <w:szCs w:val="32"/>
          <w:highlight w:val="none"/>
          <w:lang w:val="en-US" w:eastAsia="zh-CN"/>
        </w:rPr>
        <w:t>8</w:t>
      </w:r>
      <w:r>
        <w:rPr>
          <w:rFonts w:hint="eastAsia" w:ascii="Times New Roman" w:eastAsia="仿宋_GB2312"/>
          <w:sz w:val="32"/>
          <w:szCs w:val="32"/>
          <w:highlight w:val="none"/>
        </w:rPr>
        <w:t>分，综合绩效评价等级为优秀。</w:t>
      </w:r>
    </w:p>
    <w:p>
      <w:pPr>
        <w:widowControl/>
        <w:spacing w:before="0" w:beforeLines="0" w:beforeAutospacing="0" w:after="0" w:afterLines="0" w:afterAutospacing="0" w:line="360" w:lineRule="auto"/>
        <w:ind w:firstLine="640" w:firstLineChars="200"/>
        <w:jc w:val="left"/>
        <w:rPr>
          <w:rFonts w:ascii="Times New Roman" w:eastAsia="黑体"/>
          <w:sz w:val="32"/>
          <w:szCs w:val="32"/>
          <w:highlight w:val="none"/>
        </w:rPr>
      </w:pPr>
      <w:r>
        <w:rPr>
          <w:rFonts w:ascii="Times New Roman" w:eastAsia="黑体"/>
          <w:b w:val="0"/>
          <w:sz w:val="32"/>
          <w:szCs w:val="32"/>
          <w:highlight w:val="none"/>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highlight w:val="none"/>
        </w:rPr>
      </w:pPr>
      <w:r>
        <w:rPr>
          <w:rFonts w:ascii="Times New Roman" w:eastAsia="黑体"/>
          <w:b w:val="0"/>
          <w:sz w:val="44"/>
          <w:szCs w:val="44"/>
          <w:highlight w:val="none"/>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一、财政拨款收入：</w:t>
      </w:r>
      <w:r>
        <w:rPr>
          <w:rFonts w:ascii="Times New Roman" w:eastAsia="仿宋_GB2312"/>
          <w:b w:val="0"/>
          <w:sz w:val="32"/>
          <w:szCs w:val="32"/>
          <w:highlight w:val="none"/>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二、事业收入：</w:t>
      </w:r>
      <w:r>
        <w:rPr>
          <w:rFonts w:ascii="Times New Roman" w:eastAsia="仿宋_GB2312"/>
          <w:b w:val="0"/>
          <w:sz w:val="32"/>
          <w:szCs w:val="32"/>
          <w:highlight w:val="none"/>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三、经营收入：</w:t>
      </w:r>
      <w:r>
        <w:rPr>
          <w:rFonts w:ascii="Times New Roman" w:eastAsia="仿宋_GB2312"/>
          <w:b w:val="0"/>
          <w:sz w:val="32"/>
          <w:szCs w:val="32"/>
          <w:highlight w:val="none"/>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四、其他收入：</w:t>
      </w:r>
      <w:r>
        <w:rPr>
          <w:rFonts w:ascii="Times New Roman" w:eastAsia="仿宋_GB2312"/>
          <w:b w:val="0"/>
          <w:sz w:val="32"/>
          <w:szCs w:val="32"/>
          <w:highlight w:val="none"/>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五、使用非财政拨款结余（含专用结余）：</w:t>
      </w:r>
      <w:r>
        <w:rPr>
          <w:rFonts w:ascii="Times New Roman" w:eastAsia="仿宋_GB2312"/>
          <w:b w:val="0"/>
          <w:sz w:val="32"/>
          <w:szCs w:val="32"/>
          <w:highlight w:val="none"/>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六、年初结转和结余：</w:t>
      </w:r>
      <w:r>
        <w:rPr>
          <w:rFonts w:ascii="Times New Roman" w:eastAsia="仿宋_GB2312"/>
          <w:b w:val="0"/>
          <w:sz w:val="32"/>
          <w:szCs w:val="32"/>
          <w:highlight w:val="none"/>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七、结余分配：</w:t>
      </w:r>
      <w:r>
        <w:rPr>
          <w:rFonts w:ascii="Times New Roman" w:eastAsia="仿宋_GB2312"/>
          <w:b w:val="0"/>
          <w:sz w:val="32"/>
          <w:szCs w:val="32"/>
          <w:highlight w:val="none"/>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八、年末结转和结余：</w:t>
      </w:r>
      <w:r>
        <w:rPr>
          <w:rFonts w:ascii="Times New Roman" w:eastAsia="仿宋_GB2312"/>
          <w:b w:val="0"/>
          <w:sz w:val="32"/>
          <w:szCs w:val="32"/>
          <w:highlight w:val="none"/>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九、基本支出：</w:t>
      </w:r>
      <w:r>
        <w:rPr>
          <w:rFonts w:ascii="Times New Roman" w:eastAsia="仿宋_GB2312"/>
          <w:b w:val="0"/>
          <w:sz w:val="32"/>
          <w:szCs w:val="32"/>
          <w:highlight w:val="none"/>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十、项目支出：</w:t>
      </w:r>
      <w:r>
        <w:rPr>
          <w:rFonts w:ascii="Times New Roman" w:eastAsia="仿宋_GB2312"/>
          <w:b w:val="0"/>
          <w:sz w:val="32"/>
          <w:szCs w:val="32"/>
          <w:highlight w:val="none"/>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十一、经营支出 ：</w:t>
      </w:r>
      <w:r>
        <w:rPr>
          <w:rFonts w:ascii="Times New Roman" w:eastAsia="仿宋_GB2312"/>
          <w:b w:val="0"/>
          <w:sz w:val="32"/>
          <w:szCs w:val="32"/>
          <w:highlight w:val="none"/>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十二、基本建设支出：</w:t>
      </w:r>
      <w:r>
        <w:rPr>
          <w:rFonts w:ascii="Times New Roman" w:eastAsia="仿宋_GB2312"/>
          <w:b w:val="0"/>
          <w:sz w:val="32"/>
          <w:szCs w:val="32"/>
          <w:highlight w:val="none"/>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十三、其他资本性支出：</w:t>
      </w:r>
      <w:r>
        <w:rPr>
          <w:rFonts w:ascii="Times New Roman" w:eastAsia="仿宋_GB2312"/>
          <w:b w:val="0"/>
          <w:sz w:val="32"/>
          <w:szCs w:val="32"/>
          <w:highlight w:val="none"/>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十四、“三公”经费：</w:t>
      </w:r>
      <w:r>
        <w:rPr>
          <w:rFonts w:ascii="Times New Roman" w:eastAsia="仿宋_GB2312"/>
          <w:b w:val="0"/>
          <w:sz w:val="32"/>
          <w:szCs w:val="32"/>
          <w:highlight w:val="none"/>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十五、其他交通费用：</w:t>
      </w:r>
      <w:r>
        <w:rPr>
          <w:rFonts w:ascii="Times New Roman" w:eastAsia="仿宋_GB2312"/>
          <w:b w:val="0"/>
          <w:sz w:val="32"/>
          <w:szCs w:val="32"/>
          <w:highlight w:val="none"/>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十六、公务用车购置：</w:t>
      </w:r>
      <w:r>
        <w:rPr>
          <w:rFonts w:ascii="Times New Roman" w:eastAsia="仿宋_GB2312"/>
          <w:b w:val="0"/>
          <w:sz w:val="32"/>
          <w:szCs w:val="32"/>
          <w:highlight w:val="none"/>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十七、其他交通工具购置：</w:t>
      </w:r>
      <w:r>
        <w:rPr>
          <w:rFonts w:ascii="Times New Roman" w:eastAsia="仿宋_GB2312"/>
          <w:b w:val="0"/>
          <w:sz w:val="32"/>
          <w:szCs w:val="32"/>
          <w:highlight w:val="none"/>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十八、机关运行经费：</w:t>
      </w:r>
      <w:r>
        <w:rPr>
          <w:rFonts w:ascii="Times New Roman" w:eastAsia="仿宋_GB2312"/>
          <w:b w:val="0"/>
          <w:sz w:val="32"/>
          <w:szCs w:val="32"/>
          <w:highlight w:val="none"/>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A845568-FED8-4CD4-8496-67C204540468}"/>
  </w:font>
  <w:font w:name="黑体">
    <w:panose1 w:val="02010609060101010101"/>
    <w:charset w:val="86"/>
    <w:family w:val="auto"/>
    <w:pitch w:val="default"/>
    <w:sig w:usb0="800002BF" w:usb1="38CF7CFA" w:usb2="00000016" w:usb3="00000000" w:csb0="00040001" w:csb1="00000000"/>
    <w:embedRegular r:id="rId2" w:fontKey="{6324CE64-DA73-4565-B3FE-829274CB9E1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01CFDABD-7370-43FA-AF47-0F4E6D35AB63}"/>
  </w:font>
  <w:font w:name="仿宋">
    <w:panose1 w:val="02010609060101010101"/>
    <w:charset w:val="86"/>
    <w:family w:val="modern"/>
    <w:pitch w:val="default"/>
    <w:sig w:usb0="800002BF" w:usb1="38CF7CFA" w:usb2="00000016" w:usb3="00000000" w:csb0="00040001" w:csb1="00000000"/>
    <w:embedRegular r:id="rId4" w:fontKey="{32265784-73CF-4EB3-B14E-660962B26AC6}"/>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仿宋_GBK">
    <w:altName w:val="微软雅黑"/>
    <w:panose1 w:val="02000000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embedRegular r:id="rId5" w:fontKey="{567170B3-38D2-453C-833C-F94BB3F773E2}"/>
  </w:font>
  <w:font w:name="方正小标宋_GBK">
    <w:altName w:val="微软雅黑"/>
    <w:panose1 w:val="02000000000000000000"/>
    <w:charset w:val="86"/>
    <w:family w:val="script"/>
    <w:pitch w:val="default"/>
    <w:sig w:usb0="00000000" w:usb1="00000000" w:usb2="00000000" w:usb3="00000000" w:csb0="00040000" w:csb1="00000000"/>
    <w:embedRegular r:id="rId6" w:fontKey="{B6B73488-AF06-4A7F-A54A-CCC5E3BB3C46}"/>
  </w:font>
  <w:font w:name="仿宋_GB2312">
    <w:panose1 w:val="02010609030101010101"/>
    <w:charset w:val="86"/>
    <w:family w:val="auto"/>
    <w:pitch w:val="default"/>
    <w:sig w:usb0="00000001" w:usb1="080E0000" w:usb2="00000000" w:usb3="00000000" w:csb0="00040000" w:csb1="00000000"/>
    <w:embedRegular r:id="rId7" w:fontKey="{8A8E3910-6D90-4DEB-80B0-3C7061DA1047}"/>
  </w:font>
  <w:font w:name="ArialUnicodeMS">
    <w:altName w:val="Malgun Gothic"/>
    <w:panose1 w:val="00000000000000000000"/>
    <w:charset w:val="81"/>
    <w:family w:val="auto"/>
    <w:pitch w:val="default"/>
    <w:sig w:usb0="00000000" w:usb1="00000000" w:usb2="00000010" w:usb3="00000000" w:csb0="00080001" w:csb1="00000000"/>
    <w:embedRegular r:id="rId8" w:fontKey="{E92E877B-1193-44CA-98A5-0FEFDCC60B12}"/>
  </w:font>
  <w:font w:name="方正仿宋_GB2312">
    <w:altName w:val="仿宋"/>
    <w:panose1 w:val="02000000000000000000"/>
    <w:charset w:val="86"/>
    <w:family w:val="auto"/>
    <w:pitch w:val="default"/>
    <w:sig w:usb0="00000000" w:usb1="00000000" w:usb2="00000012" w:usb3="00000000" w:csb0="00040001" w:csb1="00000000"/>
    <w:embedRegular r:id="rId9" w:fontKey="{63FCE8FE-F623-434E-81A3-904E29F23959}"/>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E4FC601"/>
    <w:multiLevelType w:val="singleLevel"/>
    <w:tmpl w:val="FE4FC601"/>
    <w:lvl w:ilvl="0" w:tentative="0">
      <w:start w:val="1"/>
      <w:numFmt w:val="chineseCounting"/>
      <w:suff w:val="nothing"/>
      <w:lvlText w:val="%1、"/>
      <w:lvlJc w:val="left"/>
      <w:rPr>
        <w:rFonts w:hint="eastAsia"/>
        <w:b/>
        <w:bCs/>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36E85B"/>
    <w:rsid w:val="3E686BFD"/>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B83C33"/>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D3CA46"/>
    <w:rsid w:val="7FE903A0"/>
    <w:rsid w:val="7FF07065"/>
    <w:rsid w:val="7FF97946"/>
    <w:rsid w:val="7FFE7888"/>
    <w:rsid w:val="7FFEF3E7"/>
    <w:rsid w:val="9D9FF3C3"/>
    <w:rsid w:val="AFFF1067"/>
    <w:rsid w:val="BC6F5835"/>
    <w:rsid w:val="CFB7CFD8"/>
    <w:rsid w:val="DBF7CACA"/>
    <w:rsid w:val="DFBFC5A0"/>
    <w:rsid w:val="E7FC6EA0"/>
    <w:rsid w:val="F5DB6F08"/>
    <w:rsid w:val="FBEF8AEE"/>
    <w:rsid w:val="FEFFD8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6">
    <w:name w:val="font61"/>
    <w:basedOn w:val="13"/>
    <w:qFormat/>
    <w:uiPriority w:val="0"/>
    <w:rPr>
      <w:rFonts w:ascii="Calibri" w:hAnsi="Calibri" w:cs="Calibri"/>
      <w:color w:val="000000"/>
      <w:sz w:val="20"/>
      <w:szCs w:val="20"/>
      <w:u w:val="none"/>
    </w:rPr>
  </w:style>
  <w:style w:type="character" w:customStyle="1" w:styleId="27">
    <w:name w:val="font21"/>
    <w:basedOn w:val="13"/>
    <w:qFormat/>
    <w:uiPriority w:val="0"/>
    <w:rPr>
      <w:rFonts w:hint="eastAsia" w:ascii="宋体" w:hAnsi="宋体" w:eastAsia="宋体" w:cs="宋体"/>
      <w:color w:val="000000"/>
      <w:sz w:val="20"/>
      <w:szCs w:val="20"/>
      <w:u w:val="none"/>
    </w:rPr>
  </w:style>
  <w:style w:type="character" w:customStyle="1" w:styleId="28">
    <w:name w:val="font7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563.83</c:v>
                </c:pt>
                <c:pt idx="1">
                  <c:v>497.29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4972850.2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4409664.99</c:v>
                </c:pt>
                <c:pt idx="1">
                  <c:v>563185.21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563.83</c:v>
                </c:pt>
                <c:pt idx="1">
                  <c:v>563.83</c:v>
                </c:pt>
                <c:pt idx="2">
                  <c:v>563.83</c:v>
                </c:pt>
                <c:pt idx="3">
                  <c:v>563.83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497.29</c:v>
                </c:pt>
                <c:pt idx="1">
                  <c:v>497.29</c:v>
                </c:pt>
                <c:pt idx="2">
                  <c:v>497.29</c:v>
                </c:pt>
                <c:pt idx="3">
                  <c:v>497.29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537.08</c:v>
                </c:pt>
                <c:pt idx="1">
                  <c:v>537.08</c:v>
                </c:pt>
                <c:pt idx="2">
                  <c:v>537.08</c:v>
                </c:pt>
                <c:pt idx="3">
                  <c:v>537.08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497.29</c:v>
                </c:pt>
                <c:pt idx="1">
                  <c:v>497.29</c:v>
                </c:pt>
                <c:pt idx="2">
                  <c:v>497.29</c:v>
                </c:pt>
                <c:pt idx="3">
                  <c:v>497.29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457.71</c:v>
                </c:pt>
                <c:pt idx="8">
                  <c:v>16.65</c:v>
                </c:pt>
                <c:pt idx="9">
                  <c:v>0</c:v>
                </c:pt>
                <c:pt idx="10">
                  <c:v>0</c:v>
                </c:pt>
                <c:pt idx="11">
                  <c:v>0</c:v>
                </c:pt>
                <c:pt idx="12">
                  <c:v>0</c:v>
                </c:pt>
                <c:pt idx="13">
                  <c:v>0</c:v>
                </c:pt>
                <c:pt idx="14">
                  <c:v>0</c:v>
                </c:pt>
                <c:pt idx="15">
                  <c:v>0</c:v>
                </c:pt>
                <c:pt idx="16">
                  <c:v>0</c:v>
                </c:pt>
                <c:pt idx="17">
                  <c:v>0</c:v>
                </c:pt>
                <c:pt idx="18">
                  <c:v>22.93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611</Words>
  <Characters>2169</Characters>
  <Lines>86</Lines>
  <Paragraphs>24</Paragraphs>
  <TotalTime>2</TotalTime>
  <ScaleCrop>false</ScaleCrop>
  <LinksUpToDate>false</LinksUpToDate>
  <CharactersWithSpaces>2170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2023-08-06T07:55:00Z</dcterms:created>
  <dc:creator>王明新TIAD</dc:creator>
  <cp:lastModifiedBy>小雅</cp:lastModifiedBy>
  <cp:lastPrinted>2023-08-06T01:00:00Z</cp:lastPrinted>
  <dcterms:modified xsi:type="dcterms:W3CDTF">2025-09-26T06:00:11Z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