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：石家庄市鹿泉区文学艺术界联合会</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石家庄市鹿泉区文学艺术界联合会</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石家庄市鹿泉区文学艺术界联合会(单位名称，加盖公章）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w:t>
      </w:r>
      <w:r>
        <w:rPr>
          <w:rFonts w:hint="eastAsia" w:ascii="Times New Roman" w:eastAsia="黑体"/>
          <w:b w:val="0"/>
          <w:sz w:val="32"/>
          <w:szCs w:val="32"/>
          <w:lang w:eastAsia="zh-CN"/>
        </w:rPr>
        <w:t>单位</w:t>
      </w:r>
      <w:r>
        <w:rPr>
          <w:rFonts w:ascii="Times New Roman" w:eastAsia="黑体"/>
          <w:b w:val="0"/>
          <w:sz w:val="32"/>
          <w:szCs w:val="32"/>
        </w:rPr>
        <w:t>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单位</w:t>
      </w:r>
      <w:r>
        <w:rPr>
          <w:rFonts w:ascii="Times New Roman" w:eastAsia="仿宋_GB2312"/>
          <w:b w:val="0"/>
          <w:sz w:val="32"/>
          <w:szCs w:val="32"/>
        </w:rPr>
        <w:t>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w:t>
      </w:r>
      <w:r>
        <w:rPr>
          <w:rFonts w:hint="eastAsia" w:ascii="Times New Roman" w:eastAsia="黑体"/>
          <w:b w:val="0"/>
          <w:sz w:val="44"/>
          <w:szCs w:val="44"/>
          <w:lang w:eastAsia="zh-CN"/>
        </w:rPr>
        <w:t>单位</w:t>
      </w:r>
      <w:r>
        <w:rPr>
          <w:rFonts w:ascii="Times New Roman" w:eastAsia="黑体"/>
          <w:b w:val="0"/>
          <w:sz w:val="44"/>
          <w:szCs w:val="44"/>
        </w:rPr>
        <w:t>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单位</w:t>
      </w:r>
      <w:r>
        <w:rPr>
          <w:rFonts w:ascii="Times New Roman" w:eastAsia="黑体"/>
          <w:b w:val="0"/>
          <w:sz w:val="32"/>
          <w:szCs w:val="32"/>
        </w:rPr>
        <w:t>职责</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（二）组织召开全区文联代表大会，全委会和主席团会议；组织召开全区文艺家协会代表大会、理事会、主席团会议以及全区文联系统工作会议。</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（三）组织开展采风创作、文艺志愿服务、主题文艺活动、展演展示展播等文艺实践活动。组织开展文艺人才教育培训、培养举荐、创作扶持等工作。</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（四）协同有关单位组织文艺活动的重大评奖活动。组织开展文艺评论、文艺理论研究、学术交流研讨等活动。</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（五）依法开展文艺领域行业教育、行业自律、行业服务和行业管理工作，开展行风建设和职业道德建设。</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（六）服务区委、区政府工作大局，传播中华优秀传统文化，组织开展文化交流合作。</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（七）组织开展文艺领域侵权纠纷调解、权益保护协调合作、诉求表达处理、法律志愿服务等维权服务工作，维护文艺工作者合法权益。</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（八）引导网络文艺创作生产，促进传统文艺和网络文艺融合发展。</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（九）联络、协调、服务和指导各文艺家协会，对区文联业务主管的社会组织进行日常联系和监督管理，依法依章程指导基层文联工作。编辑出版有关文艺刊物和文艺书籍。</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（十）完成区委、区政府交办的其他事项。</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石家庄市鹿泉区文学艺术界联合会(本级)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参公事业单位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bookmarkStart w:id="0" w:name="_GoBack"/>
            <w:bookmarkEnd w:id="0"/>
          </w:p>
        </w:tc>
      </w:tr>
    </w:tbl>
    <w:p>
      <w:pPr>
        <w:rPr>
          <w:rFonts w:hint="eastAsia" w:ascii="Times New Roman" w:eastAsia="仿宋_GB2312"/>
          <w:b w:val="0"/>
          <w:sz w:val="32"/>
          <w:szCs w:val="32"/>
          <w:lang w:val="en-US" w:eastAsia="zh-CN"/>
        </w:rPr>
      </w:pP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我单位无二级预算单位，因此，石家庄市鹿泉区文学艺术界联合会2024年度单位决算即石家庄市鹿泉区文学艺术界联合会本级2024年度决算。</w:t>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单位（单位）：石家庄市鹿泉区文学艺术界联合会</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单位（单位）：石家庄市鹿泉区文学艺术界联合会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213.89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213.89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文化活动</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单位（单位）：石家庄市鹿泉区文学艺术界联合会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167.42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单位（单位）：石家庄市鹿泉区文学艺术界联合会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170.42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170.42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213.89</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19"/>
        <w:gridCol w:w="3090"/>
        <w:gridCol w:w="989"/>
        <w:gridCol w:w="692"/>
        <w:gridCol w:w="725"/>
        <w:gridCol w:w="347"/>
        <w:gridCol w:w="11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编制单位（单位）：石家庄市鹿泉区文学艺术界联合会</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167.42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单位（单位）：石家庄市鹿泉区文学艺术界联合会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134.49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3.03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36.02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12.47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4.37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12.43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9.81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144.30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单位（单位）：石家庄市鹿泉区文学艺术界联合会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单位（单位）：石家庄市鹿泉区文学艺术界联合会</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单位（单位）：石家庄市鹿泉区文学艺术界联合会</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2024年度收、支总计（含结转和结余）均为213.89万元。与2023年度决算相比，收支各增加10.50万元，增长5.2%，主要原因是文化活动增多，社保调整基数。</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收入合计213.89万元，其中：财政拨款收入213.89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2024年度本年支出合计213.89万元，其中：基本支出167.42万元，占78.3%；项目支出46.47万元，占21.7%；上缴上级支出0.00万元，占0.0%；经营支出0.00万元，占0.0%；对附属单位补助支出0.00万元，占0.0%。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2024年度财政拨款收、支总计（含结转和结余）均为213.89万元。与2023年度相比，财政拨款收支各增加10.50万元，增长5.2%，主要原因是文化活动增多，社保调整基数。</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213.89万元,比上年增加10.50万元，增长5.2%，主要原因是文化活动增多，社保调整基数；本年支出213.89万元，比上年增加10.50万元，增长5.2%，主要原因是文化活动增多，社保调整基数。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213.89万元,比上年增加10.50万元，增长5.2%，主要原因是文化活动增多，社保调整基数；本年支出213.89万元，比上年增加10.50万元，增长5.2%，主要原因是文化活动增多，社保调整基数。</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与上年持平，无增减变化；本年支出0.00万元，比上年增加0.00万元，增长0.00%，主要原因是比上年持平与上年持平，无增减变化。</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国有资本经营预算财政拨款本年收入0.00万元，比上年增加0.00万元，增长0.00%，主要原因是与上年持平，无增减变化；本年支出0.00万元，比上年增加0.00万元，增长0.00%，主要原因是与上年持平，无增减变化。</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213.89万元，完成年初预算的71.6%，比年初预算减少84.78万元，决算数小于预算数主要原因是基本支出减少15.25万元，项目支出减少69.53万元。由于本年内两名在职人员调出，人员经费开销减少。同时由于区级财政紧张，公用经费开支适当缩减。项目支出减少69.53万元，主要是由于区级财政紧张，拨款未到位。本年支出213.89万元，完成年初预算的71.6%，比年初预算减少84.78万元，决算数小于预算数主要原因是基本支出减少15.25万元，项目支出减少69.53万元。由于本年内两名在职人员调出，人员经费开销减少。同时由于区级财政紧张，公用经费开支适当缩减。项目支出减少69.53万元，主要是由于区级财政紧张，拨款未到位。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71.6%，比年初预算减少84.78万元，主要原因是基本支出减少15.25万元，项目支出减少69.53万元。由于本年内两名在职人员调出，人员经费开销减少。同时由于区级财政紧张，公用经费开支适当缩减。项目支出减少69.53万元，主要是由于区级财政紧张，拨款未到位。；支出完成年初预算的71.6%，比年初预算减少84.78万元，主要原因是基本支出减少15.25万元，项目支出减少69.53万元。由于本年内两名在职人员调出，人员经费开销减少。同时由于区级财政紧张，公用经费开支适当缩减。项目支出减少69.53万元，主要是由于区级财政紧张，拨款未到位。。</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政府性基金预算财政拨款本年收入完成年初预算的0.0%，比年初预算增加0.00万元，主要原因是与上年持平，无增减变化；支出完成年初预算的0.0%，比年初预算增加0.00万元，主要原因是与上年持平，无增减变化。</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与上年持平，无增减变化；支出完成年初预算的0.0%，比年初预算增加0.00万元，主要原因是与上年持平，无增减变化。</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2024年度财政拨款支出213.89万元，主要用于以下方面：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文化旅游体育与传媒（类）支出170.42万元，占79.7%，主要用于协会活动等支出；社会保障和就业（类）支出22.47万元，占10.5%，主要用于缴纳社保、退休人员补助等支出；卫生健康（类）支出8.57万元，占4.0%，主要用于缴纳医保等支出；住房保障（类）支出12.43万元，占5.8%，主要用于缴纳住房公积金等支出</w:t>
      </w:r>
      <w:r>
        <w:rPr>
          <w:rFonts w:hint="eastAsia" w:ascii="Times New Roman" w:eastAsia="仿宋_GB2312"/>
          <w:b w:val="0"/>
          <w:sz w:val="32"/>
          <w:szCs w:val="32"/>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2024年度财政拨款基本支出167.42万元，其中：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w:t>
      </w:r>
      <w:r>
        <w:rPr>
          <w:rFonts w:hint="eastAsia" w:ascii="Times New Roman" w:eastAsia="仿宋_GB2312"/>
          <w:b w:val="0"/>
          <w:sz w:val="32"/>
          <w:szCs w:val="32"/>
          <w:lang w:eastAsia="zh-CN"/>
        </w:rPr>
        <w:t>费</w:t>
      </w:r>
      <w:r>
        <w:rPr>
          <w:rFonts w:ascii="Times New Roman" w:eastAsia="仿宋_GB2312"/>
          <w:b w:val="0"/>
          <w:sz w:val="32"/>
          <w:szCs w:val="32"/>
        </w:rPr>
        <w:t>144.30万元，主要包括</w:t>
      </w:r>
      <w:r>
        <w:rPr>
          <w:rFonts w:hint="eastAsia" w:ascii="Times New Roman" w:eastAsia="仿宋_GB2312"/>
          <w:b w:val="0"/>
          <w:sz w:val="32"/>
          <w:szCs w:val="32"/>
        </w:rPr>
        <w:t>基本工资、津贴补贴、奖金、绩效工资、机关事业</w:t>
      </w:r>
      <w:r>
        <w:rPr>
          <w:rFonts w:hint="eastAsia" w:ascii="Times New Roman" w:eastAsia="仿宋_GB2312"/>
          <w:b w:val="0"/>
          <w:sz w:val="32"/>
          <w:szCs w:val="32"/>
          <w:lang w:eastAsia="zh-CN"/>
        </w:rPr>
        <w:t>单位</w:t>
      </w:r>
      <w:r>
        <w:rPr>
          <w:rFonts w:hint="eastAsia" w:ascii="Times New Roman" w:eastAsia="仿宋_GB2312"/>
          <w:b w:val="0"/>
          <w:sz w:val="32"/>
          <w:szCs w:val="32"/>
        </w:rPr>
        <w:t>基本养老保险缴费、职业年金缴费、职工基本医疗保险缴费、公务员医疗补助缴费、住房公积金、退休费等。</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公用经费23.11万元，主要包括</w:t>
      </w:r>
      <w:r>
        <w:rPr>
          <w:rFonts w:hint="eastAsia" w:ascii="Times New Roman" w:eastAsia="仿宋_GB2312"/>
          <w:b w:val="0"/>
          <w:sz w:val="32"/>
          <w:szCs w:val="32"/>
        </w:rPr>
        <w:t>办公费、印刷费、水费、电费、取暖费、差旅费、劳务费、委托业务费、工会经费、福利费、办公设备购置等。</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0.00万元，支出决算为0.00万元，完成预算的0.0%，较预算增加0.00万元，增长0.0%，主要原因是无增减变化；较2023年度决算增加0.00万元，增长0.00%，主要原因是与2023年决算持平。</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因公出国（境）费支出预算为0.00万元,支出决算0.00万元。完成预算的0.0%。因公出国（境）费支出较预算增加0.00万元，增长0.0%,主要原因是与预算持平；较上年增加0.00万元，增长0.00%,主要原因是与上年持平。因公出国（境）团组0个、共0人、参加其他单位组织的因公出国（境）团组0个、共0人/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0.00万元，支出决算0.00万元，完成预算的0.0%,较预算增加0.00万元，增长0.0%,主要原因是与预算持平；较上年增加0.00万元，增长0.00%,主要原因是与上年持平，无增减变化。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2024年度公务用车购置量0辆，发生“公务用车购置”经费支出0.00 万元。公务用车购置费支出较预算增加0.00万元，增长0.0%,主要原因是与预算持平；较上年增加0.00万元，增长0.00%,主要原因是与上年持平。</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2024年度单位公务用车保有量0辆，发生运行维护费支出0.00万元。公车运行维护费支出较预算增加0.00万元，增长0.0%,主要原因是与预算持平；较上年增加0.00万元，增长0.00%，主要原因是与上年持平。</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0.00万元，支出决算0.00万元，完成预算的0.0%。公务接待费支出较预算增加0.00万元，增长0.0%,主要原因是与预算持平；较上年度增加0.00万元，增长0.00%,主要原因是与上年持平。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2024年度机关运行经费支出23.11万元，较2023年度减少3.52万元，降低13.3%。主要原因是人员减少，公用经费减少。</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支出总额0.20万元，从采购类型来看，政府采购货物支出0.20万元、政府采购工程支出0.00万元、政府采购服务支出0.00万元。授予中小企业合同金额0.20万元，占政府采购支出总额的100.0%，其中授予小微企业合同金额0.20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1辆，比上年增加0辆，主要是与上年持平，无增减变化。其中，副部（省）级及以上领导用车0辆，主要负责人用车0辆，机要通信用车0辆，应急保障用车1辆，执法执勤用车0辆，特种专业技术用车0辆，离退休干部用车0辆，其他用车0辆，其他用车主要是与上年持平，无增减变化。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单位</w:t>
      </w:r>
      <w:r>
        <w:rPr>
          <w:rFonts w:ascii="Times New Roman" w:eastAsia="仿宋_GB2312"/>
          <w:b w:val="0"/>
          <w:sz w:val="32"/>
          <w:szCs w:val="32"/>
        </w:rPr>
        <w:t>组织对2024年度本级预算项目支出全面开展绩效自评，共涉及资金46.47万元（决算金额）。其中，一般公共预算项目5个，涉及资金46.47万元，占一般公共预算项目支出总额的100%；政府性基金预算项目0个，涉及资金0万元，占政府性基金预算项目支出总额的0%；国有资本经营预算项目0个，涉及资金0万元，占国有资本经营预算项目支出总额的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eastAsia="zh-CN"/>
        </w:rPr>
        <w:t>文艺家之家维修改造项目、文艺家之家加固经费、《鹿泉文苑》等书籍印刷费、协会活动经费、协会活动及注册经费</w:t>
      </w:r>
      <w:r>
        <w:rPr>
          <w:rFonts w:ascii="Times New Roman" w:eastAsia="仿宋_GB2312"/>
          <w:b w:val="0"/>
          <w:sz w:val="32"/>
          <w:szCs w:val="32"/>
        </w:rPr>
        <w:t>等</w:t>
      </w:r>
      <w:r>
        <w:rPr>
          <w:rFonts w:hint="eastAsia" w:ascii="Times New Roman" w:eastAsia="仿宋_GB2312"/>
          <w:b w:val="0"/>
          <w:sz w:val="32"/>
          <w:szCs w:val="32"/>
          <w:lang w:val="en-US" w:eastAsia="zh-CN"/>
        </w:rPr>
        <w:t>5</w:t>
      </w:r>
      <w:r>
        <w:rPr>
          <w:rFonts w:ascii="Times New Roman" w:eastAsia="仿宋_GB2312"/>
          <w:b w:val="0"/>
          <w:sz w:val="32"/>
          <w:szCs w:val="32"/>
        </w:rPr>
        <w:t>个项目开展了</w:t>
      </w:r>
      <w:r>
        <w:rPr>
          <w:rFonts w:hint="eastAsia" w:ascii="Times New Roman" w:eastAsia="仿宋_GB2312"/>
          <w:b w:val="0"/>
          <w:sz w:val="32"/>
          <w:szCs w:val="32"/>
          <w:lang w:eastAsia="zh-CN"/>
        </w:rPr>
        <w:t>单位</w:t>
      </w:r>
      <w:r>
        <w:rPr>
          <w:rFonts w:ascii="Times New Roman" w:eastAsia="仿宋_GB2312"/>
          <w:b w:val="0"/>
          <w:sz w:val="32"/>
          <w:szCs w:val="32"/>
        </w:rPr>
        <w:t>重点评价，涉及一般公共预算支出</w:t>
      </w:r>
      <w:r>
        <w:rPr>
          <w:rFonts w:hint="eastAsia" w:ascii="Times New Roman" w:eastAsia="仿宋_GB2312"/>
          <w:b w:val="0"/>
          <w:sz w:val="32"/>
          <w:szCs w:val="32"/>
          <w:lang w:val="en-US" w:eastAsia="zh-CN"/>
        </w:rPr>
        <w:t>46.47</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rPr>
        <w:t>按时间节点完成各项活动，支付项目资金，项目完成良好</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w:t>
      </w:r>
      <w:r>
        <w:rPr>
          <w:rFonts w:hint="eastAsia" w:ascii="Times New Roman" w:eastAsia="仿宋_GB2312"/>
          <w:b w:val="0"/>
          <w:sz w:val="32"/>
          <w:szCs w:val="32"/>
          <w:lang w:val="en-US" w:eastAsia="zh-CN"/>
        </w:rPr>
        <w:t>5</w:t>
      </w:r>
      <w:r>
        <w:rPr>
          <w:rFonts w:ascii="Times New Roman" w:eastAsia="仿宋_GB2312"/>
          <w:b w:val="0"/>
          <w:sz w:val="32"/>
          <w:szCs w:val="32"/>
        </w:rPr>
        <w:t>等个项目绩效自评结果。</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文艺家之家维修改造</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文艺家之家维修改造</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1</w:t>
      </w:r>
      <w:r>
        <w:rPr>
          <w:rFonts w:ascii="Times New Roman" w:eastAsia="仿宋_GB2312"/>
          <w:b w:val="0"/>
          <w:sz w:val="32"/>
          <w:szCs w:val="32"/>
        </w:rPr>
        <w:t>）。全年预算数为</w:t>
      </w:r>
      <w:r>
        <w:rPr>
          <w:rFonts w:hint="eastAsia" w:ascii="Times New Roman" w:eastAsia="仿宋_GB2312"/>
          <w:b w:val="0"/>
          <w:sz w:val="32"/>
          <w:szCs w:val="32"/>
          <w:lang w:val="en-US" w:eastAsia="zh-CN"/>
        </w:rPr>
        <w:t>20</w:t>
      </w:r>
      <w:r>
        <w:rPr>
          <w:rFonts w:ascii="Times New Roman" w:eastAsia="仿宋_GB2312"/>
          <w:b w:val="0"/>
          <w:sz w:val="32"/>
          <w:szCs w:val="32"/>
        </w:rPr>
        <w:t>万元，执行数为</w:t>
      </w:r>
      <w:r>
        <w:rPr>
          <w:rFonts w:hint="eastAsia" w:ascii="Times New Roman" w:eastAsia="仿宋_GB2312"/>
          <w:b w:val="0"/>
          <w:sz w:val="32"/>
          <w:szCs w:val="32"/>
          <w:lang w:val="en-US" w:eastAsia="zh-CN"/>
        </w:rPr>
        <w:t>20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文艺家之家加固经费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文艺家之家加固经费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2</w:t>
      </w:r>
      <w:r>
        <w:rPr>
          <w:rFonts w:ascii="Times New Roman" w:eastAsia="仿宋_GB2312"/>
          <w:b w:val="0"/>
          <w:sz w:val="32"/>
          <w:szCs w:val="32"/>
        </w:rPr>
        <w:t>）。全年预算数为</w:t>
      </w:r>
      <w:r>
        <w:rPr>
          <w:rFonts w:hint="eastAsia" w:ascii="Times New Roman" w:eastAsia="仿宋_GB2312"/>
          <w:b w:val="0"/>
          <w:sz w:val="32"/>
          <w:szCs w:val="32"/>
          <w:lang w:val="en-US" w:eastAsia="zh-CN"/>
        </w:rPr>
        <w:t>15</w:t>
      </w:r>
      <w:r>
        <w:rPr>
          <w:rFonts w:ascii="Times New Roman" w:eastAsia="仿宋_GB2312"/>
          <w:b w:val="0"/>
          <w:sz w:val="32"/>
          <w:szCs w:val="32"/>
        </w:rPr>
        <w:t>万元，执行数为</w:t>
      </w:r>
      <w:r>
        <w:rPr>
          <w:rFonts w:hint="eastAsia" w:ascii="Times New Roman" w:eastAsia="仿宋_GB2312"/>
          <w:b w:val="0"/>
          <w:sz w:val="32"/>
          <w:szCs w:val="32"/>
          <w:lang w:val="en-US" w:eastAsia="zh-CN"/>
        </w:rPr>
        <w:t>15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《鹿泉文苑》等书籍印刷费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《鹿泉文苑》等书籍印刷费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3</w:t>
      </w:r>
      <w:r>
        <w:rPr>
          <w:rFonts w:ascii="Times New Roman" w:eastAsia="仿宋_GB2312"/>
          <w:b w:val="0"/>
          <w:sz w:val="32"/>
          <w:szCs w:val="32"/>
        </w:rPr>
        <w:t>）。全年预算数为</w:t>
      </w:r>
      <w:r>
        <w:rPr>
          <w:rFonts w:hint="eastAsia" w:ascii="Times New Roman" w:eastAsia="仿宋_GB2312"/>
          <w:b w:val="0"/>
          <w:sz w:val="32"/>
          <w:szCs w:val="32"/>
          <w:lang w:val="en-US" w:eastAsia="zh-CN"/>
        </w:rPr>
        <w:t>4.20044</w:t>
      </w:r>
      <w:r>
        <w:rPr>
          <w:rFonts w:ascii="Times New Roman" w:eastAsia="仿宋_GB2312"/>
          <w:b w:val="0"/>
          <w:sz w:val="32"/>
          <w:szCs w:val="32"/>
        </w:rPr>
        <w:t>万元，执行数为</w:t>
      </w:r>
      <w:r>
        <w:rPr>
          <w:rFonts w:hint="eastAsia" w:ascii="Times New Roman" w:eastAsia="仿宋_GB2312"/>
          <w:b w:val="0"/>
          <w:sz w:val="32"/>
          <w:szCs w:val="32"/>
          <w:lang w:val="en-US" w:eastAsia="zh-CN"/>
        </w:rPr>
        <w:t>4.2044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协会活动经费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协会活动经费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4</w:t>
      </w:r>
      <w:r>
        <w:rPr>
          <w:rFonts w:ascii="Times New Roman" w:eastAsia="仿宋_GB2312"/>
          <w:b w:val="0"/>
          <w:sz w:val="32"/>
          <w:szCs w:val="32"/>
        </w:rPr>
        <w:t>）。全年预算数为</w:t>
      </w:r>
      <w:r>
        <w:rPr>
          <w:rFonts w:hint="eastAsia" w:ascii="Times New Roman" w:eastAsia="仿宋_GB2312"/>
          <w:b w:val="0"/>
          <w:sz w:val="32"/>
          <w:szCs w:val="32"/>
          <w:lang w:val="en-US" w:eastAsia="zh-CN"/>
        </w:rPr>
        <w:t>4.20044</w:t>
      </w:r>
      <w:r>
        <w:rPr>
          <w:rFonts w:ascii="Times New Roman" w:eastAsia="仿宋_GB2312"/>
          <w:b w:val="0"/>
          <w:sz w:val="32"/>
          <w:szCs w:val="32"/>
        </w:rPr>
        <w:t>万元，执行数为</w:t>
      </w:r>
      <w:r>
        <w:rPr>
          <w:rFonts w:hint="eastAsia" w:ascii="Times New Roman" w:eastAsia="仿宋_GB2312"/>
          <w:b w:val="0"/>
          <w:sz w:val="32"/>
          <w:szCs w:val="32"/>
          <w:lang w:val="en-US" w:eastAsia="zh-CN"/>
        </w:rPr>
        <w:t>4.2044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协会活动及注册经费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协会活动及注册经费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5</w:t>
      </w:r>
      <w:r>
        <w:rPr>
          <w:rFonts w:ascii="Times New Roman" w:eastAsia="仿宋_GB2312"/>
          <w:b w:val="0"/>
          <w:sz w:val="32"/>
          <w:szCs w:val="32"/>
        </w:rPr>
        <w:t>）。全年预算数为</w:t>
      </w:r>
      <w:r>
        <w:rPr>
          <w:rFonts w:hint="eastAsia" w:ascii="Times New Roman" w:eastAsia="仿宋_GB2312"/>
          <w:b w:val="0"/>
          <w:sz w:val="32"/>
          <w:szCs w:val="32"/>
          <w:lang w:val="en-US" w:eastAsia="zh-CN"/>
        </w:rPr>
        <w:t>2.465</w:t>
      </w:r>
      <w:r>
        <w:rPr>
          <w:rFonts w:ascii="Times New Roman" w:eastAsia="仿宋_GB2312"/>
          <w:b w:val="0"/>
          <w:sz w:val="32"/>
          <w:szCs w:val="32"/>
        </w:rPr>
        <w:t>万元，执行数为</w:t>
      </w:r>
      <w:r>
        <w:rPr>
          <w:rFonts w:hint="eastAsia" w:ascii="Times New Roman" w:eastAsia="仿宋_GB2312"/>
          <w:b w:val="0"/>
          <w:sz w:val="32"/>
          <w:szCs w:val="32"/>
          <w:lang w:val="en-US" w:eastAsia="zh-CN"/>
        </w:rPr>
        <w:t>2.465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文艺家之家维修改造项目、文艺家之家加固经费、《鹿泉文苑》等书籍印刷费、协会活动经费、协会活动及注册经费</w:t>
      </w:r>
      <w:r>
        <w:rPr>
          <w:rFonts w:ascii="Times New Roman" w:eastAsia="仿宋_GB2312"/>
          <w:b w:val="0"/>
          <w:sz w:val="32"/>
          <w:szCs w:val="32"/>
        </w:rPr>
        <w:t>等</w:t>
      </w:r>
      <w:r>
        <w:rPr>
          <w:rFonts w:hint="eastAsia" w:ascii="Times New Roman" w:eastAsia="仿宋_GB2312"/>
          <w:b w:val="0"/>
          <w:sz w:val="32"/>
          <w:szCs w:val="32"/>
          <w:lang w:val="en-US" w:eastAsia="zh-CN"/>
        </w:rPr>
        <w:t>5</w:t>
      </w:r>
      <w:r>
        <w:rPr>
          <w:rFonts w:ascii="Times New Roman" w:eastAsia="仿宋_GB2312"/>
          <w:b w:val="0"/>
          <w:sz w:val="32"/>
          <w:szCs w:val="32"/>
        </w:rPr>
        <w:t>个项目绩效目标完成情况：一是</w:t>
      </w:r>
      <w:r>
        <w:rPr>
          <w:rFonts w:hint="eastAsia" w:ascii="Times New Roman" w:eastAsia="仿宋_GB2312"/>
          <w:b w:val="0"/>
          <w:sz w:val="32"/>
          <w:szCs w:val="32"/>
          <w:lang w:eastAsia="zh-CN"/>
        </w:rPr>
        <w:t>按时按质完成文艺家之家维修和加固工作</w:t>
      </w:r>
      <w:r>
        <w:rPr>
          <w:rFonts w:ascii="Times New Roman" w:eastAsia="仿宋_GB2312"/>
          <w:b w:val="0"/>
          <w:sz w:val="32"/>
          <w:szCs w:val="32"/>
        </w:rPr>
        <w:t>；二是</w:t>
      </w:r>
      <w:r>
        <w:rPr>
          <w:rFonts w:hint="eastAsia" w:ascii="Times New Roman" w:eastAsia="仿宋_GB2312"/>
          <w:b w:val="0"/>
          <w:sz w:val="32"/>
          <w:szCs w:val="32"/>
          <w:lang w:eastAsia="zh-CN"/>
        </w:rPr>
        <w:t>完成对《鹿泉文苑》书籍的印刷工作；三是举办诵读、书画展、采风等形式多样的文艺活动。</w:t>
      </w:r>
      <w:r>
        <w:rPr>
          <w:rFonts w:ascii="Times New Roman" w:eastAsia="仿宋_GB2312"/>
          <w:b w:val="0"/>
          <w:sz w:val="32"/>
          <w:szCs w:val="32"/>
        </w:rPr>
        <w:t>发现的主要问题及原因是：一是</w:t>
      </w:r>
      <w:r>
        <w:rPr>
          <w:rFonts w:hint="eastAsia" w:ascii="Times New Roman" w:eastAsia="仿宋_GB2312"/>
          <w:b w:val="0"/>
          <w:sz w:val="32"/>
          <w:szCs w:val="32"/>
          <w:lang w:eastAsia="zh-CN"/>
        </w:rPr>
        <w:t>工程质量有待加强</w:t>
      </w:r>
      <w:r>
        <w:rPr>
          <w:rFonts w:ascii="Times New Roman" w:eastAsia="仿宋_GB2312"/>
          <w:b w:val="0"/>
          <w:sz w:val="32"/>
          <w:szCs w:val="32"/>
        </w:rPr>
        <w:t>；二是</w:t>
      </w:r>
      <w:r>
        <w:rPr>
          <w:rFonts w:hint="eastAsia" w:ascii="Times New Roman" w:eastAsia="仿宋_GB2312"/>
          <w:b w:val="0"/>
          <w:sz w:val="32"/>
          <w:szCs w:val="32"/>
          <w:lang w:eastAsia="zh-CN"/>
        </w:rPr>
        <w:t>组织形式多样的文艺活动</w:t>
      </w:r>
      <w:r>
        <w:rPr>
          <w:rFonts w:ascii="Times New Roman" w:eastAsia="仿宋_GB2312"/>
          <w:b w:val="0"/>
          <w:sz w:val="32"/>
          <w:szCs w:val="32"/>
        </w:rPr>
        <w:t>。下一步改进措施：一是</w:t>
      </w:r>
      <w:r>
        <w:rPr>
          <w:rFonts w:hint="eastAsia" w:ascii="Times New Roman" w:eastAsia="仿宋_GB2312"/>
          <w:b w:val="0"/>
          <w:sz w:val="32"/>
          <w:szCs w:val="32"/>
          <w:lang w:eastAsia="zh-CN"/>
        </w:rPr>
        <w:t>进一步提高文艺家之家工程质量，打造优质文艺活动场所</w:t>
      </w:r>
      <w:r>
        <w:rPr>
          <w:rFonts w:ascii="Times New Roman" w:eastAsia="仿宋_GB2312"/>
          <w:b w:val="0"/>
          <w:sz w:val="32"/>
          <w:szCs w:val="32"/>
        </w:rPr>
        <w:t>；二是</w:t>
      </w:r>
      <w:r>
        <w:rPr>
          <w:rFonts w:hint="eastAsia" w:ascii="Times New Roman" w:eastAsia="仿宋_GB2312"/>
          <w:b w:val="0"/>
          <w:sz w:val="32"/>
          <w:szCs w:val="32"/>
        </w:rPr>
        <w:t>进一步支持重点文艺创作和活动，繁荣文化事业，促进文化事业发展</w:t>
      </w:r>
      <w:r>
        <w:rPr>
          <w:rFonts w:ascii="Times New Roman" w:eastAsia="仿宋_GB2312"/>
          <w:b w:val="0"/>
          <w:sz w:val="32"/>
          <w:szCs w:val="32"/>
        </w:rPr>
        <w:t>。</w:t>
      </w:r>
      <w:r>
        <w:rPr>
          <w:rFonts w:hint="eastAsia" w:ascii="Times New Roman" w:eastAsia="仿宋_GB2312"/>
          <w:b w:val="0"/>
          <w:sz w:val="32"/>
          <w:szCs w:val="32"/>
          <w:lang w:eastAsia="zh-CN"/>
        </w:rPr>
        <w:t>三是举办丰富多彩的文化活动。</w:t>
      </w:r>
    </w:p>
    <w:tbl>
      <w:tblPr>
        <w:tblStyle w:val="11"/>
        <w:tblpPr w:leftFromText="180" w:rightFromText="180" w:vertAnchor="text" w:horzAnchor="page" w:tblpX="1390" w:tblpY="1201"/>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附件1区级单位预算项目绩效自评表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 w:hRule="atLeast"/>
        </w:trPr>
        <w:tc>
          <w:tcPr>
            <w:tcW w:w="5000" w:type="pct"/>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bl>
    <w:p>
      <w:pPr>
        <w:widowControl/>
        <w:spacing w:before="0" w:beforeLines="0" w:beforeAutospacing="0" w:after="0" w:afterLines="0" w:afterAutospacing="0" w:line="360" w:lineRule="auto"/>
        <w:jc w:val="left"/>
        <w:rPr>
          <w:rFonts w:ascii="Times New Roman" w:eastAsia="仿宋_GB2312"/>
          <w:b/>
          <w:sz w:val="32"/>
          <w:szCs w:val="32"/>
        </w:rPr>
      </w:pPr>
    </w:p>
    <w:tbl>
      <w:tblPr>
        <w:tblStyle w:val="11"/>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8"/>
        <w:gridCol w:w="969"/>
        <w:gridCol w:w="960"/>
        <w:gridCol w:w="1303"/>
        <w:gridCol w:w="1363"/>
        <w:gridCol w:w="1045"/>
        <w:gridCol w:w="1129"/>
        <w:gridCol w:w="13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文艺家之家维修改造项目经费</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7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c>
          <w:tcPr>
            <w:tcW w:w="7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41"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完成文艺家之家初步建设，确保本年维修修改造工作完成，符合工程施工质量验收相关要求。</w:t>
            </w:r>
          </w:p>
        </w:tc>
        <w:tc>
          <w:tcPr>
            <w:tcW w:w="1904"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文艺家之家初步建设基本完成，施工质量符合要求。</w:t>
            </w:r>
          </w:p>
        </w:tc>
        <w:tc>
          <w:tcPr>
            <w:tcW w:w="73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17"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工程完工率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工程质量合格率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项目按计划开工率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维修改造项目成本费用</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7"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1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保障文联工作需要，促进文艺工作发展</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保障文联工作需要，促进文艺工作发展</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4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1"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进一步提高工程质量，打造优质文艺活动场所。</w:t>
            </w:r>
          </w:p>
        </w:tc>
      </w:tr>
    </w:tbl>
    <w:tbl>
      <w:tblPr>
        <w:tblStyle w:val="11"/>
        <w:tblpPr w:leftFromText="180" w:rightFromText="180" w:vertAnchor="text" w:horzAnchor="page" w:tblpX="977" w:tblpY="632"/>
        <w:tblOverlap w:val="never"/>
        <w:tblW w:w="110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0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025"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附件2区级单位预算项目绩效自评表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1025" w:type="dxa"/>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bl>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8"/>
        <w:gridCol w:w="971"/>
        <w:gridCol w:w="960"/>
        <w:gridCol w:w="1302"/>
        <w:gridCol w:w="1363"/>
        <w:gridCol w:w="1047"/>
        <w:gridCol w:w="1127"/>
        <w:gridCol w:w="13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文艺家之家加固经费</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7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c>
          <w:tcPr>
            <w:tcW w:w="7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41"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完成本年文艺家之家加固项目建设计划，确保负一层及以上的拆除、植筋、加大截面、砌筑工程，负二层的地面拆除、挖土方、垫层、砼挡土墙工程完工，且符合工程施工质量验收相关要求。</w:t>
            </w:r>
          </w:p>
        </w:tc>
        <w:tc>
          <w:tcPr>
            <w:tcW w:w="1904"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按照预期目标完成加固施工，工程质量符合要求。</w:t>
            </w:r>
          </w:p>
        </w:tc>
        <w:tc>
          <w:tcPr>
            <w:tcW w:w="73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1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工程完工率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工程质量合格率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项目按计划开工率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加固项目成本费用</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保障文联工作需要，促进文艺工作发展</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保障文联工作需要，促进文艺工作发展</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4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进一步提高工程质量，打造优质文艺活动场所。</w:t>
            </w:r>
          </w:p>
        </w:tc>
      </w:tr>
    </w:tbl>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8"/>
        <w:gridCol w:w="972"/>
        <w:gridCol w:w="960"/>
        <w:gridCol w:w="1300"/>
        <w:gridCol w:w="1363"/>
        <w:gridCol w:w="1048"/>
        <w:gridCol w:w="1128"/>
        <w:gridCol w:w="13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附件3区级单位预算项目绩效自评表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《鹿泉文苑》等书籍印刷费</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40"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积极组织编纂出版印刷《鹿泉文苑》等书籍，支持重点文艺创作和活动，繁荣文化事业，促进文化事业发展</w:t>
            </w:r>
          </w:p>
        </w:tc>
        <w:tc>
          <w:tcPr>
            <w:tcW w:w="1904"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编纂出版印刷了《鹿泉文苑》等书籍，促进文化事业发展，基本完成预期目标</w:t>
            </w:r>
          </w:p>
        </w:tc>
        <w:tc>
          <w:tcPr>
            <w:tcW w:w="736" w:type="pct"/>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1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印制计划完成量</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1000本</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1000本</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群众阅读书籍的参与率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产出完成的及时率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成本控制</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4.2044</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4.2044</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进一步加强文艺建设力度，促进文化发展</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进一步加强文艺建设力度，促进文化发展</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4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进一步支持重点文艺创作和活动，繁荣文化事业，促进文化事业发展。</w:t>
            </w:r>
          </w:p>
        </w:tc>
      </w:tr>
    </w:tbl>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39"/>
        <w:gridCol w:w="962"/>
        <w:gridCol w:w="1016"/>
        <w:gridCol w:w="1293"/>
        <w:gridCol w:w="1354"/>
        <w:gridCol w:w="1038"/>
        <w:gridCol w:w="1122"/>
        <w:gridCol w:w="13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附件4区级单位预算项目绩效自评表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协会活动经费</w:t>
            </w:r>
          </w:p>
        </w:tc>
        <w:tc>
          <w:tcPr>
            <w:tcW w:w="7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9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6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7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6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7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6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6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89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61"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积极组织协会开展文化活动，繁荣文化事业，进一步促进文化艺术的影响力和美誉度。</w:t>
            </w:r>
          </w:p>
        </w:tc>
        <w:tc>
          <w:tcPr>
            <w:tcW w:w="1892"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组织协会开展文化活动，进一步促进了文化艺术的影响力和美誉度，基本完成预期目标。</w:t>
            </w:r>
          </w:p>
        </w:tc>
        <w:tc>
          <w:tcPr>
            <w:tcW w:w="73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4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文化活动演出次数</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指导协会工作覆盖率(%)</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按期完成率</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控制在预算成本内</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46"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4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传播推广中国文化</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为群众提供丰富多彩的文化大餐，繁荣文化事业，进一步促进文化艺术的影响力和美誉度。</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为群众提供丰富多彩的文化大餐，繁荣文化事业，进一步促进文化艺术的影响力和美誉度。</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4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观众满意度</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5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13"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6"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进一步促进文联下属协会发展，举办丰富多彩的文化活动。</w:t>
            </w:r>
          </w:p>
        </w:tc>
      </w:tr>
    </w:tbl>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8"/>
        <w:gridCol w:w="972"/>
        <w:gridCol w:w="960"/>
        <w:gridCol w:w="1300"/>
        <w:gridCol w:w="1363"/>
        <w:gridCol w:w="1048"/>
        <w:gridCol w:w="1128"/>
        <w:gridCol w:w="13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附件5区级单位预算项目绩效自评表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协会活动及注册经费</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40"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全力推进协会注册和注册协会运行工作，进一步加大文化建设，促进文化事业再上新台阶。</w:t>
            </w:r>
          </w:p>
        </w:tc>
        <w:tc>
          <w:tcPr>
            <w:tcW w:w="1904"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推进了协会注册和注册协会的运行工作，确保协会健康良好运行。</w:t>
            </w:r>
          </w:p>
        </w:tc>
        <w:tc>
          <w:tcPr>
            <w:tcW w:w="73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1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支持机构建设数</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Arial Unicode MS" w:hAnsi="Arial Unicode MS" w:eastAsia="Arial Unicode MS" w:cs="Arial Unicode MS"/>
                <w:i w:val="0"/>
                <w:iCs w:val="0"/>
                <w:color w:val="000000"/>
                <w:sz w:val="20"/>
                <w:szCs w:val="20"/>
                <w:u w:val="none"/>
              </w:rPr>
            </w:pPr>
            <w:r>
              <w:rPr>
                <w:rFonts w:hint="default" w:ascii="Arial Unicode MS" w:hAnsi="Arial Unicode MS" w:eastAsia="Arial Unicode MS" w:cs="Arial Unicode MS"/>
                <w:i w:val="0"/>
                <w:iCs w:val="0"/>
                <w:color w:val="000000"/>
                <w:kern w:val="0"/>
                <w:sz w:val="20"/>
                <w:szCs w:val="20"/>
                <w:u w:val="none"/>
                <w:lang w:val="en-US" w:eastAsia="zh-CN" w:bidi="ar"/>
              </w:rPr>
              <w:t>协会工作活动覆盖率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协会活动的及时性</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项目预算控制数</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2.465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2.465</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传播推广中国文化</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进一步加强协会建设力度，繁荣文化事业，促进文化事业大发展</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进一步加强协会建设力度，繁荣文化事业，促进文化事业大发展</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受益人口的满意度</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4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进一步推进协会运行。</w:t>
            </w:r>
          </w:p>
        </w:tc>
      </w:tr>
    </w:tbl>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hint="eastAsia" w:ascii="Times New Roman" w:eastAsia="仿宋_GB2312"/>
          <w:sz w:val="32"/>
          <w:szCs w:val="32"/>
          <w:lang w:val="en-US" w:eastAsia="zh-CN"/>
        </w:rPr>
        <w:t>2024年度石家庄市鹿泉区文学艺术界联合会自评项目共5个，其中评价等级为“优”项目5个；评价等级为“良”的项目0个，评良率0%。</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0"/>
        <w:gridCol w:w="3120"/>
        <w:gridCol w:w="1572"/>
        <w:gridCol w:w="1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序号</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项目名称</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自评得分</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自评等级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文艺家之家维修改造项目经费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2</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文艺家之家加固经费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3</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《鹿泉文苑》等书籍印刷费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4</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协会活动经费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5</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协会活动及注册经费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bl>
    <w:p>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单位</w:t>
      </w:r>
      <w:r>
        <w:rPr>
          <w:rFonts w:ascii="Times New Roman" w:eastAsia="仿宋_GB2312"/>
          <w:b w:val="0"/>
          <w:sz w:val="32"/>
          <w:szCs w:val="32"/>
        </w:rPr>
        <w:t>2024年度政府性基金预算财政拨款收入支出决算表（公开07表）、国有资本经营预算财政拨款支出决算表（公开08表）、财政拨款“三公”经费支出决算表（公开09表）无相应收支，故空表列示。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9AE7666-0A6F-490B-A611-A4FE4B957CEA}"/>
  </w:font>
  <w:font w:name="黑体">
    <w:panose1 w:val="02010609060101010101"/>
    <w:charset w:val="86"/>
    <w:family w:val="auto"/>
    <w:pitch w:val="default"/>
    <w:sig w:usb0="800002BF" w:usb1="38CF7CFA" w:usb2="00000016" w:usb3="00000000" w:csb0="00040001" w:csb1="00000000"/>
    <w:embedRegular r:id="rId2" w:fontKey="{6B12504C-1EA8-498D-8C1E-A8EE37771D3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1802244E-712A-409A-B0AB-22DAD8EEE2AB}"/>
  </w:font>
  <w:font w:name="仿宋">
    <w:panose1 w:val="02010609060101010101"/>
    <w:charset w:val="86"/>
    <w:family w:val="modern"/>
    <w:pitch w:val="default"/>
    <w:sig w:usb0="800002BF" w:usb1="38CF7CFA" w:usb2="00000016" w:usb3="00000000" w:csb0="00040001" w:csb1="00000000"/>
    <w:embedRegular r:id="rId4" w:fontKey="{25D33781-D0BE-4691-B6D3-A7F1DFCDD0E3}"/>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C1A429C-18F1-488B-AD46-C3A0A0174406}"/>
  </w:font>
  <w:font w:name="方正小标宋_GBK">
    <w:panose1 w:val="02000000000000000000"/>
    <w:charset w:val="86"/>
    <w:family w:val="script"/>
    <w:pitch w:val="default"/>
    <w:sig w:usb0="A00002BF" w:usb1="38CF7CFA" w:usb2="00082016" w:usb3="00000000" w:csb0="00040001" w:csb1="00000000"/>
    <w:embedRegular r:id="rId6" w:fontKey="{BC6864D1-291B-4332-A4A6-EA0D6B50CD66}"/>
  </w:font>
  <w:font w:name="仿宋_GB2312">
    <w:panose1 w:val="02010609030101010101"/>
    <w:charset w:val="86"/>
    <w:family w:val="auto"/>
    <w:pitch w:val="default"/>
    <w:sig w:usb0="00000001" w:usb1="080E0000" w:usb2="00000000" w:usb3="00000000" w:csb0="00040000" w:csb1="00000000"/>
    <w:embedRegular r:id="rId7" w:fontKey="{D457CCB5-1C7F-4ED9-A0CC-6487BDC9A198}"/>
  </w:font>
  <w:font w:name="ArialUnicodeMS">
    <w:altName w:val="Malgun Gothic"/>
    <w:panose1 w:val="00000000000000000000"/>
    <w:charset w:val="81"/>
    <w:family w:val="auto"/>
    <w:pitch w:val="default"/>
    <w:sig w:usb0="00000000" w:usb1="00000000" w:usb2="00000010" w:usb3="00000000" w:csb0="00080001" w:csb1="00000000"/>
    <w:embedRegular r:id="rId8" w:fontKey="{8675941A-C465-44C0-8458-DBAE5E4CD985}"/>
  </w:font>
  <w:font w:name="方正仿宋_GB2312">
    <w:panose1 w:val="02000000000000000000"/>
    <w:charset w:val="86"/>
    <w:family w:val="auto"/>
    <w:pitch w:val="default"/>
    <w:sig w:usb0="A00002BF" w:usb1="184F6CFA" w:usb2="00000012" w:usb3="00000000" w:csb0="00040001" w:csb1="00000000"/>
    <w:embedRegular r:id="rId9" w:fontKey="{3D113C45-CC3D-426D-AA54-311CB80116B6}"/>
  </w:font>
  <w:font w:name="Arial Unicode MS">
    <w:altName w:val="Arial"/>
    <w:panose1 w:val="00000000000000000000"/>
    <w:charset w:val="00"/>
    <w:family w:val="auto"/>
    <w:pitch w:val="default"/>
    <w:sig w:usb0="00000000" w:usb1="00000000" w:usb2="00000000" w:usb3="00000000" w:csb0="00000000" w:csb1="00000000"/>
    <w:embedRegular r:id="rId10" w:fontKey="{95D66DB4-79B9-4B76-80EB-B24EAD4570F3}"/>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ODcsImhkaWQiOiJlZmMwNTQwN2RkMzYxMmFmMTVhOThiMjA3ZmZhODgxOCIsInVzZXJDb3VudCI6MTh9"/>
  </w:docVars>
  <w:rsids>
    <w:rsidRoot w:val="00000000"/>
    <w:rsid w:val="00086151"/>
    <w:rsid w:val="00236F8C"/>
    <w:rsid w:val="00822154"/>
    <w:rsid w:val="00C65689"/>
    <w:rsid w:val="00CC2C8E"/>
    <w:rsid w:val="010417B4"/>
    <w:rsid w:val="01A03C5A"/>
    <w:rsid w:val="01A5267D"/>
    <w:rsid w:val="01A8508C"/>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1221D"/>
    <w:rsid w:val="05991C82"/>
    <w:rsid w:val="05A67230"/>
    <w:rsid w:val="05CD1EC8"/>
    <w:rsid w:val="061416A9"/>
    <w:rsid w:val="061D60A6"/>
    <w:rsid w:val="06236884"/>
    <w:rsid w:val="06B07006"/>
    <w:rsid w:val="06FC7C2A"/>
    <w:rsid w:val="07533AFE"/>
    <w:rsid w:val="07AC18F2"/>
    <w:rsid w:val="07B3657A"/>
    <w:rsid w:val="07C857D0"/>
    <w:rsid w:val="083F3A0A"/>
    <w:rsid w:val="08AB5AAF"/>
    <w:rsid w:val="08EC5DCD"/>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12DE2"/>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6A412B"/>
    <w:rsid w:val="0F7470AF"/>
    <w:rsid w:val="0F891DB8"/>
    <w:rsid w:val="0F8D3287"/>
    <w:rsid w:val="0FAA3B86"/>
    <w:rsid w:val="0FB474ED"/>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A97430"/>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8E65C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086F"/>
    <w:rsid w:val="2B4975FB"/>
    <w:rsid w:val="2B695031"/>
    <w:rsid w:val="2B735A8F"/>
    <w:rsid w:val="2BA7478D"/>
    <w:rsid w:val="2BB038DB"/>
    <w:rsid w:val="2BB761E0"/>
    <w:rsid w:val="2BB812F9"/>
    <w:rsid w:val="2BE35C27"/>
    <w:rsid w:val="2BFA504B"/>
    <w:rsid w:val="2C681F1F"/>
    <w:rsid w:val="2C8608DC"/>
    <w:rsid w:val="2CA4764A"/>
    <w:rsid w:val="2CC42ECA"/>
    <w:rsid w:val="2CDA4349"/>
    <w:rsid w:val="2D181C24"/>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24075"/>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382482"/>
    <w:rsid w:val="3B4410EE"/>
    <w:rsid w:val="3B56159C"/>
    <w:rsid w:val="3B596DF7"/>
    <w:rsid w:val="3B7D732B"/>
    <w:rsid w:val="3BD30423"/>
    <w:rsid w:val="3C6C0B58"/>
    <w:rsid w:val="3C901384"/>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4B1A51"/>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BF1C9B"/>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8F2EAE"/>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9F2E35"/>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277420"/>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31206A"/>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184B55"/>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71"/>
    <w:basedOn w:val="13"/>
    <w:qFormat/>
    <w:uiPriority w:val="0"/>
    <w:rPr>
      <w:rFonts w:ascii="Calibri" w:hAnsi="Calibri" w:cs="Calibri"/>
      <w:color w:val="000000"/>
      <w:sz w:val="20"/>
      <w:szCs w:val="20"/>
      <w:u w:val="none"/>
    </w:rPr>
  </w:style>
  <w:style w:type="character" w:customStyle="1" w:styleId="26">
    <w:name w:val="font61"/>
    <w:basedOn w:val="13"/>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203.39</c:v>
                </c:pt>
                <c:pt idx="1">
                  <c:v>213.89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2138905.88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1674165.24</c:v>
                </c:pt>
                <c:pt idx="1">
                  <c:v>464740.64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203.39</c:v>
                </c:pt>
                <c:pt idx="1">
                  <c:v>203.39</c:v>
                </c:pt>
                <c:pt idx="2">
                  <c:v>203.39</c:v>
                </c:pt>
                <c:pt idx="3">
                  <c:v>203.39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213.89</c:v>
                </c:pt>
                <c:pt idx="1">
                  <c:v>213.89</c:v>
                </c:pt>
                <c:pt idx="2">
                  <c:v>213.89</c:v>
                </c:pt>
                <c:pt idx="3">
                  <c:v>213.89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298.67</c:v>
                </c:pt>
                <c:pt idx="1">
                  <c:v>298.67</c:v>
                </c:pt>
                <c:pt idx="2">
                  <c:v>298.67</c:v>
                </c:pt>
                <c:pt idx="3">
                  <c:v>298.67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213.89</c:v>
                </c:pt>
                <c:pt idx="1">
                  <c:v>213.89</c:v>
                </c:pt>
                <c:pt idx="2">
                  <c:v>213.89</c:v>
                </c:pt>
                <c:pt idx="3">
                  <c:v>213.89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170.42</c:v>
                </c:pt>
                <c:pt idx="7">
                  <c:v>22.47</c:v>
                </c:pt>
                <c:pt idx="8">
                  <c:v>8.57</c:v>
                </c:pt>
                <c:pt idx="9">
                  <c:v>0</c:v>
                </c:pt>
                <c:pt idx="10">
                  <c:v>0</c:v>
                </c:pt>
                <c:pt idx="11">
                  <c:v>0</c:v>
                </c:pt>
                <c:pt idx="12">
                  <c:v>0</c:v>
                </c:pt>
                <c:pt idx="13">
                  <c:v>0</c:v>
                </c:pt>
                <c:pt idx="14">
                  <c:v>0</c:v>
                </c:pt>
                <c:pt idx="15">
                  <c:v>0</c:v>
                </c:pt>
                <c:pt idx="16">
                  <c:v>0</c:v>
                </c:pt>
                <c:pt idx="17">
                  <c:v>0</c:v>
                </c:pt>
                <c:pt idx="18">
                  <c:v>12.43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45</Pages>
  <Words>12652</Words>
  <Characters>15010</Characters>
  <Lines>86</Lines>
  <Paragraphs>24</Paragraphs>
  <TotalTime>130</TotalTime>
  <ScaleCrop>false</ScaleCrop>
  <LinksUpToDate>false</LinksUpToDate>
  <CharactersWithSpaces>15873</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2025-09-25T05:49:37Z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84644A39B8504B44A901DC2E85C86E50</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