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100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101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11494.77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8998.00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732.72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169.81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5819.89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16607.06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457.80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20492.77</w:t>
            </w:r>
          </w:p>
        </w:tc>
        <w:tc>
          <w:tcPr>
            <w:tcW w:w="4535" w:type="dxa"/>
            <w:vAlign w:val="center"/>
          </w:tcPr>
          <w:p>
            <w:pPr>
              <w:pStyle w:val="15"/>
            </w:pPr>
            <w:r>
              <w:t>本年支出合计</w:t>
            </w:r>
          </w:p>
        </w:tc>
        <w:tc>
          <w:tcPr>
            <w:tcW w:w="2126" w:type="dxa"/>
            <w:vAlign w:val="center"/>
          </w:tcPr>
          <w:p>
            <w:pPr>
              <w:pStyle w:val="16"/>
            </w:pPr>
            <w:r>
              <w:t>27111.17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6618.40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27111.17</w:t>
            </w:r>
          </w:p>
        </w:tc>
        <w:tc>
          <w:tcPr>
            <w:tcW w:w="4535" w:type="dxa"/>
            <w:vAlign w:val="center"/>
          </w:tcPr>
          <w:p>
            <w:pPr>
              <w:pStyle w:val="15"/>
            </w:pPr>
            <w:r>
              <w:t>支出总计</w:t>
            </w:r>
          </w:p>
        </w:tc>
        <w:tc>
          <w:tcPr>
            <w:tcW w:w="2126" w:type="dxa"/>
            <w:vAlign w:val="center"/>
          </w:tcPr>
          <w:p>
            <w:pPr>
              <w:pStyle w:val="16"/>
            </w:pPr>
            <w:r>
              <w:t>27111.17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27111.17</w:t>
            </w:r>
          </w:p>
        </w:tc>
        <w:tc>
          <w:tcPr>
            <w:tcW w:w="1134" w:type="dxa"/>
            <w:vAlign w:val="center"/>
          </w:tcPr>
          <w:p>
            <w:pPr>
              <w:pStyle w:val="16"/>
            </w:pPr>
            <w:r>
              <w:t>20492.77</w:t>
            </w:r>
          </w:p>
        </w:tc>
        <w:tc>
          <w:tcPr>
            <w:tcW w:w="1134" w:type="dxa"/>
            <w:vAlign w:val="center"/>
          </w:tcPr>
          <w:p>
            <w:pPr>
              <w:pStyle w:val="16"/>
            </w:pPr>
            <w:r>
              <w:t>20492.77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6618.40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732.72</w:t>
            </w:r>
          </w:p>
        </w:tc>
        <w:tc>
          <w:tcPr>
            <w:tcW w:w="1134" w:type="dxa"/>
            <w:vAlign w:val="center"/>
          </w:tcPr>
          <w:p>
            <w:pPr>
              <w:pStyle w:val="12"/>
            </w:pPr>
            <w:r>
              <w:t>732.72</w:t>
            </w:r>
          </w:p>
        </w:tc>
        <w:tc>
          <w:tcPr>
            <w:tcW w:w="1134" w:type="dxa"/>
            <w:vAlign w:val="center"/>
          </w:tcPr>
          <w:p>
            <w:pPr>
              <w:pStyle w:val="12"/>
            </w:pPr>
            <w:r>
              <w:t>732.72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709.52</w:t>
            </w:r>
          </w:p>
        </w:tc>
        <w:tc>
          <w:tcPr>
            <w:tcW w:w="1134" w:type="dxa"/>
            <w:vAlign w:val="center"/>
          </w:tcPr>
          <w:p>
            <w:pPr>
              <w:pStyle w:val="12"/>
            </w:pPr>
            <w:r>
              <w:t>709.52</w:t>
            </w:r>
          </w:p>
        </w:tc>
        <w:tc>
          <w:tcPr>
            <w:tcW w:w="1134" w:type="dxa"/>
            <w:vAlign w:val="center"/>
          </w:tcPr>
          <w:p>
            <w:pPr>
              <w:pStyle w:val="12"/>
            </w:pPr>
            <w:r>
              <w:t>709.52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119.63</w:t>
            </w:r>
          </w:p>
        </w:tc>
        <w:tc>
          <w:tcPr>
            <w:tcW w:w="1134" w:type="dxa"/>
            <w:vAlign w:val="center"/>
          </w:tcPr>
          <w:p>
            <w:pPr>
              <w:pStyle w:val="12"/>
            </w:pPr>
            <w:r>
              <w:t>119.63</w:t>
            </w:r>
          </w:p>
        </w:tc>
        <w:tc>
          <w:tcPr>
            <w:tcW w:w="1134" w:type="dxa"/>
            <w:vAlign w:val="center"/>
          </w:tcPr>
          <w:p>
            <w:pPr>
              <w:pStyle w:val="12"/>
            </w:pPr>
            <w:r>
              <w:t>119.63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280.15</w:t>
            </w:r>
          </w:p>
        </w:tc>
        <w:tc>
          <w:tcPr>
            <w:tcW w:w="1134" w:type="dxa"/>
            <w:vAlign w:val="center"/>
          </w:tcPr>
          <w:p>
            <w:pPr>
              <w:pStyle w:val="12"/>
            </w:pPr>
            <w:r>
              <w:t>280.15</w:t>
            </w:r>
          </w:p>
        </w:tc>
        <w:tc>
          <w:tcPr>
            <w:tcW w:w="1134" w:type="dxa"/>
            <w:vAlign w:val="center"/>
          </w:tcPr>
          <w:p>
            <w:pPr>
              <w:pStyle w:val="12"/>
            </w:pPr>
            <w:r>
              <w:t>280.15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230.26</w:t>
            </w:r>
          </w:p>
        </w:tc>
        <w:tc>
          <w:tcPr>
            <w:tcW w:w="1134" w:type="dxa"/>
            <w:vAlign w:val="center"/>
          </w:tcPr>
          <w:p>
            <w:pPr>
              <w:pStyle w:val="12"/>
            </w:pPr>
            <w:r>
              <w:t>230.26</w:t>
            </w:r>
          </w:p>
        </w:tc>
        <w:tc>
          <w:tcPr>
            <w:tcW w:w="1134" w:type="dxa"/>
            <w:vAlign w:val="center"/>
          </w:tcPr>
          <w:p>
            <w:pPr>
              <w:pStyle w:val="12"/>
            </w:pPr>
            <w:r>
              <w:t>230.26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79.48</w:t>
            </w:r>
          </w:p>
        </w:tc>
        <w:tc>
          <w:tcPr>
            <w:tcW w:w="1134" w:type="dxa"/>
            <w:vAlign w:val="center"/>
          </w:tcPr>
          <w:p>
            <w:pPr>
              <w:pStyle w:val="12"/>
            </w:pPr>
            <w:r>
              <w:t>79.48</w:t>
            </w:r>
          </w:p>
        </w:tc>
        <w:tc>
          <w:tcPr>
            <w:tcW w:w="1134" w:type="dxa"/>
            <w:vAlign w:val="center"/>
          </w:tcPr>
          <w:p>
            <w:pPr>
              <w:pStyle w:val="12"/>
            </w:pPr>
            <w:r>
              <w:t>79.48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23.20</w:t>
            </w:r>
          </w:p>
        </w:tc>
        <w:tc>
          <w:tcPr>
            <w:tcW w:w="1134" w:type="dxa"/>
            <w:vAlign w:val="center"/>
          </w:tcPr>
          <w:p>
            <w:pPr>
              <w:pStyle w:val="12"/>
            </w:pPr>
            <w:r>
              <w:t>23.20</w:t>
            </w:r>
          </w:p>
        </w:tc>
        <w:tc>
          <w:tcPr>
            <w:tcW w:w="1134" w:type="dxa"/>
            <w:vAlign w:val="center"/>
          </w:tcPr>
          <w:p>
            <w:pPr>
              <w:pStyle w:val="12"/>
            </w:pPr>
            <w:r>
              <w:t>23.20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23.20</w:t>
            </w:r>
          </w:p>
        </w:tc>
        <w:tc>
          <w:tcPr>
            <w:tcW w:w="1134" w:type="dxa"/>
            <w:vAlign w:val="center"/>
          </w:tcPr>
          <w:p>
            <w:pPr>
              <w:pStyle w:val="12"/>
            </w:pPr>
            <w:r>
              <w:t>23.20</w:t>
            </w:r>
          </w:p>
        </w:tc>
        <w:tc>
          <w:tcPr>
            <w:tcW w:w="1134" w:type="dxa"/>
            <w:vAlign w:val="center"/>
          </w:tcPr>
          <w:p>
            <w:pPr>
              <w:pStyle w:val="12"/>
            </w:pPr>
            <w:r>
              <w:t>23.20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169.81</w:t>
            </w:r>
          </w:p>
        </w:tc>
        <w:tc>
          <w:tcPr>
            <w:tcW w:w="1134" w:type="dxa"/>
            <w:vAlign w:val="center"/>
          </w:tcPr>
          <w:p>
            <w:pPr>
              <w:pStyle w:val="12"/>
            </w:pPr>
            <w:r>
              <w:t>169.81</w:t>
            </w:r>
          </w:p>
        </w:tc>
        <w:tc>
          <w:tcPr>
            <w:tcW w:w="1134" w:type="dxa"/>
            <w:vAlign w:val="center"/>
          </w:tcPr>
          <w:p>
            <w:pPr>
              <w:pStyle w:val="12"/>
            </w:pPr>
            <w:r>
              <w:t>169.81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169.81</w:t>
            </w:r>
          </w:p>
        </w:tc>
        <w:tc>
          <w:tcPr>
            <w:tcW w:w="1134" w:type="dxa"/>
            <w:vAlign w:val="center"/>
          </w:tcPr>
          <w:p>
            <w:pPr>
              <w:pStyle w:val="12"/>
            </w:pPr>
            <w:r>
              <w:t>169.81</w:t>
            </w:r>
          </w:p>
        </w:tc>
        <w:tc>
          <w:tcPr>
            <w:tcW w:w="1134" w:type="dxa"/>
            <w:vAlign w:val="center"/>
          </w:tcPr>
          <w:p>
            <w:pPr>
              <w:pStyle w:val="12"/>
            </w:pPr>
            <w:r>
              <w:t>169.81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r>
              <w:t>18.16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151.64</w:t>
            </w:r>
          </w:p>
        </w:tc>
        <w:tc>
          <w:tcPr>
            <w:tcW w:w="1134" w:type="dxa"/>
            <w:vAlign w:val="center"/>
          </w:tcPr>
          <w:p>
            <w:pPr>
              <w:pStyle w:val="12"/>
            </w:pPr>
            <w:r>
              <w:t>151.64</w:t>
            </w:r>
          </w:p>
        </w:tc>
        <w:tc>
          <w:tcPr>
            <w:tcW w:w="1134" w:type="dxa"/>
            <w:vAlign w:val="center"/>
          </w:tcPr>
          <w:p>
            <w:pPr>
              <w:pStyle w:val="12"/>
            </w:pPr>
            <w:r>
              <w:t>151.64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5819.89</w:t>
            </w:r>
          </w:p>
        </w:tc>
        <w:tc>
          <w:tcPr>
            <w:tcW w:w="1134" w:type="dxa"/>
            <w:vAlign w:val="center"/>
          </w:tcPr>
          <w:p>
            <w:pPr>
              <w:pStyle w:val="12"/>
            </w:pPr>
            <w:r>
              <w:t>4820.39</w:t>
            </w:r>
          </w:p>
        </w:tc>
        <w:tc>
          <w:tcPr>
            <w:tcW w:w="1134" w:type="dxa"/>
            <w:vAlign w:val="center"/>
          </w:tcPr>
          <w:p>
            <w:pPr>
              <w:pStyle w:val="12"/>
            </w:pPr>
            <w:r>
              <w:t>4820.39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5819.89</w:t>
            </w:r>
          </w:p>
        </w:tc>
        <w:tc>
          <w:tcPr>
            <w:tcW w:w="1134" w:type="dxa"/>
            <w:vAlign w:val="center"/>
          </w:tcPr>
          <w:p>
            <w:pPr>
              <w:pStyle w:val="12"/>
            </w:pPr>
            <w:r>
              <w:t>4820.39</w:t>
            </w:r>
          </w:p>
        </w:tc>
        <w:tc>
          <w:tcPr>
            <w:tcW w:w="1134" w:type="dxa"/>
            <w:vAlign w:val="center"/>
          </w:tcPr>
          <w:p>
            <w:pPr>
              <w:pStyle w:val="12"/>
            </w:pPr>
            <w:r>
              <w:t>4820.39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4819.89</w:t>
            </w:r>
          </w:p>
        </w:tc>
        <w:tc>
          <w:tcPr>
            <w:tcW w:w="1134" w:type="dxa"/>
            <w:vAlign w:val="center"/>
          </w:tcPr>
          <w:p>
            <w:pPr>
              <w:pStyle w:val="12"/>
            </w:pPr>
            <w:r>
              <w:t>3820.39</w:t>
            </w:r>
          </w:p>
        </w:tc>
        <w:tc>
          <w:tcPr>
            <w:tcW w:w="1134" w:type="dxa"/>
            <w:vAlign w:val="center"/>
          </w:tcPr>
          <w:p>
            <w:pPr>
              <w:pStyle w:val="12"/>
            </w:pPr>
            <w:r>
              <w:t>3820.39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999.50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2110302</w:t>
            </w:r>
          </w:p>
        </w:tc>
        <w:tc>
          <w:tcPr>
            <w:tcW w:w="1559" w:type="dxa"/>
            <w:vAlign w:val="center"/>
          </w:tcPr>
          <w:p>
            <w:pPr>
              <w:pStyle w:val="13"/>
            </w:pPr>
            <w:r>
              <w:t>水体</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r>
              <w:t>1000.00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16607.06</w:t>
            </w:r>
          </w:p>
        </w:tc>
        <w:tc>
          <w:tcPr>
            <w:tcW w:w="1134" w:type="dxa"/>
            <w:vAlign w:val="center"/>
          </w:tcPr>
          <w:p>
            <w:pPr>
              <w:pStyle w:val="12"/>
            </w:pPr>
            <w:r>
              <w:t>14212.06</w:t>
            </w:r>
          </w:p>
        </w:tc>
        <w:tc>
          <w:tcPr>
            <w:tcW w:w="1134" w:type="dxa"/>
            <w:vAlign w:val="center"/>
          </w:tcPr>
          <w:p>
            <w:pPr>
              <w:pStyle w:val="12"/>
            </w:pPr>
            <w:r>
              <w:t>14212.06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1672.52</w:t>
            </w:r>
          </w:p>
        </w:tc>
        <w:tc>
          <w:tcPr>
            <w:tcW w:w="1134" w:type="dxa"/>
            <w:vAlign w:val="center"/>
          </w:tcPr>
          <w:p>
            <w:pPr>
              <w:pStyle w:val="12"/>
            </w:pPr>
            <w:r>
              <w:t>1672.52</w:t>
            </w:r>
          </w:p>
        </w:tc>
        <w:tc>
          <w:tcPr>
            <w:tcW w:w="1134" w:type="dxa"/>
            <w:vAlign w:val="center"/>
          </w:tcPr>
          <w:p>
            <w:pPr>
              <w:pStyle w:val="12"/>
            </w:pPr>
            <w:r>
              <w:t>1672.52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1336.72</w:t>
            </w:r>
          </w:p>
        </w:tc>
        <w:tc>
          <w:tcPr>
            <w:tcW w:w="1134" w:type="dxa"/>
            <w:vAlign w:val="center"/>
          </w:tcPr>
          <w:p>
            <w:pPr>
              <w:pStyle w:val="12"/>
            </w:pPr>
            <w:r>
              <w:t>1336.72</w:t>
            </w:r>
          </w:p>
        </w:tc>
        <w:tc>
          <w:tcPr>
            <w:tcW w:w="1134" w:type="dxa"/>
            <w:vAlign w:val="center"/>
          </w:tcPr>
          <w:p>
            <w:pPr>
              <w:pStyle w:val="12"/>
            </w:pPr>
            <w:r>
              <w:t>1336.72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2120102</w:t>
            </w:r>
          </w:p>
        </w:tc>
        <w:tc>
          <w:tcPr>
            <w:tcW w:w="1559" w:type="dxa"/>
            <w:vAlign w:val="center"/>
          </w:tcPr>
          <w:p>
            <w:pPr>
              <w:pStyle w:val="13"/>
            </w:pPr>
            <w:r>
              <w:t>一般行政管理事务</w:t>
            </w:r>
          </w:p>
        </w:tc>
        <w:tc>
          <w:tcPr>
            <w:tcW w:w="1134" w:type="dxa"/>
            <w:vAlign w:val="center"/>
          </w:tcPr>
          <w:p>
            <w:pPr>
              <w:pStyle w:val="12"/>
            </w:pPr>
            <w:r>
              <w:t>335.80</w:t>
            </w:r>
          </w:p>
        </w:tc>
        <w:tc>
          <w:tcPr>
            <w:tcW w:w="1134" w:type="dxa"/>
            <w:vAlign w:val="center"/>
          </w:tcPr>
          <w:p>
            <w:pPr>
              <w:pStyle w:val="12"/>
            </w:pPr>
            <w:r>
              <w:t>335.80</w:t>
            </w:r>
          </w:p>
        </w:tc>
        <w:tc>
          <w:tcPr>
            <w:tcW w:w="1134" w:type="dxa"/>
            <w:vAlign w:val="center"/>
          </w:tcPr>
          <w:p>
            <w:pPr>
              <w:pStyle w:val="12"/>
            </w:pPr>
            <w:r>
              <w:t>335.80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1861.50</w:t>
            </w:r>
          </w:p>
        </w:tc>
        <w:tc>
          <w:tcPr>
            <w:tcW w:w="1134" w:type="dxa"/>
            <w:vAlign w:val="center"/>
          </w:tcPr>
          <w:p>
            <w:pPr>
              <w:pStyle w:val="12"/>
            </w:pPr>
            <w:r>
              <w:t>1861.50</w:t>
            </w:r>
          </w:p>
        </w:tc>
        <w:tc>
          <w:tcPr>
            <w:tcW w:w="1134" w:type="dxa"/>
            <w:vAlign w:val="center"/>
          </w:tcPr>
          <w:p>
            <w:pPr>
              <w:pStyle w:val="12"/>
            </w:pPr>
            <w:r>
              <w:t>1861.50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561.50</w:t>
            </w:r>
          </w:p>
        </w:tc>
        <w:tc>
          <w:tcPr>
            <w:tcW w:w="1134" w:type="dxa"/>
            <w:vAlign w:val="center"/>
          </w:tcPr>
          <w:p>
            <w:pPr>
              <w:pStyle w:val="12"/>
            </w:pPr>
            <w:r>
              <w:t>561.50</w:t>
            </w:r>
          </w:p>
        </w:tc>
        <w:tc>
          <w:tcPr>
            <w:tcW w:w="1134" w:type="dxa"/>
            <w:vAlign w:val="center"/>
          </w:tcPr>
          <w:p>
            <w:pPr>
              <w:pStyle w:val="12"/>
            </w:pPr>
            <w:r>
              <w:t>561.50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1300.00</w:t>
            </w:r>
          </w:p>
        </w:tc>
        <w:tc>
          <w:tcPr>
            <w:tcW w:w="1134" w:type="dxa"/>
            <w:vAlign w:val="center"/>
          </w:tcPr>
          <w:p>
            <w:pPr>
              <w:pStyle w:val="12"/>
            </w:pPr>
            <w:r>
              <w:t>1300.00</w:t>
            </w:r>
          </w:p>
        </w:tc>
        <w:tc>
          <w:tcPr>
            <w:tcW w:w="1134" w:type="dxa"/>
            <w:vAlign w:val="center"/>
          </w:tcPr>
          <w:p>
            <w:pPr>
              <w:pStyle w:val="12"/>
            </w:pPr>
            <w:r>
              <w:t>1300.00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21206</w:t>
            </w:r>
          </w:p>
        </w:tc>
        <w:tc>
          <w:tcPr>
            <w:tcW w:w="1559" w:type="dxa"/>
            <w:vAlign w:val="center"/>
          </w:tcPr>
          <w:p>
            <w:pPr>
              <w:pStyle w:val="13"/>
            </w:pPr>
            <w:r>
              <w:t>建设市场管理与监督</w:t>
            </w:r>
          </w:p>
        </w:tc>
        <w:tc>
          <w:tcPr>
            <w:tcW w:w="1134" w:type="dxa"/>
            <w:vAlign w:val="center"/>
          </w:tcPr>
          <w:p>
            <w:pPr>
              <w:pStyle w:val="12"/>
            </w:pPr>
            <w:r>
              <w:t>1680.04</w:t>
            </w:r>
          </w:p>
        </w:tc>
        <w:tc>
          <w:tcPr>
            <w:tcW w:w="1134" w:type="dxa"/>
            <w:vAlign w:val="center"/>
          </w:tcPr>
          <w:p>
            <w:pPr>
              <w:pStyle w:val="12"/>
            </w:pPr>
            <w:r>
              <w:t>1680.04</w:t>
            </w:r>
          </w:p>
        </w:tc>
        <w:tc>
          <w:tcPr>
            <w:tcW w:w="1134" w:type="dxa"/>
            <w:vAlign w:val="center"/>
          </w:tcPr>
          <w:p>
            <w:pPr>
              <w:pStyle w:val="12"/>
            </w:pPr>
            <w:r>
              <w:t>1680.04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2120601</w:t>
            </w:r>
          </w:p>
        </w:tc>
        <w:tc>
          <w:tcPr>
            <w:tcW w:w="1559" w:type="dxa"/>
            <w:vAlign w:val="center"/>
          </w:tcPr>
          <w:p>
            <w:pPr>
              <w:pStyle w:val="13"/>
            </w:pPr>
            <w:r>
              <w:t>建设市场管理与监督</w:t>
            </w:r>
          </w:p>
        </w:tc>
        <w:tc>
          <w:tcPr>
            <w:tcW w:w="1134" w:type="dxa"/>
            <w:vAlign w:val="center"/>
          </w:tcPr>
          <w:p>
            <w:pPr>
              <w:pStyle w:val="12"/>
            </w:pPr>
            <w:r>
              <w:t>1680.04</w:t>
            </w:r>
          </w:p>
        </w:tc>
        <w:tc>
          <w:tcPr>
            <w:tcW w:w="1134" w:type="dxa"/>
            <w:vAlign w:val="center"/>
          </w:tcPr>
          <w:p>
            <w:pPr>
              <w:pStyle w:val="12"/>
            </w:pPr>
            <w:r>
              <w:t>1680.04</w:t>
            </w:r>
          </w:p>
        </w:tc>
        <w:tc>
          <w:tcPr>
            <w:tcW w:w="1134" w:type="dxa"/>
            <w:vAlign w:val="center"/>
          </w:tcPr>
          <w:p>
            <w:pPr>
              <w:pStyle w:val="12"/>
            </w:pPr>
            <w:r>
              <w:t>1680.04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5498.00</w:t>
            </w:r>
          </w:p>
        </w:tc>
        <w:tc>
          <w:tcPr>
            <w:tcW w:w="1134" w:type="dxa"/>
            <w:vAlign w:val="center"/>
          </w:tcPr>
          <w:p>
            <w:pPr>
              <w:pStyle w:val="12"/>
            </w:pPr>
            <w:r>
              <w:t>5498.00</w:t>
            </w:r>
          </w:p>
        </w:tc>
        <w:tc>
          <w:tcPr>
            <w:tcW w:w="1134" w:type="dxa"/>
            <w:vAlign w:val="center"/>
          </w:tcPr>
          <w:p>
            <w:pPr>
              <w:pStyle w:val="12"/>
            </w:pPr>
            <w:r>
              <w:t>5498.00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2120801</w:t>
            </w:r>
          </w:p>
        </w:tc>
        <w:tc>
          <w:tcPr>
            <w:tcW w:w="1559" w:type="dxa"/>
            <w:vAlign w:val="center"/>
          </w:tcPr>
          <w:p>
            <w:pPr>
              <w:pStyle w:val="13"/>
            </w:pPr>
            <w:r>
              <w:t>征地和拆迁补偿支出</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r>
              <w:t>1500.00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3398.00</w:t>
            </w:r>
          </w:p>
        </w:tc>
        <w:tc>
          <w:tcPr>
            <w:tcW w:w="1134" w:type="dxa"/>
            <w:vAlign w:val="center"/>
          </w:tcPr>
          <w:p>
            <w:pPr>
              <w:pStyle w:val="12"/>
            </w:pPr>
            <w:r>
              <w:t>3398.00</w:t>
            </w:r>
          </w:p>
        </w:tc>
        <w:tc>
          <w:tcPr>
            <w:tcW w:w="1134" w:type="dxa"/>
            <w:vAlign w:val="center"/>
          </w:tcPr>
          <w:p>
            <w:pPr>
              <w:pStyle w:val="12"/>
            </w:pPr>
            <w:r>
              <w:t>3398.00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2120807</w:t>
            </w:r>
          </w:p>
        </w:tc>
        <w:tc>
          <w:tcPr>
            <w:tcW w:w="1559" w:type="dxa"/>
            <w:vAlign w:val="center"/>
          </w:tcPr>
          <w:p>
            <w:pPr>
              <w:pStyle w:val="13"/>
            </w:pPr>
            <w:r>
              <w:t>廉租住房支出</w:t>
            </w:r>
          </w:p>
        </w:tc>
        <w:tc>
          <w:tcPr>
            <w:tcW w:w="1134" w:type="dxa"/>
            <w:vAlign w:val="center"/>
          </w:tcPr>
          <w:p>
            <w:pPr>
              <w:pStyle w:val="12"/>
            </w:pPr>
            <w:r>
              <w:t>600.00</w:t>
            </w:r>
          </w:p>
        </w:tc>
        <w:tc>
          <w:tcPr>
            <w:tcW w:w="1134" w:type="dxa"/>
            <w:vAlign w:val="center"/>
          </w:tcPr>
          <w:p>
            <w:pPr>
              <w:pStyle w:val="12"/>
            </w:pPr>
            <w:r>
              <w:t>600.00</w:t>
            </w:r>
          </w:p>
        </w:tc>
        <w:tc>
          <w:tcPr>
            <w:tcW w:w="1134" w:type="dxa"/>
            <w:vAlign w:val="center"/>
          </w:tcPr>
          <w:p>
            <w:pPr>
              <w:pStyle w:val="12"/>
            </w:pPr>
            <w:r>
              <w:t>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21214</w:t>
            </w:r>
          </w:p>
        </w:tc>
        <w:tc>
          <w:tcPr>
            <w:tcW w:w="1559" w:type="dxa"/>
            <w:vAlign w:val="center"/>
          </w:tcPr>
          <w:p>
            <w:pPr>
              <w:pStyle w:val="13"/>
            </w:pPr>
            <w:r>
              <w:t>污水处理费安排的支出</w:t>
            </w:r>
          </w:p>
        </w:tc>
        <w:tc>
          <w:tcPr>
            <w:tcW w:w="1134" w:type="dxa"/>
            <w:vAlign w:val="center"/>
          </w:tcPr>
          <w:p>
            <w:pPr>
              <w:pStyle w:val="12"/>
            </w:pPr>
            <w:r>
              <w:t>3500.00</w:t>
            </w:r>
          </w:p>
        </w:tc>
        <w:tc>
          <w:tcPr>
            <w:tcW w:w="1134" w:type="dxa"/>
            <w:vAlign w:val="center"/>
          </w:tcPr>
          <w:p>
            <w:pPr>
              <w:pStyle w:val="12"/>
            </w:pPr>
            <w:r>
              <w:t>3500.00</w:t>
            </w:r>
          </w:p>
        </w:tc>
        <w:tc>
          <w:tcPr>
            <w:tcW w:w="1134" w:type="dxa"/>
            <w:vAlign w:val="center"/>
          </w:tcPr>
          <w:p>
            <w:pPr>
              <w:pStyle w:val="12"/>
            </w:pPr>
            <w:r>
              <w:t>3500.00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2121401</w:t>
            </w:r>
          </w:p>
        </w:tc>
        <w:tc>
          <w:tcPr>
            <w:tcW w:w="1559" w:type="dxa"/>
            <w:vAlign w:val="center"/>
          </w:tcPr>
          <w:p>
            <w:pPr>
              <w:pStyle w:val="13"/>
            </w:pPr>
            <w:r>
              <w:t>污水处理设施建设和运营</w:t>
            </w:r>
          </w:p>
        </w:tc>
        <w:tc>
          <w:tcPr>
            <w:tcW w:w="1134" w:type="dxa"/>
            <w:vAlign w:val="center"/>
          </w:tcPr>
          <w:p>
            <w:pPr>
              <w:pStyle w:val="12"/>
            </w:pPr>
            <w:r>
              <w:t>3500.00</w:t>
            </w:r>
          </w:p>
        </w:tc>
        <w:tc>
          <w:tcPr>
            <w:tcW w:w="1134" w:type="dxa"/>
            <w:vAlign w:val="center"/>
          </w:tcPr>
          <w:p>
            <w:pPr>
              <w:pStyle w:val="12"/>
            </w:pPr>
            <w:r>
              <w:t>3500.00</w:t>
            </w:r>
          </w:p>
        </w:tc>
        <w:tc>
          <w:tcPr>
            <w:tcW w:w="1134" w:type="dxa"/>
            <w:vAlign w:val="center"/>
          </w:tcPr>
          <w:p>
            <w:pPr>
              <w:pStyle w:val="12"/>
            </w:pPr>
            <w:r>
              <w:t>3500.00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21216</w:t>
            </w:r>
          </w:p>
        </w:tc>
        <w:tc>
          <w:tcPr>
            <w:tcW w:w="1559" w:type="dxa"/>
            <w:vAlign w:val="center"/>
          </w:tcPr>
          <w:p>
            <w:pPr>
              <w:pStyle w:val="13"/>
            </w:pPr>
            <w:r>
              <w:t>棚户区改造专项债券收入安排的支出</w:t>
            </w:r>
          </w:p>
        </w:tc>
        <w:tc>
          <w:tcPr>
            <w:tcW w:w="1134" w:type="dxa"/>
            <w:vAlign w:val="center"/>
          </w:tcPr>
          <w:p>
            <w:pPr>
              <w:pStyle w:val="12"/>
            </w:pPr>
            <w:r>
              <w:t>2395.00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2121699</w:t>
            </w:r>
          </w:p>
        </w:tc>
        <w:tc>
          <w:tcPr>
            <w:tcW w:w="1559" w:type="dxa"/>
            <w:vAlign w:val="center"/>
          </w:tcPr>
          <w:p>
            <w:pPr>
              <w:pStyle w:val="13"/>
            </w:pPr>
            <w:r>
              <w:t>其他棚户区改造专项债券收入安排的支出</w:t>
            </w:r>
          </w:p>
        </w:tc>
        <w:tc>
          <w:tcPr>
            <w:tcW w:w="1134" w:type="dxa"/>
            <w:vAlign w:val="center"/>
          </w:tcPr>
          <w:p>
            <w:pPr>
              <w:pStyle w:val="12"/>
            </w:pPr>
            <w:r>
              <w:t>2395.00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111.00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111.00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111.00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457.80</w:t>
            </w:r>
          </w:p>
        </w:tc>
        <w:tc>
          <w:tcPr>
            <w:tcW w:w="1134" w:type="dxa"/>
            <w:vAlign w:val="center"/>
          </w:tcPr>
          <w:p>
            <w:pPr>
              <w:pStyle w:val="12"/>
            </w:pPr>
            <w:r>
              <w:t>457.80</w:t>
            </w:r>
          </w:p>
        </w:tc>
        <w:tc>
          <w:tcPr>
            <w:tcW w:w="1134" w:type="dxa"/>
            <w:vAlign w:val="center"/>
          </w:tcPr>
          <w:p>
            <w:pPr>
              <w:pStyle w:val="12"/>
            </w:pPr>
            <w:r>
              <w:t>457.80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22101</w:t>
            </w:r>
          </w:p>
        </w:tc>
        <w:tc>
          <w:tcPr>
            <w:tcW w:w="1559" w:type="dxa"/>
            <w:vAlign w:val="center"/>
          </w:tcPr>
          <w:p>
            <w:pPr>
              <w:pStyle w:val="13"/>
            </w:pPr>
            <w:r>
              <w:t>保障性安居工程支出</w:t>
            </w:r>
          </w:p>
        </w:tc>
        <w:tc>
          <w:tcPr>
            <w:tcW w:w="1134" w:type="dxa"/>
            <w:vAlign w:val="center"/>
          </w:tcPr>
          <w:p>
            <w:pPr>
              <w:pStyle w:val="12"/>
            </w:pPr>
            <w:r>
              <w:t>243.00</w:t>
            </w:r>
          </w:p>
        </w:tc>
        <w:tc>
          <w:tcPr>
            <w:tcW w:w="1134" w:type="dxa"/>
            <w:vAlign w:val="center"/>
          </w:tcPr>
          <w:p>
            <w:pPr>
              <w:pStyle w:val="12"/>
            </w:pPr>
            <w:r>
              <w:t>243.00</w:t>
            </w:r>
          </w:p>
        </w:tc>
        <w:tc>
          <w:tcPr>
            <w:tcW w:w="1134" w:type="dxa"/>
            <w:vAlign w:val="center"/>
          </w:tcPr>
          <w:p>
            <w:pPr>
              <w:pStyle w:val="12"/>
            </w:pPr>
            <w:r>
              <w:t>243.00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2210103</w:t>
            </w:r>
          </w:p>
        </w:tc>
        <w:tc>
          <w:tcPr>
            <w:tcW w:w="1559" w:type="dxa"/>
            <w:vAlign w:val="center"/>
          </w:tcPr>
          <w:p>
            <w:pPr>
              <w:pStyle w:val="13"/>
            </w:pPr>
            <w:r>
              <w:t>棚户区改造</w:t>
            </w:r>
          </w:p>
        </w:tc>
        <w:tc>
          <w:tcPr>
            <w:tcW w:w="1134" w:type="dxa"/>
            <w:vAlign w:val="center"/>
          </w:tcPr>
          <w:p>
            <w:pPr>
              <w:pStyle w:val="12"/>
            </w:pPr>
            <w:r>
              <w:t>138.00</w:t>
            </w:r>
          </w:p>
        </w:tc>
        <w:tc>
          <w:tcPr>
            <w:tcW w:w="1134" w:type="dxa"/>
            <w:vAlign w:val="center"/>
          </w:tcPr>
          <w:p>
            <w:pPr>
              <w:pStyle w:val="12"/>
            </w:pPr>
            <w:r>
              <w:t>138.00</w:t>
            </w:r>
          </w:p>
        </w:tc>
        <w:tc>
          <w:tcPr>
            <w:tcW w:w="1134" w:type="dxa"/>
            <w:vAlign w:val="center"/>
          </w:tcPr>
          <w:p>
            <w:pPr>
              <w:pStyle w:val="12"/>
            </w:pPr>
            <w:r>
              <w:t>138.00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2210105</w:t>
            </w:r>
          </w:p>
        </w:tc>
        <w:tc>
          <w:tcPr>
            <w:tcW w:w="1559" w:type="dxa"/>
            <w:vAlign w:val="center"/>
          </w:tcPr>
          <w:p>
            <w:pPr>
              <w:pStyle w:val="13"/>
            </w:pPr>
            <w:r>
              <w:t>农村危房改造</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2210111</w:t>
            </w:r>
          </w:p>
        </w:tc>
        <w:tc>
          <w:tcPr>
            <w:tcW w:w="1559" w:type="dxa"/>
            <w:vAlign w:val="center"/>
          </w:tcPr>
          <w:p>
            <w:pPr>
              <w:pStyle w:val="13"/>
            </w:pPr>
            <w:r>
              <w:t>配租型住房保障</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r>
              <w:t>85.00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214.80</w:t>
            </w:r>
          </w:p>
        </w:tc>
        <w:tc>
          <w:tcPr>
            <w:tcW w:w="1134" w:type="dxa"/>
            <w:vAlign w:val="center"/>
          </w:tcPr>
          <w:p>
            <w:pPr>
              <w:pStyle w:val="12"/>
            </w:pPr>
            <w:r>
              <w:t>214.80</w:t>
            </w:r>
          </w:p>
        </w:tc>
        <w:tc>
          <w:tcPr>
            <w:tcW w:w="1134" w:type="dxa"/>
            <w:vAlign w:val="center"/>
          </w:tcPr>
          <w:p>
            <w:pPr>
              <w:pStyle w:val="12"/>
            </w:pPr>
            <w:r>
              <w:t>214.80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214.80</w:t>
            </w:r>
          </w:p>
        </w:tc>
        <w:tc>
          <w:tcPr>
            <w:tcW w:w="1134" w:type="dxa"/>
            <w:vAlign w:val="center"/>
          </w:tcPr>
          <w:p>
            <w:pPr>
              <w:pStyle w:val="12"/>
            </w:pPr>
            <w:r>
              <w:t>214.80</w:t>
            </w:r>
          </w:p>
        </w:tc>
        <w:tc>
          <w:tcPr>
            <w:tcW w:w="1134" w:type="dxa"/>
            <w:vAlign w:val="center"/>
          </w:tcPr>
          <w:p>
            <w:pPr>
              <w:pStyle w:val="12"/>
            </w:pPr>
            <w:r>
              <w:t>214.80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3212.90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46</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3212.90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47</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3212.90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3212.90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27111.17</w:t>
            </w:r>
          </w:p>
        </w:tc>
        <w:tc>
          <w:tcPr>
            <w:tcW w:w="1361" w:type="dxa"/>
            <w:vAlign w:val="center"/>
          </w:tcPr>
          <w:p>
            <w:pPr>
              <w:pStyle w:val="16"/>
            </w:pPr>
            <w:r>
              <w:t>3628.16</w:t>
            </w:r>
          </w:p>
        </w:tc>
        <w:tc>
          <w:tcPr>
            <w:tcW w:w="1361" w:type="dxa"/>
            <w:vAlign w:val="center"/>
          </w:tcPr>
          <w:p>
            <w:pPr>
              <w:pStyle w:val="16"/>
            </w:pPr>
            <w:r>
              <w:t>23483.01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732.72</w:t>
            </w:r>
          </w:p>
        </w:tc>
        <w:tc>
          <w:tcPr>
            <w:tcW w:w="1361" w:type="dxa"/>
            <w:vAlign w:val="center"/>
          </w:tcPr>
          <w:p>
            <w:pPr>
              <w:pStyle w:val="12"/>
            </w:pPr>
            <w:r>
              <w:t>709.52</w:t>
            </w:r>
          </w:p>
        </w:tc>
        <w:tc>
          <w:tcPr>
            <w:tcW w:w="1361" w:type="dxa"/>
            <w:vAlign w:val="center"/>
          </w:tcPr>
          <w:p>
            <w:pPr>
              <w:pStyle w:val="12"/>
            </w:pPr>
            <w:r>
              <w:t>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709.52</w:t>
            </w:r>
          </w:p>
        </w:tc>
        <w:tc>
          <w:tcPr>
            <w:tcW w:w="1361" w:type="dxa"/>
            <w:vAlign w:val="center"/>
          </w:tcPr>
          <w:p>
            <w:pPr>
              <w:pStyle w:val="12"/>
            </w:pPr>
            <w:r>
              <w:t>709.52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119.63</w:t>
            </w:r>
          </w:p>
        </w:tc>
        <w:tc>
          <w:tcPr>
            <w:tcW w:w="1361" w:type="dxa"/>
            <w:vAlign w:val="center"/>
          </w:tcPr>
          <w:p>
            <w:pPr>
              <w:pStyle w:val="12"/>
            </w:pPr>
            <w:r>
              <w:t>119.63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280.15</w:t>
            </w:r>
          </w:p>
        </w:tc>
        <w:tc>
          <w:tcPr>
            <w:tcW w:w="1361" w:type="dxa"/>
            <w:vAlign w:val="center"/>
          </w:tcPr>
          <w:p>
            <w:pPr>
              <w:pStyle w:val="12"/>
            </w:pPr>
            <w:r>
              <w:t>280.15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230.26</w:t>
            </w:r>
          </w:p>
        </w:tc>
        <w:tc>
          <w:tcPr>
            <w:tcW w:w="1361" w:type="dxa"/>
            <w:vAlign w:val="center"/>
          </w:tcPr>
          <w:p>
            <w:pPr>
              <w:pStyle w:val="12"/>
            </w:pPr>
            <w:r>
              <w:t>230.26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79.48</w:t>
            </w:r>
          </w:p>
        </w:tc>
        <w:tc>
          <w:tcPr>
            <w:tcW w:w="1361" w:type="dxa"/>
            <w:vAlign w:val="center"/>
          </w:tcPr>
          <w:p>
            <w:pPr>
              <w:pStyle w:val="12"/>
            </w:pPr>
            <w:r>
              <w:t>79.48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23.20</w:t>
            </w:r>
          </w:p>
        </w:tc>
        <w:tc>
          <w:tcPr>
            <w:tcW w:w="1361" w:type="dxa"/>
            <w:vAlign w:val="center"/>
          </w:tcPr>
          <w:p>
            <w:pPr>
              <w:pStyle w:val="12"/>
            </w:pPr>
          </w:p>
        </w:tc>
        <w:tc>
          <w:tcPr>
            <w:tcW w:w="1361" w:type="dxa"/>
            <w:vAlign w:val="center"/>
          </w:tcPr>
          <w:p>
            <w:pPr>
              <w:pStyle w:val="12"/>
            </w:pPr>
            <w:r>
              <w:t>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23.20</w:t>
            </w:r>
          </w:p>
        </w:tc>
        <w:tc>
          <w:tcPr>
            <w:tcW w:w="1361" w:type="dxa"/>
            <w:vAlign w:val="center"/>
          </w:tcPr>
          <w:p>
            <w:pPr>
              <w:pStyle w:val="12"/>
            </w:pPr>
          </w:p>
        </w:tc>
        <w:tc>
          <w:tcPr>
            <w:tcW w:w="1361" w:type="dxa"/>
            <w:vAlign w:val="center"/>
          </w:tcPr>
          <w:p>
            <w:pPr>
              <w:pStyle w:val="12"/>
            </w:pPr>
            <w:r>
              <w:t>23.20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169.81</w:t>
            </w:r>
          </w:p>
        </w:tc>
        <w:tc>
          <w:tcPr>
            <w:tcW w:w="1361" w:type="dxa"/>
            <w:vAlign w:val="center"/>
          </w:tcPr>
          <w:p>
            <w:pPr>
              <w:pStyle w:val="12"/>
            </w:pPr>
            <w:r>
              <w:t>169.81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169.81</w:t>
            </w:r>
          </w:p>
        </w:tc>
        <w:tc>
          <w:tcPr>
            <w:tcW w:w="1361" w:type="dxa"/>
            <w:vAlign w:val="center"/>
          </w:tcPr>
          <w:p>
            <w:pPr>
              <w:pStyle w:val="12"/>
            </w:pPr>
            <w:r>
              <w:t>169.81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18.16</w:t>
            </w:r>
          </w:p>
        </w:tc>
        <w:tc>
          <w:tcPr>
            <w:tcW w:w="1361" w:type="dxa"/>
            <w:vAlign w:val="center"/>
          </w:tcPr>
          <w:p>
            <w:pPr>
              <w:pStyle w:val="12"/>
            </w:pPr>
            <w:r>
              <w:t>18.16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151.64</w:t>
            </w:r>
          </w:p>
        </w:tc>
        <w:tc>
          <w:tcPr>
            <w:tcW w:w="1361" w:type="dxa"/>
            <w:vAlign w:val="center"/>
          </w:tcPr>
          <w:p>
            <w:pPr>
              <w:pStyle w:val="12"/>
            </w:pPr>
            <w:r>
              <w:t>151.64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5819.89</w:t>
            </w:r>
          </w:p>
        </w:tc>
        <w:tc>
          <w:tcPr>
            <w:tcW w:w="1361" w:type="dxa"/>
            <w:vAlign w:val="center"/>
          </w:tcPr>
          <w:p>
            <w:pPr>
              <w:pStyle w:val="12"/>
            </w:pPr>
          </w:p>
        </w:tc>
        <w:tc>
          <w:tcPr>
            <w:tcW w:w="1361" w:type="dxa"/>
            <w:vAlign w:val="center"/>
          </w:tcPr>
          <w:p>
            <w:pPr>
              <w:pStyle w:val="12"/>
            </w:pPr>
            <w:r>
              <w:t>5819.89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5819.89</w:t>
            </w:r>
          </w:p>
        </w:tc>
        <w:tc>
          <w:tcPr>
            <w:tcW w:w="1361" w:type="dxa"/>
            <w:vAlign w:val="center"/>
          </w:tcPr>
          <w:p>
            <w:pPr>
              <w:pStyle w:val="12"/>
            </w:pPr>
          </w:p>
        </w:tc>
        <w:tc>
          <w:tcPr>
            <w:tcW w:w="1361" w:type="dxa"/>
            <w:vAlign w:val="center"/>
          </w:tcPr>
          <w:p>
            <w:pPr>
              <w:pStyle w:val="12"/>
            </w:pPr>
            <w:r>
              <w:t>5819.89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4819.89</w:t>
            </w:r>
          </w:p>
        </w:tc>
        <w:tc>
          <w:tcPr>
            <w:tcW w:w="1361" w:type="dxa"/>
            <w:vAlign w:val="center"/>
          </w:tcPr>
          <w:p>
            <w:pPr>
              <w:pStyle w:val="12"/>
            </w:pPr>
          </w:p>
        </w:tc>
        <w:tc>
          <w:tcPr>
            <w:tcW w:w="1361" w:type="dxa"/>
            <w:vAlign w:val="center"/>
          </w:tcPr>
          <w:p>
            <w:pPr>
              <w:pStyle w:val="12"/>
            </w:pPr>
            <w:r>
              <w:t>4819.89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2110302</w:t>
            </w:r>
          </w:p>
        </w:tc>
        <w:tc>
          <w:tcPr>
            <w:tcW w:w="4535" w:type="dxa"/>
            <w:vAlign w:val="center"/>
          </w:tcPr>
          <w:p>
            <w:pPr>
              <w:pStyle w:val="13"/>
            </w:pPr>
            <w:r>
              <w:t>水体</w:t>
            </w: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r>
              <w:t>1000.00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16607.06</w:t>
            </w:r>
          </w:p>
        </w:tc>
        <w:tc>
          <w:tcPr>
            <w:tcW w:w="1361" w:type="dxa"/>
            <w:vAlign w:val="center"/>
          </w:tcPr>
          <w:p>
            <w:pPr>
              <w:pStyle w:val="12"/>
            </w:pPr>
            <w:r>
              <w:t>2534.04</w:t>
            </w:r>
          </w:p>
        </w:tc>
        <w:tc>
          <w:tcPr>
            <w:tcW w:w="1361" w:type="dxa"/>
            <w:vAlign w:val="center"/>
          </w:tcPr>
          <w:p>
            <w:pPr>
              <w:pStyle w:val="12"/>
            </w:pPr>
            <w:r>
              <w:t>14073.02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1672.52</w:t>
            </w:r>
          </w:p>
        </w:tc>
        <w:tc>
          <w:tcPr>
            <w:tcW w:w="1361" w:type="dxa"/>
            <w:vAlign w:val="center"/>
          </w:tcPr>
          <w:p>
            <w:pPr>
              <w:pStyle w:val="12"/>
            </w:pPr>
            <w:r>
              <w:t>1276.72</w:t>
            </w:r>
          </w:p>
        </w:tc>
        <w:tc>
          <w:tcPr>
            <w:tcW w:w="1361" w:type="dxa"/>
            <w:vAlign w:val="center"/>
          </w:tcPr>
          <w:p>
            <w:pPr>
              <w:pStyle w:val="12"/>
            </w:pPr>
            <w:r>
              <w:t>395.80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1336.72</w:t>
            </w:r>
          </w:p>
        </w:tc>
        <w:tc>
          <w:tcPr>
            <w:tcW w:w="1361" w:type="dxa"/>
            <w:vAlign w:val="center"/>
          </w:tcPr>
          <w:p>
            <w:pPr>
              <w:pStyle w:val="12"/>
            </w:pPr>
            <w:r>
              <w:t>1276.72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2120102</w:t>
            </w:r>
          </w:p>
        </w:tc>
        <w:tc>
          <w:tcPr>
            <w:tcW w:w="4535" w:type="dxa"/>
            <w:vAlign w:val="center"/>
          </w:tcPr>
          <w:p>
            <w:pPr>
              <w:pStyle w:val="13"/>
            </w:pPr>
            <w:r>
              <w:t>一般行政管理事务</w:t>
            </w:r>
          </w:p>
        </w:tc>
        <w:tc>
          <w:tcPr>
            <w:tcW w:w="1361" w:type="dxa"/>
            <w:vAlign w:val="center"/>
          </w:tcPr>
          <w:p>
            <w:pPr>
              <w:pStyle w:val="12"/>
            </w:pPr>
            <w:r>
              <w:t>335.80</w:t>
            </w:r>
          </w:p>
        </w:tc>
        <w:tc>
          <w:tcPr>
            <w:tcW w:w="1361" w:type="dxa"/>
            <w:vAlign w:val="center"/>
          </w:tcPr>
          <w:p>
            <w:pPr>
              <w:pStyle w:val="12"/>
            </w:pPr>
          </w:p>
        </w:tc>
        <w:tc>
          <w:tcPr>
            <w:tcW w:w="1361" w:type="dxa"/>
            <w:vAlign w:val="center"/>
          </w:tcPr>
          <w:p>
            <w:pPr>
              <w:pStyle w:val="12"/>
            </w:pPr>
            <w:r>
              <w:t>335.80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1861.50</w:t>
            </w:r>
          </w:p>
        </w:tc>
        <w:tc>
          <w:tcPr>
            <w:tcW w:w="1361" w:type="dxa"/>
            <w:vAlign w:val="center"/>
          </w:tcPr>
          <w:p>
            <w:pPr>
              <w:pStyle w:val="12"/>
            </w:pPr>
          </w:p>
        </w:tc>
        <w:tc>
          <w:tcPr>
            <w:tcW w:w="1361" w:type="dxa"/>
            <w:vAlign w:val="center"/>
          </w:tcPr>
          <w:p>
            <w:pPr>
              <w:pStyle w:val="12"/>
            </w:pPr>
            <w:r>
              <w:t>1861.50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561.50</w:t>
            </w:r>
          </w:p>
        </w:tc>
        <w:tc>
          <w:tcPr>
            <w:tcW w:w="1361" w:type="dxa"/>
            <w:vAlign w:val="center"/>
          </w:tcPr>
          <w:p>
            <w:pPr>
              <w:pStyle w:val="12"/>
            </w:pPr>
          </w:p>
        </w:tc>
        <w:tc>
          <w:tcPr>
            <w:tcW w:w="1361" w:type="dxa"/>
            <w:vAlign w:val="center"/>
          </w:tcPr>
          <w:p>
            <w:pPr>
              <w:pStyle w:val="12"/>
            </w:pPr>
            <w:r>
              <w:t>561.50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1300.00</w:t>
            </w:r>
          </w:p>
        </w:tc>
        <w:tc>
          <w:tcPr>
            <w:tcW w:w="1361" w:type="dxa"/>
            <w:vAlign w:val="center"/>
          </w:tcPr>
          <w:p>
            <w:pPr>
              <w:pStyle w:val="12"/>
            </w:pPr>
          </w:p>
        </w:tc>
        <w:tc>
          <w:tcPr>
            <w:tcW w:w="1361" w:type="dxa"/>
            <w:vAlign w:val="center"/>
          </w:tcPr>
          <w:p>
            <w:pPr>
              <w:pStyle w:val="12"/>
            </w:pPr>
            <w:r>
              <w:t>1300.00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21206</w:t>
            </w:r>
          </w:p>
        </w:tc>
        <w:tc>
          <w:tcPr>
            <w:tcW w:w="4535" w:type="dxa"/>
            <w:vAlign w:val="center"/>
          </w:tcPr>
          <w:p>
            <w:pPr>
              <w:pStyle w:val="13"/>
            </w:pPr>
            <w:r>
              <w:t>建设市场管理与监督</w:t>
            </w:r>
          </w:p>
        </w:tc>
        <w:tc>
          <w:tcPr>
            <w:tcW w:w="1361" w:type="dxa"/>
            <w:vAlign w:val="center"/>
          </w:tcPr>
          <w:p>
            <w:pPr>
              <w:pStyle w:val="12"/>
            </w:pPr>
            <w:r>
              <w:t>1680.04</w:t>
            </w:r>
          </w:p>
        </w:tc>
        <w:tc>
          <w:tcPr>
            <w:tcW w:w="1361" w:type="dxa"/>
            <w:vAlign w:val="center"/>
          </w:tcPr>
          <w:p>
            <w:pPr>
              <w:pStyle w:val="12"/>
            </w:pPr>
            <w:r>
              <w:t>1257.32</w:t>
            </w:r>
          </w:p>
        </w:tc>
        <w:tc>
          <w:tcPr>
            <w:tcW w:w="1361" w:type="dxa"/>
            <w:vAlign w:val="center"/>
          </w:tcPr>
          <w:p>
            <w:pPr>
              <w:pStyle w:val="12"/>
            </w:pPr>
            <w:r>
              <w:t>422.72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2120601</w:t>
            </w:r>
          </w:p>
        </w:tc>
        <w:tc>
          <w:tcPr>
            <w:tcW w:w="4535" w:type="dxa"/>
            <w:vAlign w:val="center"/>
          </w:tcPr>
          <w:p>
            <w:pPr>
              <w:pStyle w:val="13"/>
            </w:pPr>
            <w:r>
              <w:t>建设市场管理与监督</w:t>
            </w:r>
          </w:p>
        </w:tc>
        <w:tc>
          <w:tcPr>
            <w:tcW w:w="1361" w:type="dxa"/>
            <w:vAlign w:val="center"/>
          </w:tcPr>
          <w:p>
            <w:pPr>
              <w:pStyle w:val="12"/>
            </w:pPr>
            <w:r>
              <w:t>1680.04</w:t>
            </w:r>
          </w:p>
        </w:tc>
        <w:tc>
          <w:tcPr>
            <w:tcW w:w="1361" w:type="dxa"/>
            <w:vAlign w:val="center"/>
          </w:tcPr>
          <w:p>
            <w:pPr>
              <w:pStyle w:val="12"/>
            </w:pPr>
            <w:r>
              <w:t>1257.32</w:t>
            </w:r>
          </w:p>
        </w:tc>
        <w:tc>
          <w:tcPr>
            <w:tcW w:w="1361" w:type="dxa"/>
            <w:vAlign w:val="center"/>
          </w:tcPr>
          <w:p>
            <w:pPr>
              <w:pStyle w:val="12"/>
            </w:pPr>
            <w:r>
              <w:t>422.72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5498.00</w:t>
            </w:r>
          </w:p>
        </w:tc>
        <w:tc>
          <w:tcPr>
            <w:tcW w:w="1361" w:type="dxa"/>
            <w:vAlign w:val="center"/>
          </w:tcPr>
          <w:p>
            <w:pPr>
              <w:pStyle w:val="12"/>
            </w:pPr>
          </w:p>
        </w:tc>
        <w:tc>
          <w:tcPr>
            <w:tcW w:w="1361" w:type="dxa"/>
            <w:vAlign w:val="center"/>
          </w:tcPr>
          <w:p>
            <w:pPr>
              <w:pStyle w:val="12"/>
            </w:pPr>
            <w:r>
              <w:t>5498.00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2120801</w:t>
            </w:r>
          </w:p>
        </w:tc>
        <w:tc>
          <w:tcPr>
            <w:tcW w:w="4535" w:type="dxa"/>
            <w:vAlign w:val="center"/>
          </w:tcPr>
          <w:p>
            <w:pPr>
              <w:pStyle w:val="13"/>
            </w:pPr>
            <w:r>
              <w:t>征地和拆迁补偿支出</w:t>
            </w: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r>
              <w:t>1500.00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3398.00</w:t>
            </w:r>
          </w:p>
        </w:tc>
        <w:tc>
          <w:tcPr>
            <w:tcW w:w="1361" w:type="dxa"/>
            <w:vAlign w:val="center"/>
          </w:tcPr>
          <w:p>
            <w:pPr>
              <w:pStyle w:val="12"/>
            </w:pPr>
          </w:p>
        </w:tc>
        <w:tc>
          <w:tcPr>
            <w:tcW w:w="1361" w:type="dxa"/>
            <w:vAlign w:val="center"/>
          </w:tcPr>
          <w:p>
            <w:pPr>
              <w:pStyle w:val="12"/>
            </w:pPr>
            <w:r>
              <w:t>3398.00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2120807</w:t>
            </w:r>
          </w:p>
        </w:tc>
        <w:tc>
          <w:tcPr>
            <w:tcW w:w="4535" w:type="dxa"/>
            <w:vAlign w:val="center"/>
          </w:tcPr>
          <w:p>
            <w:pPr>
              <w:pStyle w:val="13"/>
            </w:pPr>
            <w:r>
              <w:t>廉租住房支出</w:t>
            </w:r>
          </w:p>
        </w:tc>
        <w:tc>
          <w:tcPr>
            <w:tcW w:w="1361" w:type="dxa"/>
            <w:vAlign w:val="center"/>
          </w:tcPr>
          <w:p>
            <w:pPr>
              <w:pStyle w:val="12"/>
            </w:pPr>
            <w:r>
              <w:t>600.00</w:t>
            </w:r>
          </w:p>
        </w:tc>
        <w:tc>
          <w:tcPr>
            <w:tcW w:w="1361" w:type="dxa"/>
            <w:vAlign w:val="center"/>
          </w:tcPr>
          <w:p>
            <w:pPr>
              <w:pStyle w:val="12"/>
            </w:pPr>
          </w:p>
        </w:tc>
        <w:tc>
          <w:tcPr>
            <w:tcW w:w="1361" w:type="dxa"/>
            <w:vAlign w:val="center"/>
          </w:tcPr>
          <w:p>
            <w:pPr>
              <w:pStyle w:val="12"/>
            </w:pPr>
            <w:r>
              <w:t>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21214</w:t>
            </w:r>
          </w:p>
        </w:tc>
        <w:tc>
          <w:tcPr>
            <w:tcW w:w="4535" w:type="dxa"/>
            <w:vAlign w:val="center"/>
          </w:tcPr>
          <w:p>
            <w:pPr>
              <w:pStyle w:val="13"/>
            </w:pPr>
            <w:r>
              <w:t>污水处理费安排的支出</w:t>
            </w: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2121401</w:t>
            </w:r>
          </w:p>
        </w:tc>
        <w:tc>
          <w:tcPr>
            <w:tcW w:w="4535" w:type="dxa"/>
            <w:vAlign w:val="center"/>
          </w:tcPr>
          <w:p>
            <w:pPr>
              <w:pStyle w:val="13"/>
            </w:pPr>
            <w:r>
              <w:t>污水处理设施建设和运营</w:t>
            </w: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r>
              <w:t>3500.00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21216</w:t>
            </w:r>
          </w:p>
        </w:tc>
        <w:tc>
          <w:tcPr>
            <w:tcW w:w="4535" w:type="dxa"/>
            <w:vAlign w:val="center"/>
          </w:tcPr>
          <w:p>
            <w:pPr>
              <w:pStyle w:val="13"/>
            </w:pPr>
            <w:r>
              <w:t>棚户区改造专项债券收入安排的支出</w:t>
            </w:r>
          </w:p>
        </w:tc>
        <w:tc>
          <w:tcPr>
            <w:tcW w:w="1361" w:type="dxa"/>
            <w:vAlign w:val="center"/>
          </w:tcPr>
          <w:p>
            <w:pPr>
              <w:pStyle w:val="12"/>
            </w:pPr>
            <w:r>
              <w:t>2395.00</w:t>
            </w:r>
          </w:p>
        </w:tc>
        <w:tc>
          <w:tcPr>
            <w:tcW w:w="1361" w:type="dxa"/>
            <w:vAlign w:val="center"/>
          </w:tcPr>
          <w:p>
            <w:pPr>
              <w:pStyle w:val="12"/>
            </w:pPr>
          </w:p>
        </w:tc>
        <w:tc>
          <w:tcPr>
            <w:tcW w:w="1361" w:type="dxa"/>
            <w:vAlign w:val="center"/>
          </w:tcPr>
          <w:p>
            <w:pPr>
              <w:pStyle w:val="12"/>
            </w:pPr>
            <w:r>
              <w:t>2395.00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2121699</w:t>
            </w:r>
          </w:p>
        </w:tc>
        <w:tc>
          <w:tcPr>
            <w:tcW w:w="4535" w:type="dxa"/>
            <w:vAlign w:val="center"/>
          </w:tcPr>
          <w:p>
            <w:pPr>
              <w:pStyle w:val="13"/>
            </w:pPr>
            <w:r>
              <w:t>其他棚户区改造专项债券收入安排的支出</w:t>
            </w:r>
          </w:p>
        </w:tc>
        <w:tc>
          <w:tcPr>
            <w:tcW w:w="1361" w:type="dxa"/>
            <w:vAlign w:val="center"/>
          </w:tcPr>
          <w:p>
            <w:pPr>
              <w:pStyle w:val="12"/>
            </w:pPr>
            <w:r>
              <w:t>2395.00</w:t>
            </w:r>
          </w:p>
        </w:tc>
        <w:tc>
          <w:tcPr>
            <w:tcW w:w="1361" w:type="dxa"/>
            <w:vAlign w:val="center"/>
          </w:tcPr>
          <w:p>
            <w:pPr>
              <w:pStyle w:val="12"/>
            </w:pPr>
          </w:p>
        </w:tc>
        <w:tc>
          <w:tcPr>
            <w:tcW w:w="1361" w:type="dxa"/>
            <w:vAlign w:val="center"/>
          </w:tcPr>
          <w:p>
            <w:pPr>
              <w:pStyle w:val="12"/>
            </w:pPr>
            <w:r>
              <w:t>2395.00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111.00</w:t>
            </w:r>
          </w:p>
        </w:tc>
        <w:tc>
          <w:tcPr>
            <w:tcW w:w="1361" w:type="dxa"/>
            <w:vAlign w:val="center"/>
          </w:tcPr>
          <w:p>
            <w:pPr>
              <w:pStyle w:val="12"/>
            </w:pPr>
          </w:p>
        </w:tc>
        <w:tc>
          <w:tcPr>
            <w:tcW w:w="1361" w:type="dxa"/>
            <w:vAlign w:val="center"/>
          </w:tcPr>
          <w:p>
            <w:pPr>
              <w:pStyle w:val="12"/>
            </w:pPr>
            <w:r>
              <w:t>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111.00</w:t>
            </w:r>
          </w:p>
        </w:tc>
        <w:tc>
          <w:tcPr>
            <w:tcW w:w="1361" w:type="dxa"/>
            <w:vAlign w:val="center"/>
          </w:tcPr>
          <w:p>
            <w:pPr>
              <w:pStyle w:val="12"/>
            </w:pPr>
          </w:p>
        </w:tc>
        <w:tc>
          <w:tcPr>
            <w:tcW w:w="1361" w:type="dxa"/>
            <w:vAlign w:val="center"/>
          </w:tcPr>
          <w:p>
            <w:pPr>
              <w:pStyle w:val="12"/>
            </w:pPr>
            <w:r>
              <w:t>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111.00</w:t>
            </w:r>
          </w:p>
        </w:tc>
        <w:tc>
          <w:tcPr>
            <w:tcW w:w="1361" w:type="dxa"/>
            <w:vAlign w:val="center"/>
          </w:tcPr>
          <w:p>
            <w:pPr>
              <w:pStyle w:val="12"/>
            </w:pPr>
          </w:p>
        </w:tc>
        <w:tc>
          <w:tcPr>
            <w:tcW w:w="1361" w:type="dxa"/>
            <w:vAlign w:val="center"/>
          </w:tcPr>
          <w:p>
            <w:pPr>
              <w:pStyle w:val="12"/>
            </w:pPr>
            <w:r>
              <w:t>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457.80</w:t>
            </w:r>
          </w:p>
        </w:tc>
        <w:tc>
          <w:tcPr>
            <w:tcW w:w="1361" w:type="dxa"/>
            <w:vAlign w:val="center"/>
          </w:tcPr>
          <w:p>
            <w:pPr>
              <w:pStyle w:val="12"/>
            </w:pPr>
            <w:r>
              <w:t>214.80</w:t>
            </w:r>
          </w:p>
        </w:tc>
        <w:tc>
          <w:tcPr>
            <w:tcW w:w="1361" w:type="dxa"/>
            <w:vAlign w:val="center"/>
          </w:tcPr>
          <w:p>
            <w:pPr>
              <w:pStyle w:val="12"/>
            </w:pPr>
            <w:r>
              <w:t>243.00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22101</w:t>
            </w:r>
          </w:p>
        </w:tc>
        <w:tc>
          <w:tcPr>
            <w:tcW w:w="4535" w:type="dxa"/>
            <w:vAlign w:val="center"/>
          </w:tcPr>
          <w:p>
            <w:pPr>
              <w:pStyle w:val="13"/>
            </w:pPr>
            <w:r>
              <w:t>保障性安居工程支出</w:t>
            </w:r>
          </w:p>
        </w:tc>
        <w:tc>
          <w:tcPr>
            <w:tcW w:w="1361" w:type="dxa"/>
            <w:vAlign w:val="center"/>
          </w:tcPr>
          <w:p>
            <w:pPr>
              <w:pStyle w:val="12"/>
            </w:pPr>
            <w:r>
              <w:t>243.00</w:t>
            </w:r>
          </w:p>
        </w:tc>
        <w:tc>
          <w:tcPr>
            <w:tcW w:w="1361" w:type="dxa"/>
            <w:vAlign w:val="center"/>
          </w:tcPr>
          <w:p>
            <w:pPr>
              <w:pStyle w:val="12"/>
            </w:pPr>
          </w:p>
        </w:tc>
        <w:tc>
          <w:tcPr>
            <w:tcW w:w="1361" w:type="dxa"/>
            <w:vAlign w:val="center"/>
          </w:tcPr>
          <w:p>
            <w:pPr>
              <w:pStyle w:val="12"/>
            </w:pPr>
            <w:r>
              <w:t>243.00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2210103</w:t>
            </w:r>
          </w:p>
        </w:tc>
        <w:tc>
          <w:tcPr>
            <w:tcW w:w="4535" w:type="dxa"/>
            <w:vAlign w:val="center"/>
          </w:tcPr>
          <w:p>
            <w:pPr>
              <w:pStyle w:val="13"/>
            </w:pPr>
            <w:r>
              <w:t>棚户区改造</w:t>
            </w:r>
          </w:p>
        </w:tc>
        <w:tc>
          <w:tcPr>
            <w:tcW w:w="1361" w:type="dxa"/>
            <w:vAlign w:val="center"/>
          </w:tcPr>
          <w:p>
            <w:pPr>
              <w:pStyle w:val="12"/>
            </w:pPr>
            <w:r>
              <w:t>138.00</w:t>
            </w:r>
          </w:p>
        </w:tc>
        <w:tc>
          <w:tcPr>
            <w:tcW w:w="1361" w:type="dxa"/>
            <w:vAlign w:val="center"/>
          </w:tcPr>
          <w:p>
            <w:pPr>
              <w:pStyle w:val="12"/>
            </w:pPr>
          </w:p>
        </w:tc>
        <w:tc>
          <w:tcPr>
            <w:tcW w:w="1361" w:type="dxa"/>
            <w:vAlign w:val="center"/>
          </w:tcPr>
          <w:p>
            <w:pPr>
              <w:pStyle w:val="12"/>
            </w:pPr>
            <w:r>
              <w:t>138.00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2210105</w:t>
            </w:r>
          </w:p>
        </w:tc>
        <w:tc>
          <w:tcPr>
            <w:tcW w:w="4535" w:type="dxa"/>
            <w:vAlign w:val="center"/>
          </w:tcPr>
          <w:p>
            <w:pPr>
              <w:pStyle w:val="13"/>
            </w:pPr>
            <w:r>
              <w:t>农村危房改造</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2210111</w:t>
            </w:r>
          </w:p>
        </w:tc>
        <w:tc>
          <w:tcPr>
            <w:tcW w:w="4535" w:type="dxa"/>
            <w:vAlign w:val="center"/>
          </w:tcPr>
          <w:p>
            <w:pPr>
              <w:pStyle w:val="13"/>
            </w:pPr>
            <w:r>
              <w:t>配租型住房保障</w:t>
            </w: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r>
              <w:t>85.00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214.80</w:t>
            </w:r>
          </w:p>
        </w:tc>
        <w:tc>
          <w:tcPr>
            <w:tcW w:w="1361" w:type="dxa"/>
            <w:vAlign w:val="center"/>
          </w:tcPr>
          <w:p>
            <w:pPr>
              <w:pStyle w:val="12"/>
            </w:pPr>
            <w:r>
              <w:t>214.80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214.80</w:t>
            </w:r>
          </w:p>
        </w:tc>
        <w:tc>
          <w:tcPr>
            <w:tcW w:w="1361" w:type="dxa"/>
            <w:vAlign w:val="center"/>
          </w:tcPr>
          <w:p>
            <w:pPr>
              <w:pStyle w:val="12"/>
            </w:pPr>
            <w:r>
              <w:t>214.80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3212.90</w:t>
            </w:r>
          </w:p>
        </w:tc>
        <w:tc>
          <w:tcPr>
            <w:tcW w:w="1361" w:type="dxa"/>
            <w:vAlign w:val="center"/>
          </w:tcPr>
          <w:p>
            <w:pPr>
              <w:pStyle w:val="12"/>
            </w:pPr>
          </w:p>
        </w:tc>
        <w:tc>
          <w:tcPr>
            <w:tcW w:w="1361" w:type="dxa"/>
            <w:vAlign w:val="center"/>
          </w:tcPr>
          <w:p>
            <w:pPr>
              <w:pStyle w:val="12"/>
            </w:pPr>
            <w:r>
              <w:t>3212.90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3212.90</w:t>
            </w:r>
          </w:p>
        </w:tc>
        <w:tc>
          <w:tcPr>
            <w:tcW w:w="1361" w:type="dxa"/>
            <w:vAlign w:val="center"/>
          </w:tcPr>
          <w:p>
            <w:pPr>
              <w:pStyle w:val="12"/>
            </w:pPr>
          </w:p>
        </w:tc>
        <w:tc>
          <w:tcPr>
            <w:tcW w:w="1361" w:type="dxa"/>
            <w:vAlign w:val="center"/>
          </w:tcPr>
          <w:p>
            <w:pPr>
              <w:pStyle w:val="12"/>
            </w:pPr>
            <w:r>
              <w:t>3212.90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3212.90</w:t>
            </w:r>
          </w:p>
        </w:tc>
        <w:tc>
          <w:tcPr>
            <w:tcW w:w="1361" w:type="dxa"/>
            <w:vAlign w:val="center"/>
          </w:tcPr>
          <w:p>
            <w:pPr>
              <w:pStyle w:val="12"/>
            </w:pPr>
          </w:p>
        </w:tc>
        <w:tc>
          <w:tcPr>
            <w:tcW w:w="1361" w:type="dxa"/>
            <w:vAlign w:val="center"/>
          </w:tcPr>
          <w:p>
            <w:pPr>
              <w:pStyle w:val="12"/>
            </w:pPr>
            <w:r>
              <w:t>3212.90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11494.77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8998.00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732.72</w:t>
            </w:r>
          </w:p>
        </w:tc>
        <w:tc>
          <w:tcPr>
            <w:tcW w:w="1474" w:type="dxa"/>
            <w:vAlign w:val="center"/>
          </w:tcPr>
          <w:p>
            <w:pPr>
              <w:pStyle w:val="12"/>
            </w:pPr>
            <w:r>
              <w:t>732.72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169.81</w:t>
            </w:r>
          </w:p>
        </w:tc>
        <w:tc>
          <w:tcPr>
            <w:tcW w:w="1474" w:type="dxa"/>
            <w:vAlign w:val="center"/>
          </w:tcPr>
          <w:p>
            <w:pPr>
              <w:pStyle w:val="12"/>
            </w:pPr>
            <w:r>
              <w:t>169.81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5819.89</w:t>
            </w:r>
          </w:p>
        </w:tc>
        <w:tc>
          <w:tcPr>
            <w:tcW w:w="1474" w:type="dxa"/>
            <w:vAlign w:val="center"/>
          </w:tcPr>
          <w:p>
            <w:pPr>
              <w:pStyle w:val="12"/>
            </w:pPr>
            <w:r>
              <w:t>5819.89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16607.06</w:t>
            </w:r>
          </w:p>
        </w:tc>
        <w:tc>
          <w:tcPr>
            <w:tcW w:w="1474" w:type="dxa"/>
            <w:vAlign w:val="center"/>
          </w:tcPr>
          <w:p>
            <w:pPr>
              <w:pStyle w:val="12"/>
            </w:pPr>
            <w:r>
              <w:t>5214.06</w:t>
            </w:r>
          </w:p>
        </w:tc>
        <w:tc>
          <w:tcPr>
            <w:tcW w:w="1474" w:type="dxa"/>
            <w:vAlign w:val="center"/>
          </w:tcPr>
          <w:p>
            <w:pPr>
              <w:pStyle w:val="12"/>
            </w:pPr>
            <w:r>
              <w:t>11393.00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111.00</w:t>
            </w:r>
          </w:p>
        </w:tc>
        <w:tc>
          <w:tcPr>
            <w:tcW w:w="1474" w:type="dxa"/>
            <w:vAlign w:val="center"/>
          </w:tcPr>
          <w:p>
            <w:pPr>
              <w:pStyle w:val="12"/>
            </w:pPr>
            <w:r>
              <w:t>111.00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457.80</w:t>
            </w:r>
          </w:p>
        </w:tc>
        <w:tc>
          <w:tcPr>
            <w:tcW w:w="1474" w:type="dxa"/>
            <w:vAlign w:val="center"/>
          </w:tcPr>
          <w:p>
            <w:pPr>
              <w:pStyle w:val="12"/>
            </w:pPr>
            <w:r>
              <w:t>457.80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3212.90</w:t>
            </w:r>
          </w:p>
        </w:tc>
        <w:tc>
          <w:tcPr>
            <w:tcW w:w="1474" w:type="dxa"/>
            <w:vAlign w:val="center"/>
          </w:tcPr>
          <w:p>
            <w:pPr>
              <w:pStyle w:val="12"/>
            </w:pPr>
          </w:p>
        </w:tc>
        <w:tc>
          <w:tcPr>
            <w:tcW w:w="1474" w:type="dxa"/>
            <w:vAlign w:val="center"/>
          </w:tcPr>
          <w:p>
            <w:pPr>
              <w:pStyle w:val="12"/>
            </w:pPr>
            <w:r>
              <w:t>3212.90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20492.77</w:t>
            </w:r>
          </w:p>
        </w:tc>
        <w:tc>
          <w:tcPr>
            <w:tcW w:w="3402" w:type="dxa"/>
            <w:vAlign w:val="center"/>
          </w:tcPr>
          <w:p>
            <w:pPr>
              <w:pStyle w:val="15"/>
            </w:pPr>
            <w:r>
              <w:t>本年支出合计</w:t>
            </w:r>
          </w:p>
        </w:tc>
        <w:tc>
          <w:tcPr>
            <w:tcW w:w="1474" w:type="dxa"/>
            <w:vAlign w:val="center"/>
          </w:tcPr>
          <w:p>
            <w:pPr>
              <w:pStyle w:val="16"/>
            </w:pPr>
            <w:r>
              <w:t>27111.17</w:t>
            </w:r>
          </w:p>
        </w:tc>
        <w:tc>
          <w:tcPr>
            <w:tcW w:w="1474" w:type="dxa"/>
            <w:vAlign w:val="center"/>
          </w:tcPr>
          <w:p>
            <w:pPr>
              <w:pStyle w:val="16"/>
            </w:pPr>
            <w:r>
              <w:t>12505.27</w:t>
            </w:r>
          </w:p>
        </w:tc>
        <w:tc>
          <w:tcPr>
            <w:tcW w:w="1474" w:type="dxa"/>
            <w:vAlign w:val="center"/>
          </w:tcPr>
          <w:p>
            <w:pPr>
              <w:pStyle w:val="16"/>
            </w:pPr>
            <w:r>
              <w:t>14605.90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6618.40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1010.50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5607.90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27111.17</w:t>
            </w:r>
          </w:p>
        </w:tc>
        <w:tc>
          <w:tcPr>
            <w:tcW w:w="3402" w:type="dxa"/>
            <w:vAlign w:val="center"/>
          </w:tcPr>
          <w:p>
            <w:pPr>
              <w:pStyle w:val="15"/>
            </w:pPr>
            <w:r>
              <w:t>支出总计</w:t>
            </w:r>
          </w:p>
        </w:tc>
        <w:tc>
          <w:tcPr>
            <w:tcW w:w="1474" w:type="dxa"/>
            <w:vAlign w:val="center"/>
          </w:tcPr>
          <w:p>
            <w:pPr>
              <w:pStyle w:val="16"/>
            </w:pPr>
            <w:r>
              <w:t>27111.17</w:t>
            </w:r>
          </w:p>
        </w:tc>
        <w:tc>
          <w:tcPr>
            <w:tcW w:w="1474" w:type="dxa"/>
            <w:vAlign w:val="center"/>
          </w:tcPr>
          <w:p>
            <w:pPr>
              <w:pStyle w:val="16"/>
            </w:pPr>
            <w:r>
              <w:t>12505.27</w:t>
            </w:r>
          </w:p>
        </w:tc>
        <w:tc>
          <w:tcPr>
            <w:tcW w:w="1474" w:type="dxa"/>
            <w:vAlign w:val="center"/>
          </w:tcPr>
          <w:p>
            <w:pPr>
              <w:pStyle w:val="16"/>
            </w:pPr>
            <w:r>
              <w:t>14605.90</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12505.27</w:t>
            </w:r>
          </w:p>
        </w:tc>
        <w:tc>
          <w:tcPr>
            <w:tcW w:w="2551" w:type="dxa"/>
            <w:vAlign w:val="center"/>
          </w:tcPr>
          <w:p>
            <w:pPr>
              <w:pStyle w:val="16"/>
            </w:pPr>
            <w:r>
              <w:t>3628.16</w:t>
            </w:r>
          </w:p>
        </w:tc>
        <w:tc>
          <w:tcPr>
            <w:tcW w:w="2551" w:type="dxa"/>
            <w:vAlign w:val="center"/>
          </w:tcPr>
          <w:p>
            <w:pPr>
              <w:pStyle w:val="16"/>
            </w:pPr>
            <w:r>
              <w:t>8877.11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732.72</w:t>
            </w:r>
          </w:p>
        </w:tc>
        <w:tc>
          <w:tcPr>
            <w:tcW w:w="2551" w:type="dxa"/>
            <w:vAlign w:val="center"/>
          </w:tcPr>
          <w:p>
            <w:pPr>
              <w:pStyle w:val="12"/>
            </w:pPr>
            <w:r>
              <w:t>709.52</w:t>
            </w:r>
          </w:p>
        </w:tc>
        <w:tc>
          <w:tcPr>
            <w:tcW w:w="2551" w:type="dxa"/>
            <w:vAlign w:val="center"/>
          </w:tcPr>
          <w:p>
            <w:pPr>
              <w:pStyle w:val="12"/>
            </w:pPr>
            <w:r>
              <w:t>23.20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709.52</w:t>
            </w:r>
          </w:p>
        </w:tc>
        <w:tc>
          <w:tcPr>
            <w:tcW w:w="2551" w:type="dxa"/>
            <w:vAlign w:val="center"/>
          </w:tcPr>
          <w:p>
            <w:pPr>
              <w:pStyle w:val="12"/>
            </w:pPr>
            <w:r>
              <w:t>709.52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119.63</w:t>
            </w:r>
          </w:p>
        </w:tc>
        <w:tc>
          <w:tcPr>
            <w:tcW w:w="2551" w:type="dxa"/>
            <w:vAlign w:val="center"/>
          </w:tcPr>
          <w:p>
            <w:pPr>
              <w:pStyle w:val="12"/>
            </w:pPr>
            <w:r>
              <w:t>119.63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280.15</w:t>
            </w:r>
          </w:p>
        </w:tc>
        <w:tc>
          <w:tcPr>
            <w:tcW w:w="2551" w:type="dxa"/>
            <w:vAlign w:val="center"/>
          </w:tcPr>
          <w:p>
            <w:pPr>
              <w:pStyle w:val="12"/>
            </w:pPr>
            <w:r>
              <w:t>280.15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230.26</w:t>
            </w:r>
          </w:p>
        </w:tc>
        <w:tc>
          <w:tcPr>
            <w:tcW w:w="2551" w:type="dxa"/>
            <w:vAlign w:val="center"/>
          </w:tcPr>
          <w:p>
            <w:pPr>
              <w:pStyle w:val="12"/>
            </w:pPr>
            <w:r>
              <w:t>230.26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79.48</w:t>
            </w:r>
          </w:p>
        </w:tc>
        <w:tc>
          <w:tcPr>
            <w:tcW w:w="2551" w:type="dxa"/>
            <w:vAlign w:val="center"/>
          </w:tcPr>
          <w:p>
            <w:pPr>
              <w:pStyle w:val="12"/>
            </w:pPr>
            <w:r>
              <w:t>79.48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23.20</w:t>
            </w:r>
          </w:p>
        </w:tc>
        <w:tc>
          <w:tcPr>
            <w:tcW w:w="2551" w:type="dxa"/>
            <w:vAlign w:val="center"/>
          </w:tcPr>
          <w:p>
            <w:pPr>
              <w:pStyle w:val="12"/>
            </w:pPr>
          </w:p>
        </w:tc>
        <w:tc>
          <w:tcPr>
            <w:tcW w:w="2551" w:type="dxa"/>
            <w:vAlign w:val="center"/>
          </w:tcPr>
          <w:p>
            <w:pPr>
              <w:pStyle w:val="12"/>
            </w:pPr>
            <w:r>
              <w:t>23.20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23.20</w:t>
            </w:r>
          </w:p>
        </w:tc>
        <w:tc>
          <w:tcPr>
            <w:tcW w:w="2551" w:type="dxa"/>
            <w:vAlign w:val="center"/>
          </w:tcPr>
          <w:p>
            <w:pPr>
              <w:pStyle w:val="12"/>
            </w:pPr>
          </w:p>
        </w:tc>
        <w:tc>
          <w:tcPr>
            <w:tcW w:w="2551" w:type="dxa"/>
            <w:vAlign w:val="center"/>
          </w:tcPr>
          <w:p>
            <w:pPr>
              <w:pStyle w:val="12"/>
            </w:pPr>
            <w:r>
              <w:t>23.20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169.81</w:t>
            </w:r>
          </w:p>
        </w:tc>
        <w:tc>
          <w:tcPr>
            <w:tcW w:w="2551" w:type="dxa"/>
            <w:vAlign w:val="center"/>
          </w:tcPr>
          <w:p>
            <w:pPr>
              <w:pStyle w:val="12"/>
            </w:pPr>
            <w:r>
              <w:t>169.81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169.81</w:t>
            </w:r>
          </w:p>
        </w:tc>
        <w:tc>
          <w:tcPr>
            <w:tcW w:w="2551" w:type="dxa"/>
            <w:vAlign w:val="center"/>
          </w:tcPr>
          <w:p>
            <w:pPr>
              <w:pStyle w:val="12"/>
            </w:pPr>
            <w:r>
              <w:t>169.81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18.16</w:t>
            </w:r>
          </w:p>
        </w:tc>
        <w:tc>
          <w:tcPr>
            <w:tcW w:w="2551" w:type="dxa"/>
            <w:vAlign w:val="center"/>
          </w:tcPr>
          <w:p>
            <w:pPr>
              <w:pStyle w:val="12"/>
            </w:pPr>
            <w:r>
              <w:t>18.16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151.64</w:t>
            </w:r>
          </w:p>
        </w:tc>
        <w:tc>
          <w:tcPr>
            <w:tcW w:w="2551" w:type="dxa"/>
            <w:vAlign w:val="center"/>
          </w:tcPr>
          <w:p>
            <w:pPr>
              <w:pStyle w:val="12"/>
            </w:pPr>
            <w:r>
              <w:t>151.64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5819.89</w:t>
            </w:r>
          </w:p>
        </w:tc>
        <w:tc>
          <w:tcPr>
            <w:tcW w:w="2551" w:type="dxa"/>
            <w:vAlign w:val="center"/>
          </w:tcPr>
          <w:p>
            <w:pPr>
              <w:pStyle w:val="12"/>
            </w:pPr>
          </w:p>
        </w:tc>
        <w:tc>
          <w:tcPr>
            <w:tcW w:w="2551" w:type="dxa"/>
            <w:vAlign w:val="center"/>
          </w:tcPr>
          <w:p>
            <w:pPr>
              <w:pStyle w:val="12"/>
            </w:pPr>
            <w:r>
              <w:t>5819.89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5819.89</w:t>
            </w:r>
          </w:p>
        </w:tc>
        <w:tc>
          <w:tcPr>
            <w:tcW w:w="2551" w:type="dxa"/>
            <w:vAlign w:val="center"/>
          </w:tcPr>
          <w:p>
            <w:pPr>
              <w:pStyle w:val="12"/>
            </w:pPr>
          </w:p>
        </w:tc>
        <w:tc>
          <w:tcPr>
            <w:tcW w:w="2551" w:type="dxa"/>
            <w:vAlign w:val="center"/>
          </w:tcPr>
          <w:p>
            <w:pPr>
              <w:pStyle w:val="12"/>
            </w:pPr>
            <w:r>
              <w:t>5819.89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4819.89</w:t>
            </w:r>
          </w:p>
        </w:tc>
        <w:tc>
          <w:tcPr>
            <w:tcW w:w="2551" w:type="dxa"/>
            <w:vAlign w:val="center"/>
          </w:tcPr>
          <w:p>
            <w:pPr>
              <w:pStyle w:val="12"/>
            </w:pPr>
          </w:p>
        </w:tc>
        <w:tc>
          <w:tcPr>
            <w:tcW w:w="2551" w:type="dxa"/>
            <w:vAlign w:val="center"/>
          </w:tcPr>
          <w:p>
            <w:pPr>
              <w:pStyle w:val="12"/>
            </w:pPr>
            <w:r>
              <w:t>4819.89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2110302</w:t>
            </w:r>
          </w:p>
        </w:tc>
        <w:tc>
          <w:tcPr>
            <w:tcW w:w="4535" w:type="dxa"/>
            <w:vAlign w:val="center"/>
          </w:tcPr>
          <w:p>
            <w:pPr>
              <w:pStyle w:val="13"/>
            </w:pPr>
            <w:r>
              <w:t>水体</w:t>
            </w:r>
          </w:p>
        </w:tc>
        <w:tc>
          <w:tcPr>
            <w:tcW w:w="2551" w:type="dxa"/>
            <w:vAlign w:val="center"/>
          </w:tcPr>
          <w:p>
            <w:pPr>
              <w:pStyle w:val="12"/>
            </w:pPr>
            <w:r>
              <w:t>1000.00</w:t>
            </w:r>
          </w:p>
        </w:tc>
        <w:tc>
          <w:tcPr>
            <w:tcW w:w="2551" w:type="dxa"/>
            <w:vAlign w:val="center"/>
          </w:tcPr>
          <w:p>
            <w:pPr>
              <w:pStyle w:val="12"/>
            </w:pPr>
          </w:p>
        </w:tc>
        <w:tc>
          <w:tcPr>
            <w:tcW w:w="2551" w:type="dxa"/>
            <w:vAlign w:val="center"/>
          </w:tcPr>
          <w:p>
            <w:pPr>
              <w:pStyle w:val="12"/>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5214.06</w:t>
            </w:r>
          </w:p>
        </w:tc>
        <w:tc>
          <w:tcPr>
            <w:tcW w:w="2551" w:type="dxa"/>
            <w:vAlign w:val="center"/>
          </w:tcPr>
          <w:p>
            <w:pPr>
              <w:pStyle w:val="12"/>
            </w:pPr>
            <w:r>
              <w:t>2534.04</w:t>
            </w:r>
          </w:p>
        </w:tc>
        <w:tc>
          <w:tcPr>
            <w:tcW w:w="2551" w:type="dxa"/>
            <w:vAlign w:val="center"/>
          </w:tcPr>
          <w:p>
            <w:pPr>
              <w:pStyle w:val="12"/>
            </w:pPr>
            <w:r>
              <w:t>2680.02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1672.52</w:t>
            </w:r>
          </w:p>
        </w:tc>
        <w:tc>
          <w:tcPr>
            <w:tcW w:w="2551" w:type="dxa"/>
            <w:vAlign w:val="center"/>
          </w:tcPr>
          <w:p>
            <w:pPr>
              <w:pStyle w:val="12"/>
            </w:pPr>
            <w:r>
              <w:t>1276.72</w:t>
            </w:r>
          </w:p>
        </w:tc>
        <w:tc>
          <w:tcPr>
            <w:tcW w:w="2551" w:type="dxa"/>
            <w:vAlign w:val="center"/>
          </w:tcPr>
          <w:p>
            <w:pPr>
              <w:pStyle w:val="12"/>
            </w:pPr>
            <w:r>
              <w:t>395.80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1336.72</w:t>
            </w:r>
          </w:p>
        </w:tc>
        <w:tc>
          <w:tcPr>
            <w:tcW w:w="2551" w:type="dxa"/>
            <w:vAlign w:val="center"/>
          </w:tcPr>
          <w:p>
            <w:pPr>
              <w:pStyle w:val="12"/>
            </w:pPr>
            <w:r>
              <w:t>1276.72</w:t>
            </w:r>
          </w:p>
        </w:tc>
        <w:tc>
          <w:tcPr>
            <w:tcW w:w="2551"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2120102</w:t>
            </w:r>
          </w:p>
        </w:tc>
        <w:tc>
          <w:tcPr>
            <w:tcW w:w="4535" w:type="dxa"/>
            <w:vAlign w:val="center"/>
          </w:tcPr>
          <w:p>
            <w:pPr>
              <w:pStyle w:val="13"/>
            </w:pPr>
            <w:r>
              <w:t>一般行政管理事务</w:t>
            </w:r>
          </w:p>
        </w:tc>
        <w:tc>
          <w:tcPr>
            <w:tcW w:w="2551" w:type="dxa"/>
            <w:vAlign w:val="center"/>
          </w:tcPr>
          <w:p>
            <w:pPr>
              <w:pStyle w:val="12"/>
            </w:pPr>
            <w:r>
              <w:t>335.80</w:t>
            </w:r>
          </w:p>
        </w:tc>
        <w:tc>
          <w:tcPr>
            <w:tcW w:w="2551" w:type="dxa"/>
            <w:vAlign w:val="center"/>
          </w:tcPr>
          <w:p>
            <w:pPr>
              <w:pStyle w:val="12"/>
            </w:pPr>
          </w:p>
        </w:tc>
        <w:tc>
          <w:tcPr>
            <w:tcW w:w="2551" w:type="dxa"/>
            <w:vAlign w:val="center"/>
          </w:tcPr>
          <w:p>
            <w:pPr>
              <w:pStyle w:val="12"/>
            </w:pPr>
            <w:r>
              <w:t>335.80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1861.50</w:t>
            </w:r>
          </w:p>
        </w:tc>
        <w:tc>
          <w:tcPr>
            <w:tcW w:w="2551" w:type="dxa"/>
            <w:vAlign w:val="center"/>
          </w:tcPr>
          <w:p>
            <w:pPr>
              <w:pStyle w:val="12"/>
            </w:pPr>
          </w:p>
        </w:tc>
        <w:tc>
          <w:tcPr>
            <w:tcW w:w="2551" w:type="dxa"/>
            <w:vAlign w:val="center"/>
          </w:tcPr>
          <w:p>
            <w:pPr>
              <w:pStyle w:val="12"/>
            </w:pPr>
            <w:r>
              <w:t>1861.50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561.50</w:t>
            </w:r>
          </w:p>
        </w:tc>
        <w:tc>
          <w:tcPr>
            <w:tcW w:w="2551" w:type="dxa"/>
            <w:vAlign w:val="center"/>
          </w:tcPr>
          <w:p>
            <w:pPr>
              <w:pStyle w:val="12"/>
            </w:pPr>
          </w:p>
        </w:tc>
        <w:tc>
          <w:tcPr>
            <w:tcW w:w="2551" w:type="dxa"/>
            <w:vAlign w:val="center"/>
          </w:tcPr>
          <w:p>
            <w:pPr>
              <w:pStyle w:val="12"/>
            </w:pPr>
            <w:r>
              <w:t>561.50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1300.00</w:t>
            </w:r>
          </w:p>
        </w:tc>
        <w:tc>
          <w:tcPr>
            <w:tcW w:w="2551" w:type="dxa"/>
            <w:vAlign w:val="center"/>
          </w:tcPr>
          <w:p>
            <w:pPr>
              <w:pStyle w:val="12"/>
            </w:pPr>
          </w:p>
        </w:tc>
        <w:tc>
          <w:tcPr>
            <w:tcW w:w="2551" w:type="dxa"/>
            <w:vAlign w:val="center"/>
          </w:tcPr>
          <w:p>
            <w:pPr>
              <w:pStyle w:val="12"/>
            </w:pPr>
            <w:r>
              <w:t>1300.00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21206</w:t>
            </w:r>
          </w:p>
        </w:tc>
        <w:tc>
          <w:tcPr>
            <w:tcW w:w="4535" w:type="dxa"/>
            <w:vAlign w:val="center"/>
          </w:tcPr>
          <w:p>
            <w:pPr>
              <w:pStyle w:val="13"/>
            </w:pPr>
            <w:r>
              <w:t>建设市场管理与监督</w:t>
            </w:r>
          </w:p>
        </w:tc>
        <w:tc>
          <w:tcPr>
            <w:tcW w:w="2551" w:type="dxa"/>
            <w:vAlign w:val="center"/>
          </w:tcPr>
          <w:p>
            <w:pPr>
              <w:pStyle w:val="12"/>
            </w:pPr>
            <w:r>
              <w:t>1680.04</w:t>
            </w:r>
          </w:p>
        </w:tc>
        <w:tc>
          <w:tcPr>
            <w:tcW w:w="2551" w:type="dxa"/>
            <w:vAlign w:val="center"/>
          </w:tcPr>
          <w:p>
            <w:pPr>
              <w:pStyle w:val="12"/>
            </w:pPr>
            <w:r>
              <w:t>1257.32</w:t>
            </w:r>
          </w:p>
        </w:tc>
        <w:tc>
          <w:tcPr>
            <w:tcW w:w="2551" w:type="dxa"/>
            <w:vAlign w:val="center"/>
          </w:tcPr>
          <w:p>
            <w:pPr>
              <w:pStyle w:val="12"/>
            </w:pPr>
            <w:r>
              <w:t>422.72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2120601</w:t>
            </w:r>
          </w:p>
        </w:tc>
        <w:tc>
          <w:tcPr>
            <w:tcW w:w="4535" w:type="dxa"/>
            <w:vAlign w:val="center"/>
          </w:tcPr>
          <w:p>
            <w:pPr>
              <w:pStyle w:val="13"/>
            </w:pPr>
            <w:r>
              <w:t>建设市场管理与监督</w:t>
            </w:r>
          </w:p>
        </w:tc>
        <w:tc>
          <w:tcPr>
            <w:tcW w:w="2551" w:type="dxa"/>
            <w:vAlign w:val="center"/>
          </w:tcPr>
          <w:p>
            <w:pPr>
              <w:pStyle w:val="12"/>
            </w:pPr>
            <w:r>
              <w:t>1680.04</w:t>
            </w:r>
          </w:p>
        </w:tc>
        <w:tc>
          <w:tcPr>
            <w:tcW w:w="2551" w:type="dxa"/>
            <w:vAlign w:val="center"/>
          </w:tcPr>
          <w:p>
            <w:pPr>
              <w:pStyle w:val="12"/>
            </w:pPr>
            <w:r>
              <w:t>1257.32</w:t>
            </w:r>
          </w:p>
        </w:tc>
        <w:tc>
          <w:tcPr>
            <w:tcW w:w="2551" w:type="dxa"/>
            <w:vAlign w:val="center"/>
          </w:tcPr>
          <w:p>
            <w:pPr>
              <w:pStyle w:val="12"/>
            </w:pPr>
            <w:r>
              <w:t>422.72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111.00</w:t>
            </w:r>
          </w:p>
        </w:tc>
        <w:tc>
          <w:tcPr>
            <w:tcW w:w="2551" w:type="dxa"/>
            <w:vAlign w:val="center"/>
          </w:tcPr>
          <w:p>
            <w:pPr>
              <w:pStyle w:val="12"/>
            </w:pPr>
          </w:p>
        </w:tc>
        <w:tc>
          <w:tcPr>
            <w:tcW w:w="2551" w:type="dxa"/>
            <w:vAlign w:val="center"/>
          </w:tcPr>
          <w:p>
            <w:pPr>
              <w:pStyle w:val="12"/>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111.00</w:t>
            </w:r>
          </w:p>
        </w:tc>
        <w:tc>
          <w:tcPr>
            <w:tcW w:w="2551" w:type="dxa"/>
            <w:vAlign w:val="center"/>
          </w:tcPr>
          <w:p>
            <w:pPr>
              <w:pStyle w:val="12"/>
            </w:pPr>
          </w:p>
        </w:tc>
        <w:tc>
          <w:tcPr>
            <w:tcW w:w="2551" w:type="dxa"/>
            <w:vAlign w:val="center"/>
          </w:tcPr>
          <w:p>
            <w:pPr>
              <w:pStyle w:val="12"/>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111.00</w:t>
            </w:r>
          </w:p>
        </w:tc>
        <w:tc>
          <w:tcPr>
            <w:tcW w:w="2551" w:type="dxa"/>
            <w:vAlign w:val="center"/>
          </w:tcPr>
          <w:p>
            <w:pPr>
              <w:pStyle w:val="12"/>
            </w:pPr>
          </w:p>
        </w:tc>
        <w:tc>
          <w:tcPr>
            <w:tcW w:w="2551" w:type="dxa"/>
            <w:vAlign w:val="center"/>
          </w:tcPr>
          <w:p>
            <w:pPr>
              <w:pStyle w:val="12"/>
            </w:pPr>
            <w:r>
              <w:t>111.00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457.80</w:t>
            </w:r>
          </w:p>
        </w:tc>
        <w:tc>
          <w:tcPr>
            <w:tcW w:w="2551" w:type="dxa"/>
            <w:vAlign w:val="center"/>
          </w:tcPr>
          <w:p>
            <w:pPr>
              <w:pStyle w:val="12"/>
            </w:pPr>
            <w:r>
              <w:t>214.80</w:t>
            </w:r>
          </w:p>
        </w:tc>
        <w:tc>
          <w:tcPr>
            <w:tcW w:w="2551" w:type="dxa"/>
            <w:vAlign w:val="center"/>
          </w:tcPr>
          <w:p>
            <w:pPr>
              <w:pStyle w:val="12"/>
            </w:pPr>
            <w:r>
              <w:t>243.00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22101</w:t>
            </w:r>
          </w:p>
        </w:tc>
        <w:tc>
          <w:tcPr>
            <w:tcW w:w="4535" w:type="dxa"/>
            <w:vAlign w:val="center"/>
          </w:tcPr>
          <w:p>
            <w:pPr>
              <w:pStyle w:val="13"/>
            </w:pPr>
            <w:r>
              <w:t>保障性安居工程支出</w:t>
            </w:r>
          </w:p>
        </w:tc>
        <w:tc>
          <w:tcPr>
            <w:tcW w:w="2551" w:type="dxa"/>
            <w:vAlign w:val="center"/>
          </w:tcPr>
          <w:p>
            <w:pPr>
              <w:pStyle w:val="12"/>
            </w:pPr>
            <w:r>
              <w:t>243.00</w:t>
            </w:r>
          </w:p>
        </w:tc>
        <w:tc>
          <w:tcPr>
            <w:tcW w:w="2551" w:type="dxa"/>
            <w:vAlign w:val="center"/>
          </w:tcPr>
          <w:p>
            <w:pPr>
              <w:pStyle w:val="12"/>
            </w:pPr>
          </w:p>
        </w:tc>
        <w:tc>
          <w:tcPr>
            <w:tcW w:w="2551" w:type="dxa"/>
            <w:vAlign w:val="center"/>
          </w:tcPr>
          <w:p>
            <w:pPr>
              <w:pStyle w:val="12"/>
            </w:pPr>
            <w:r>
              <w:t>243.00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2210103</w:t>
            </w:r>
          </w:p>
        </w:tc>
        <w:tc>
          <w:tcPr>
            <w:tcW w:w="4535" w:type="dxa"/>
            <w:vAlign w:val="center"/>
          </w:tcPr>
          <w:p>
            <w:pPr>
              <w:pStyle w:val="13"/>
            </w:pPr>
            <w:r>
              <w:t>棚户区改造</w:t>
            </w:r>
          </w:p>
        </w:tc>
        <w:tc>
          <w:tcPr>
            <w:tcW w:w="2551" w:type="dxa"/>
            <w:vAlign w:val="center"/>
          </w:tcPr>
          <w:p>
            <w:pPr>
              <w:pStyle w:val="12"/>
            </w:pPr>
            <w:r>
              <w:t>138.00</w:t>
            </w:r>
          </w:p>
        </w:tc>
        <w:tc>
          <w:tcPr>
            <w:tcW w:w="2551" w:type="dxa"/>
            <w:vAlign w:val="center"/>
          </w:tcPr>
          <w:p>
            <w:pPr>
              <w:pStyle w:val="12"/>
            </w:pPr>
          </w:p>
        </w:tc>
        <w:tc>
          <w:tcPr>
            <w:tcW w:w="2551" w:type="dxa"/>
            <w:vAlign w:val="center"/>
          </w:tcPr>
          <w:p>
            <w:pPr>
              <w:pStyle w:val="12"/>
            </w:pPr>
            <w:r>
              <w:t>138.00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2210105</w:t>
            </w:r>
          </w:p>
        </w:tc>
        <w:tc>
          <w:tcPr>
            <w:tcW w:w="4535" w:type="dxa"/>
            <w:vAlign w:val="center"/>
          </w:tcPr>
          <w:p>
            <w:pPr>
              <w:pStyle w:val="13"/>
            </w:pPr>
            <w:r>
              <w:t>农村危房改造</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2210111</w:t>
            </w:r>
          </w:p>
        </w:tc>
        <w:tc>
          <w:tcPr>
            <w:tcW w:w="4535" w:type="dxa"/>
            <w:vAlign w:val="center"/>
          </w:tcPr>
          <w:p>
            <w:pPr>
              <w:pStyle w:val="13"/>
            </w:pPr>
            <w:r>
              <w:t>配租型住房保障</w:t>
            </w:r>
          </w:p>
        </w:tc>
        <w:tc>
          <w:tcPr>
            <w:tcW w:w="2551" w:type="dxa"/>
            <w:vAlign w:val="center"/>
          </w:tcPr>
          <w:p>
            <w:pPr>
              <w:pStyle w:val="12"/>
            </w:pPr>
            <w:r>
              <w:t>85.00</w:t>
            </w:r>
          </w:p>
        </w:tc>
        <w:tc>
          <w:tcPr>
            <w:tcW w:w="2551" w:type="dxa"/>
            <w:vAlign w:val="center"/>
          </w:tcPr>
          <w:p>
            <w:pPr>
              <w:pStyle w:val="12"/>
            </w:pPr>
          </w:p>
        </w:tc>
        <w:tc>
          <w:tcPr>
            <w:tcW w:w="2551" w:type="dxa"/>
            <w:vAlign w:val="center"/>
          </w:tcPr>
          <w:p>
            <w:pPr>
              <w:pStyle w:val="12"/>
            </w:pPr>
            <w:r>
              <w:t>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214.80</w:t>
            </w:r>
          </w:p>
        </w:tc>
        <w:tc>
          <w:tcPr>
            <w:tcW w:w="2551" w:type="dxa"/>
            <w:vAlign w:val="center"/>
          </w:tcPr>
          <w:p>
            <w:pPr>
              <w:pStyle w:val="12"/>
            </w:pPr>
            <w:r>
              <w:t>214.80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214.80</w:t>
            </w:r>
          </w:p>
        </w:tc>
        <w:tc>
          <w:tcPr>
            <w:tcW w:w="2551" w:type="dxa"/>
            <w:vAlign w:val="center"/>
          </w:tcPr>
          <w:p>
            <w:pPr>
              <w:pStyle w:val="12"/>
            </w:pPr>
            <w:r>
              <w:t>214.80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3628.16</w:t>
            </w:r>
          </w:p>
        </w:tc>
        <w:tc>
          <w:tcPr>
            <w:tcW w:w="2551" w:type="dxa"/>
            <w:vAlign w:val="center"/>
          </w:tcPr>
          <w:p>
            <w:pPr>
              <w:pStyle w:val="16"/>
            </w:pPr>
            <w:r>
              <w:t>2875.90</w:t>
            </w:r>
          </w:p>
        </w:tc>
        <w:tc>
          <w:tcPr>
            <w:tcW w:w="2551" w:type="dxa"/>
            <w:vAlign w:val="center"/>
          </w:tcPr>
          <w:p>
            <w:pPr>
              <w:pStyle w:val="16"/>
            </w:pPr>
            <w:r>
              <w:t>752.26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2477.88</w:t>
            </w:r>
          </w:p>
        </w:tc>
        <w:tc>
          <w:tcPr>
            <w:tcW w:w="2551" w:type="dxa"/>
            <w:vAlign w:val="center"/>
          </w:tcPr>
          <w:p>
            <w:pPr>
              <w:pStyle w:val="12"/>
            </w:pPr>
            <w:r>
              <w:t>2477.88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630.13</w:t>
            </w:r>
          </w:p>
        </w:tc>
        <w:tc>
          <w:tcPr>
            <w:tcW w:w="2551" w:type="dxa"/>
            <w:vAlign w:val="center"/>
          </w:tcPr>
          <w:p>
            <w:pPr>
              <w:pStyle w:val="12"/>
            </w:pPr>
            <w:r>
              <w:t>630.13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165.43</w:t>
            </w:r>
          </w:p>
        </w:tc>
        <w:tc>
          <w:tcPr>
            <w:tcW w:w="2551" w:type="dxa"/>
            <w:vAlign w:val="center"/>
          </w:tcPr>
          <w:p>
            <w:pPr>
              <w:pStyle w:val="12"/>
            </w:pPr>
            <w:r>
              <w:t>165.43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63.15</w:t>
            </w:r>
          </w:p>
        </w:tc>
        <w:tc>
          <w:tcPr>
            <w:tcW w:w="2551" w:type="dxa"/>
            <w:vAlign w:val="center"/>
          </w:tcPr>
          <w:p>
            <w:pPr>
              <w:pStyle w:val="12"/>
            </w:pPr>
            <w:r>
              <w:t>63.15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912.68</w:t>
            </w:r>
          </w:p>
        </w:tc>
        <w:tc>
          <w:tcPr>
            <w:tcW w:w="2551" w:type="dxa"/>
            <w:vAlign w:val="center"/>
          </w:tcPr>
          <w:p>
            <w:pPr>
              <w:pStyle w:val="12"/>
            </w:pPr>
            <w:r>
              <w:t>912.68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230.26</w:t>
            </w:r>
          </w:p>
        </w:tc>
        <w:tc>
          <w:tcPr>
            <w:tcW w:w="2551" w:type="dxa"/>
            <w:vAlign w:val="center"/>
          </w:tcPr>
          <w:p>
            <w:pPr>
              <w:pStyle w:val="12"/>
            </w:pPr>
            <w:r>
              <w:t>230.26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79.48</w:t>
            </w:r>
          </w:p>
        </w:tc>
        <w:tc>
          <w:tcPr>
            <w:tcW w:w="2551" w:type="dxa"/>
            <w:vAlign w:val="center"/>
          </w:tcPr>
          <w:p>
            <w:pPr>
              <w:pStyle w:val="12"/>
            </w:pPr>
            <w:r>
              <w:t>79.48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97.73</w:t>
            </w:r>
          </w:p>
        </w:tc>
        <w:tc>
          <w:tcPr>
            <w:tcW w:w="2551" w:type="dxa"/>
            <w:vAlign w:val="center"/>
          </w:tcPr>
          <w:p>
            <w:pPr>
              <w:pStyle w:val="12"/>
            </w:pPr>
            <w:r>
              <w:t>97.73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72.08</w:t>
            </w:r>
          </w:p>
        </w:tc>
        <w:tc>
          <w:tcPr>
            <w:tcW w:w="2551" w:type="dxa"/>
            <w:vAlign w:val="center"/>
          </w:tcPr>
          <w:p>
            <w:pPr>
              <w:pStyle w:val="12"/>
            </w:pPr>
            <w:r>
              <w:t>72.08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12.14</w:t>
            </w:r>
          </w:p>
        </w:tc>
        <w:tc>
          <w:tcPr>
            <w:tcW w:w="2551" w:type="dxa"/>
            <w:vAlign w:val="center"/>
          </w:tcPr>
          <w:p>
            <w:pPr>
              <w:pStyle w:val="12"/>
            </w:pPr>
            <w:r>
              <w:t>12.14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214.80</w:t>
            </w:r>
          </w:p>
        </w:tc>
        <w:tc>
          <w:tcPr>
            <w:tcW w:w="2551" w:type="dxa"/>
            <w:vAlign w:val="center"/>
          </w:tcPr>
          <w:p>
            <w:pPr>
              <w:pStyle w:val="12"/>
            </w:pPr>
            <w:r>
              <w:t>214.80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752.26</w:t>
            </w:r>
          </w:p>
        </w:tc>
        <w:tc>
          <w:tcPr>
            <w:tcW w:w="2551" w:type="dxa"/>
            <w:vAlign w:val="center"/>
          </w:tcPr>
          <w:p>
            <w:pPr>
              <w:pStyle w:val="12"/>
            </w:pPr>
          </w:p>
        </w:tc>
        <w:tc>
          <w:tcPr>
            <w:tcW w:w="2551" w:type="dxa"/>
            <w:vAlign w:val="center"/>
          </w:tcPr>
          <w:p>
            <w:pPr>
              <w:pStyle w:val="12"/>
            </w:pPr>
            <w:r>
              <w:t>752.26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49.20</w:t>
            </w:r>
          </w:p>
        </w:tc>
        <w:tc>
          <w:tcPr>
            <w:tcW w:w="2551" w:type="dxa"/>
            <w:vAlign w:val="center"/>
          </w:tcPr>
          <w:p>
            <w:pPr>
              <w:pStyle w:val="12"/>
            </w:pPr>
          </w:p>
        </w:tc>
        <w:tc>
          <w:tcPr>
            <w:tcW w:w="2551" w:type="dxa"/>
            <w:vAlign w:val="center"/>
          </w:tcPr>
          <w:p>
            <w:pPr>
              <w:pStyle w:val="12"/>
            </w:pPr>
            <w:r>
              <w:t>49.20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8.26</w:t>
            </w:r>
          </w:p>
        </w:tc>
        <w:tc>
          <w:tcPr>
            <w:tcW w:w="2551" w:type="dxa"/>
            <w:vAlign w:val="center"/>
          </w:tcPr>
          <w:p>
            <w:pPr>
              <w:pStyle w:val="12"/>
            </w:pPr>
          </w:p>
        </w:tc>
        <w:tc>
          <w:tcPr>
            <w:tcW w:w="2551" w:type="dxa"/>
            <w:vAlign w:val="center"/>
          </w:tcPr>
          <w:p>
            <w:pPr>
              <w:pStyle w:val="12"/>
            </w:pPr>
            <w:r>
              <w:t>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18.83</w:t>
            </w:r>
          </w:p>
        </w:tc>
        <w:tc>
          <w:tcPr>
            <w:tcW w:w="2551" w:type="dxa"/>
            <w:vAlign w:val="center"/>
          </w:tcPr>
          <w:p>
            <w:pPr>
              <w:pStyle w:val="12"/>
            </w:pPr>
          </w:p>
        </w:tc>
        <w:tc>
          <w:tcPr>
            <w:tcW w:w="2551" w:type="dxa"/>
            <w:vAlign w:val="center"/>
          </w:tcPr>
          <w:p>
            <w:pPr>
              <w:pStyle w:val="12"/>
            </w:pPr>
            <w:r>
              <w:t>18.83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609.19</w:t>
            </w:r>
          </w:p>
        </w:tc>
        <w:tc>
          <w:tcPr>
            <w:tcW w:w="2551" w:type="dxa"/>
            <w:vAlign w:val="center"/>
          </w:tcPr>
          <w:p>
            <w:pPr>
              <w:pStyle w:val="12"/>
            </w:pPr>
          </w:p>
        </w:tc>
        <w:tc>
          <w:tcPr>
            <w:tcW w:w="2551" w:type="dxa"/>
            <w:vAlign w:val="center"/>
          </w:tcPr>
          <w:p>
            <w:pPr>
              <w:pStyle w:val="12"/>
            </w:pPr>
            <w:r>
              <w:t>609.19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15.75</w:t>
            </w:r>
          </w:p>
        </w:tc>
        <w:tc>
          <w:tcPr>
            <w:tcW w:w="2551" w:type="dxa"/>
            <w:vAlign w:val="center"/>
          </w:tcPr>
          <w:p>
            <w:pPr>
              <w:pStyle w:val="12"/>
            </w:pPr>
          </w:p>
        </w:tc>
        <w:tc>
          <w:tcPr>
            <w:tcW w:w="2551" w:type="dxa"/>
            <w:vAlign w:val="center"/>
          </w:tcPr>
          <w:p>
            <w:pPr>
              <w:pStyle w:val="12"/>
            </w:pPr>
            <w:r>
              <w:t>15.75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12.12</w:t>
            </w:r>
          </w:p>
        </w:tc>
        <w:tc>
          <w:tcPr>
            <w:tcW w:w="2551" w:type="dxa"/>
            <w:vAlign w:val="center"/>
          </w:tcPr>
          <w:p>
            <w:pPr>
              <w:pStyle w:val="12"/>
            </w:pPr>
          </w:p>
        </w:tc>
        <w:tc>
          <w:tcPr>
            <w:tcW w:w="2551" w:type="dxa"/>
            <w:vAlign w:val="center"/>
          </w:tcPr>
          <w:p>
            <w:pPr>
              <w:pStyle w:val="12"/>
            </w:pPr>
            <w:r>
              <w:t>12.12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9.72</w:t>
            </w:r>
          </w:p>
        </w:tc>
        <w:tc>
          <w:tcPr>
            <w:tcW w:w="2551" w:type="dxa"/>
            <w:vAlign w:val="center"/>
          </w:tcPr>
          <w:p>
            <w:pPr>
              <w:pStyle w:val="12"/>
            </w:pPr>
          </w:p>
        </w:tc>
        <w:tc>
          <w:tcPr>
            <w:tcW w:w="2551" w:type="dxa"/>
            <w:vAlign w:val="center"/>
          </w:tcPr>
          <w:p>
            <w:pPr>
              <w:pStyle w:val="12"/>
            </w:pPr>
            <w:r>
              <w:t>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398.02</w:t>
            </w:r>
          </w:p>
        </w:tc>
        <w:tc>
          <w:tcPr>
            <w:tcW w:w="2551" w:type="dxa"/>
            <w:vAlign w:val="center"/>
          </w:tcPr>
          <w:p>
            <w:pPr>
              <w:pStyle w:val="12"/>
            </w:pPr>
            <w:r>
              <w:t>398.02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391.70</w:t>
            </w:r>
          </w:p>
        </w:tc>
        <w:tc>
          <w:tcPr>
            <w:tcW w:w="2551" w:type="dxa"/>
            <w:vAlign w:val="center"/>
          </w:tcPr>
          <w:p>
            <w:pPr>
              <w:pStyle w:val="12"/>
            </w:pPr>
            <w:r>
              <w:t>391.70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6.32</w:t>
            </w:r>
          </w:p>
        </w:tc>
        <w:tc>
          <w:tcPr>
            <w:tcW w:w="2551" w:type="dxa"/>
            <w:vAlign w:val="center"/>
          </w:tcPr>
          <w:p>
            <w:pPr>
              <w:pStyle w:val="12"/>
            </w:pPr>
            <w:r>
              <w:t>6.32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14605.90</w:t>
            </w:r>
          </w:p>
        </w:tc>
        <w:tc>
          <w:tcPr>
            <w:tcW w:w="2551" w:type="dxa"/>
            <w:vAlign w:val="center"/>
          </w:tcPr>
          <w:p>
            <w:pPr>
              <w:pStyle w:val="16"/>
            </w:pPr>
          </w:p>
        </w:tc>
        <w:tc>
          <w:tcPr>
            <w:tcW w:w="2551" w:type="dxa"/>
            <w:vAlign w:val="center"/>
          </w:tcPr>
          <w:p>
            <w:pPr>
              <w:pStyle w:val="16"/>
            </w:pPr>
            <w:r>
              <w:t>14605.90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11393.00</w:t>
            </w:r>
          </w:p>
        </w:tc>
        <w:tc>
          <w:tcPr>
            <w:tcW w:w="2551" w:type="dxa"/>
            <w:vAlign w:val="center"/>
          </w:tcPr>
          <w:p>
            <w:pPr>
              <w:pStyle w:val="12"/>
            </w:pPr>
          </w:p>
        </w:tc>
        <w:tc>
          <w:tcPr>
            <w:tcW w:w="2551" w:type="dxa"/>
            <w:vAlign w:val="center"/>
          </w:tcPr>
          <w:p>
            <w:pPr>
              <w:pStyle w:val="12"/>
            </w:pPr>
            <w:r>
              <w:t>11393.00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5498.00</w:t>
            </w:r>
          </w:p>
        </w:tc>
        <w:tc>
          <w:tcPr>
            <w:tcW w:w="2551" w:type="dxa"/>
            <w:vAlign w:val="center"/>
          </w:tcPr>
          <w:p>
            <w:pPr>
              <w:pStyle w:val="12"/>
            </w:pPr>
          </w:p>
        </w:tc>
        <w:tc>
          <w:tcPr>
            <w:tcW w:w="2551" w:type="dxa"/>
            <w:vAlign w:val="center"/>
          </w:tcPr>
          <w:p>
            <w:pPr>
              <w:pStyle w:val="12"/>
            </w:pPr>
            <w:r>
              <w:t>5498.00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2120801</w:t>
            </w:r>
          </w:p>
        </w:tc>
        <w:tc>
          <w:tcPr>
            <w:tcW w:w="4535" w:type="dxa"/>
            <w:vAlign w:val="center"/>
          </w:tcPr>
          <w:p>
            <w:pPr>
              <w:pStyle w:val="13"/>
            </w:pPr>
            <w:r>
              <w:t>征地和拆迁补偿支出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3398.00</w:t>
            </w:r>
          </w:p>
        </w:tc>
        <w:tc>
          <w:tcPr>
            <w:tcW w:w="2551" w:type="dxa"/>
            <w:vAlign w:val="center"/>
          </w:tcPr>
          <w:p>
            <w:pPr>
              <w:pStyle w:val="12"/>
            </w:pPr>
          </w:p>
        </w:tc>
        <w:tc>
          <w:tcPr>
            <w:tcW w:w="2551" w:type="dxa"/>
            <w:vAlign w:val="center"/>
          </w:tcPr>
          <w:p>
            <w:pPr>
              <w:pStyle w:val="12"/>
            </w:pPr>
            <w:r>
              <w:t>3398.00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2120807</w:t>
            </w:r>
          </w:p>
        </w:tc>
        <w:tc>
          <w:tcPr>
            <w:tcW w:w="4535" w:type="dxa"/>
            <w:vAlign w:val="center"/>
          </w:tcPr>
          <w:p>
            <w:pPr>
              <w:pStyle w:val="13"/>
            </w:pPr>
            <w:r>
              <w:t>廉租住房支出</w:t>
            </w:r>
          </w:p>
        </w:tc>
        <w:tc>
          <w:tcPr>
            <w:tcW w:w="2551" w:type="dxa"/>
            <w:vAlign w:val="center"/>
          </w:tcPr>
          <w:p>
            <w:pPr>
              <w:pStyle w:val="12"/>
            </w:pPr>
            <w:r>
              <w:t>600.00</w:t>
            </w:r>
          </w:p>
        </w:tc>
        <w:tc>
          <w:tcPr>
            <w:tcW w:w="2551" w:type="dxa"/>
            <w:vAlign w:val="center"/>
          </w:tcPr>
          <w:p>
            <w:pPr>
              <w:pStyle w:val="12"/>
            </w:pPr>
          </w:p>
        </w:tc>
        <w:tc>
          <w:tcPr>
            <w:tcW w:w="2551" w:type="dxa"/>
            <w:vAlign w:val="center"/>
          </w:tcPr>
          <w:p>
            <w:pPr>
              <w:pStyle w:val="12"/>
            </w:pPr>
            <w:r>
              <w:t>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21214</w:t>
            </w:r>
          </w:p>
        </w:tc>
        <w:tc>
          <w:tcPr>
            <w:tcW w:w="4535" w:type="dxa"/>
            <w:vAlign w:val="center"/>
          </w:tcPr>
          <w:p>
            <w:pPr>
              <w:pStyle w:val="13"/>
            </w:pPr>
            <w:r>
              <w:t>污水处理费安排的支出</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2121401</w:t>
            </w:r>
          </w:p>
        </w:tc>
        <w:tc>
          <w:tcPr>
            <w:tcW w:w="4535" w:type="dxa"/>
            <w:vAlign w:val="center"/>
          </w:tcPr>
          <w:p>
            <w:pPr>
              <w:pStyle w:val="13"/>
            </w:pPr>
            <w:r>
              <w:t>污水处理设施建设和运营</w:t>
            </w:r>
          </w:p>
        </w:tc>
        <w:tc>
          <w:tcPr>
            <w:tcW w:w="2551" w:type="dxa"/>
            <w:vAlign w:val="center"/>
          </w:tcPr>
          <w:p>
            <w:pPr>
              <w:pStyle w:val="12"/>
            </w:pPr>
            <w:r>
              <w:t>3500.00</w:t>
            </w:r>
          </w:p>
        </w:tc>
        <w:tc>
          <w:tcPr>
            <w:tcW w:w="2551" w:type="dxa"/>
            <w:vAlign w:val="center"/>
          </w:tcPr>
          <w:p>
            <w:pPr>
              <w:pStyle w:val="12"/>
            </w:pPr>
          </w:p>
        </w:tc>
        <w:tc>
          <w:tcPr>
            <w:tcW w:w="2551" w:type="dxa"/>
            <w:vAlign w:val="center"/>
          </w:tcPr>
          <w:p>
            <w:pPr>
              <w:pStyle w:val="12"/>
            </w:pPr>
            <w:r>
              <w:t>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21216</w:t>
            </w:r>
          </w:p>
        </w:tc>
        <w:tc>
          <w:tcPr>
            <w:tcW w:w="4535" w:type="dxa"/>
            <w:vAlign w:val="center"/>
          </w:tcPr>
          <w:p>
            <w:pPr>
              <w:pStyle w:val="13"/>
            </w:pPr>
            <w:r>
              <w:t>棚户区改造专项债券收入安排的支出</w:t>
            </w:r>
          </w:p>
        </w:tc>
        <w:tc>
          <w:tcPr>
            <w:tcW w:w="2551" w:type="dxa"/>
            <w:vAlign w:val="center"/>
          </w:tcPr>
          <w:p>
            <w:pPr>
              <w:pStyle w:val="12"/>
            </w:pPr>
            <w:r>
              <w:t>2395.00</w:t>
            </w:r>
          </w:p>
        </w:tc>
        <w:tc>
          <w:tcPr>
            <w:tcW w:w="2551" w:type="dxa"/>
            <w:vAlign w:val="center"/>
          </w:tcPr>
          <w:p>
            <w:pPr>
              <w:pStyle w:val="12"/>
            </w:pPr>
          </w:p>
        </w:tc>
        <w:tc>
          <w:tcPr>
            <w:tcW w:w="2551" w:type="dxa"/>
            <w:vAlign w:val="center"/>
          </w:tcPr>
          <w:p>
            <w:pPr>
              <w:pStyle w:val="12"/>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2121699</w:t>
            </w:r>
          </w:p>
        </w:tc>
        <w:tc>
          <w:tcPr>
            <w:tcW w:w="4535" w:type="dxa"/>
            <w:vAlign w:val="center"/>
          </w:tcPr>
          <w:p>
            <w:pPr>
              <w:pStyle w:val="13"/>
            </w:pPr>
            <w:r>
              <w:t>其他棚户区改造专项债券收入安排的支出</w:t>
            </w:r>
          </w:p>
        </w:tc>
        <w:tc>
          <w:tcPr>
            <w:tcW w:w="2551" w:type="dxa"/>
            <w:vAlign w:val="center"/>
          </w:tcPr>
          <w:p>
            <w:pPr>
              <w:pStyle w:val="12"/>
            </w:pPr>
            <w:r>
              <w:t>2395.00</w:t>
            </w:r>
          </w:p>
        </w:tc>
        <w:tc>
          <w:tcPr>
            <w:tcW w:w="2551" w:type="dxa"/>
            <w:vAlign w:val="center"/>
          </w:tcPr>
          <w:p>
            <w:pPr>
              <w:pStyle w:val="12"/>
            </w:pPr>
          </w:p>
        </w:tc>
        <w:tc>
          <w:tcPr>
            <w:tcW w:w="2551" w:type="dxa"/>
            <w:vAlign w:val="center"/>
          </w:tcPr>
          <w:p>
            <w:pPr>
              <w:pStyle w:val="12"/>
            </w:pPr>
            <w:r>
              <w:t>2395.00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3212.90</w:t>
            </w:r>
          </w:p>
        </w:tc>
        <w:tc>
          <w:tcPr>
            <w:tcW w:w="2551" w:type="dxa"/>
            <w:vAlign w:val="center"/>
          </w:tcPr>
          <w:p>
            <w:pPr>
              <w:pStyle w:val="12"/>
            </w:pPr>
          </w:p>
        </w:tc>
        <w:tc>
          <w:tcPr>
            <w:tcW w:w="2551" w:type="dxa"/>
            <w:vAlign w:val="center"/>
          </w:tcPr>
          <w:p>
            <w:pPr>
              <w:pStyle w:val="12"/>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3212.90</w:t>
            </w:r>
          </w:p>
        </w:tc>
        <w:tc>
          <w:tcPr>
            <w:tcW w:w="2551" w:type="dxa"/>
            <w:vAlign w:val="center"/>
          </w:tcPr>
          <w:p>
            <w:pPr>
              <w:pStyle w:val="12"/>
            </w:pPr>
          </w:p>
        </w:tc>
        <w:tc>
          <w:tcPr>
            <w:tcW w:w="2551" w:type="dxa"/>
            <w:vAlign w:val="center"/>
          </w:tcPr>
          <w:p>
            <w:pPr>
              <w:pStyle w:val="12"/>
            </w:pPr>
            <w:r>
              <w:t>3212.90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3212.90</w:t>
            </w:r>
          </w:p>
        </w:tc>
        <w:tc>
          <w:tcPr>
            <w:tcW w:w="2551" w:type="dxa"/>
            <w:vAlign w:val="center"/>
          </w:tcPr>
          <w:p>
            <w:pPr>
              <w:pStyle w:val="12"/>
            </w:pPr>
          </w:p>
        </w:tc>
        <w:tc>
          <w:tcPr>
            <w:tcW w:w="2551" w:type="dxa"/>
            <w:vAlign w:val="center"/>
          </w:tcPr>
          <w:p>
            <w:pPr>
              <w:pStyle w:val="12"/>
            </w:pPr>
            <w:r>
              <w:t>3212.90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16.20</w:t>
            </w:r>
          </w:p>
        </w:tc>
        <w:tc>
          <w:tcPr>
            <w:tcW w:w="2381" w:type="dxa"/>
            <w:vAlign w:val="center"/>
          </w:tcPr>
          <w:p>
            <w:pPr>
              <w:pStyle w:val="16"/>
            </w:pPr>
            <w:r>
              <w:t>16.20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石家庄市鹿泉区住房和城乡建设局2025年部门预算信息公开情况说明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石家庄市鹿泉区住房和城乡建设局2025年部门预算信息公开情况说明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按照《中华人民共和国预算法》、《地方预决算公开操作规程》和《关于进一步推进预算公开工作的实施意见》规定，现将石家庄市鹿泉区住房和城乡建设局2025年部门预算公开如下：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8"/>
      </w:pPr>
      <w:r>
        <w:t>（二）贯彻落实党中央、国务院和省、市、区关于城市管理相关工作的方针政策和法律法规。拟订城市管理中长期发展规划和年度计划并组织实施。</w:t>
      </w:r>
    </w:p>
    <w:p>
      <w:pPr>
        <w:pStyle w:val="18"/>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8"/>
      </w:pPr>
      <w:r>
        <w:t>(四)负责推进住房制度改革。贯彻落实住房政策，指导住房建设，推动住房制度改革；拟订住房建设发展规划并组织实施。</w:t>
      </w:r>
    </w:p>
    <w:p>
      <w:pPr>
        <w:pStyle w:val="18"/>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8"/>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8"/>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8"/>
      </w:pPr>
      <w:r>
        <w:t>(八)推进新型城镇化（国家新型城镇化综合试点）建设工作。</w:t>
      </w:r>
    </w:p>
    <w:p>
      <w:pPr>
        <w:pStyle w:val="18"/>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8"/>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8"/>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8"/>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8"/>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8"/>
      </w:pPr>
      <w:r>
        <w:t>(十四)负责全区污水处理及污水处理行业管理工作。</w:t>
      </w:r>
    </w:p>
    <w:p>
      <w:pPr>
        <w:pStyle w:val="18"/>
      </w:pPr>
      <w:r>
        <w:t>(十五)负责全区燃气行业管理工作。</w:t>
      </w:r>
    </w:p>
    <w:p>
      <w:pPr>
        <w:pStyle w:val="18"/>
      </w:pPr>
      <w:r>
        <w:t>(十六)负责城市建设档案监督管理工作。</w:t>
      </w:r>
    </w:p>
    <w:p>
      <w:pPr>
        <w:pStyle w:val="18"/>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8"/>
      </w:pPr>
      <w:r>
        <w:t>(十八)负责住房城乡建设行业信息采集、整理、统计、分析、发布等工作。</w:t>
      </w:r>
    </w:p>
    <w:p>
      <w:pPr>
        <w:pStyle w:val="18"/>
      </w:pPr>
      <w:r>
        <w:t>(十九)负责城区防汛工作。研究部署城区防汛工作，开展城区防汛宣传，提高全社会的防洪减灾意识，会同有关部门做好城区自然灾害应急处置工作。</w:t>
      </w:r>
    </w:p>
    <w:p>
      <w:pPr>
        <w:pStyle w:val="18"/>
      </w:pPr>
      <w:r>
        <w:t>(二十)实施范围内法律法规规章规定的行政处罚权有关的行政强制措施。</w:t>
      </w:r>
    </w:p>
    <w:p>
      <w:pPr>
        <w:pStyle w:val="18"/>
      </w:pPr>
      <w:r>
        <w:t>(二十一)完成区委、区政府交办的其他任务。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石家庄市鹿泉区住房和城乡建设局本级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石家庄市鹿泉区建筑业服务中心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石家庄市鹿泉区房屋征收中心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石家庄市鹿泉区住房和建设监管综合服务中心</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石家庄市鹿泉区城市建设服务中心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石家庄市鹿泉区住房保障和房地产服务中心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石家庄市鹿泉区廉租住房和经济适用住房管理中心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按照预算管理有关规定，目前部门预算的编制实行综合预算管理，即全部收入和支出都反映在预算中。石家庄市鹿泉区住房和城乡建设局机关及所属事业单位的收支包含在部门预算中。</w:t>
      </w:r>
    </w:p>
    <w:p>
      <w:pPr>
        <w:pStyle w:val="19"/>
      </w:pPr>
      <w:r>
        <w:t>1、收入说明</w:t>
      </w:r>
    </w:p>
    <w:p>
      <w:pPr>
        <w:pStyle w:val="19"/>
      </w:pPr>
      <w:r>
        <w:t>反映本部门当年全部收入。2025年预算收入27111.17万元，其中：一般公共预算收入11494.77万元，基金预算收入8998.00万元，国有资本经营预算收入0.00万元，财政专户核拨收入0.00万元，单位资金收入0.00万元，上年结转结余6618.40万元。</w:t>
      </w:r>
    </w:p>
    <w:p>
      <w:pPr>
        <w:pStyle w:val="19"/>
      </w:pPr>
      <w:r>
        <w:t>2、支出说明</w:t>
      </w:r>
    </w:p>
    <w:p>
      <w:pPr>
        <w:pStyle w:val="19"/>
      </w:pPr>
      <w:r>
        <w:t>收支预算总表支出栏、基本支出表、项目支出表按经济分类和支出功能分类科目编制，反映石家庄市鹿泉区住房和城乡建设局年度部门预算中支出预算的总体情况。2025年支出预算27111.17万元，其中基本支出3628.16万元，包括人员经费2875.90万元和日常公用经费752.26万元；项目支出23483.01万元，主要为基础设施建设项目资金等支出。</w:t>
      </w:r>
    </w:p>
    <w:p>
      <w:pPr>
        <w:pStyle w:val="19"/>
      </w:pPr>
      <w:r>
        <w:t>3、比上年增减情况</w:t>
      </w:r>
    </w:p>
    <w:p>
      <w:pPr>
        <w:pStyle w:val="19"/>
      </w:pPr>
      <w:r>
        <w:t>2025年预算收支安排27111.17万元，较2024年预算减少20647.97万元，其中：基本支出减少109.62万元，主要为人员经费支出减少。项目支出减少20538.35万元，主要为减少基础设施建设项目支出。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2025年，我部门机关运行经费共计安排752.26万元，主要用于日常维修、办公用房水电费、办公用房取暖费、办公用房物业管理费等日常运行支出。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16.20万元，其中因公出国（境）费0.00万元；公务用车购置及运维费16.20万元（其中：公务用车购置费为0.00万元，公务用车运维费16.20万元)；公务接待费0.00万元。与2024年相比减少2.70万元，增减变化的主要原因是公务用车运维费减少2.7万元，本年度减少公务用车一辆。</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w:t>
      </w:r>
      <w:r>
        <w:rPr>
          <w:rFonts w:hint="eastAsia"/>
          <w:lang w:eastAsia="zh-CN"/>
        </w:rPr>
        <w:t>习近平</w:t>
      </w:r>
      <w:bookmarkStart w:id="20" w:name="_GoBack"/>
      <w:bookmarkEnd w:id="20"/>
      <w:r>
        <w:rPr>
          <w:rFonts w:hint="eastAsia"/>
          <w:lang w:eastAsia="zh-CN"/>
        </w:rPr>
        <w:t>新时代中国特色</w:t>
      </w:r>
      <w:r>
        <w:t>社会主义思想为指导，坚决落实区委、区政府各项工作部署，推动住房和城乡建设工作高质量发展取得阶段性成效，为建设现代化经济强区、魅力鹿泉、生态宜居宜业宜游新城区贡献了应有力量。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ind w:firstLine="932" w:firstLineChars="333"/>
      </w:pPr>
      <w:r>
        <w:rPr>
          <w:rFonts w:hint="eastAsia"/>
          <w:lang w:val="en-US" w:eastAsia="zh-CN"/>
        </w:rPr>
        <w:t>1、</w:t>
      </w:r>
      <w:r>
        <w:t>坚持用情用力办好民生实事。始终坚持以人民为中心。打好商品住房项目保交房攻坚战，按照市场化、法治化原则，分类处置在建已售未交付的商品住房项目，推动项目建设交付，切实保障购房人合法权益。要充分用好城市房地产融资协调机制，协助符合条件的项目纳入“白名单”。加快推动贺庄、稻香村、深圳科技园保障性租赁住房项目建设，加大人才公寓筹集力度，解决具有新市民、青年人住房问题。持续开展提升物业服务水平专项行动，着力打造宜居舒适的干净小区。</w:t>
      </w:r>
    </w:p>
    <w:p>
      <w:pPr>
        <w:pStyle w:val="23"/>
      </w:pPr>
      <w:r>
        <w:rPr>
          <w:rFonts w:hint="eastAsia"/>
          <w:lang w:val="en-US" w:eastAsia="zh-CN"/>
        </w:rPr>
        <w:t>2、</w:t>
      </w:r>
      <w:r>
        <w:t>持续做好城市建设与管理。完成车站区域基础设施综合建设工程、车站区域集中安置棚户区改造项目，实现和平路西延鹿泉段贯通。做好两座污水处理厂管护工作，完成西部上庄污水厂扩建工程，持续提升城市承载力。扎实做好国有土地和房屋征收工作。围绕城市更新行动，做实做细城市体检，科学谋划城市建设项目，积极争取超长期国债等各类资金，有序推动城区基础设施和公共服务设施建设，力争省、市县城建设考核排名名列前茅。常态化开展燃气安全隐患排查整治工作，确保燃气行业安全生产。</w:t>
      </w:r>
    </w:p>
    <w:p>
      <w:pPr>
        <w:pStyle w:val="23"/>
      </w:pPr>
      <w:r>
        <w:rPr>
          <w:rFonts w:hint="eastAsia"/>
          <w:lang w:val="en-US" w:eastAsia="zh-CN"/>
        </w:rPr>
        <w:t>3、</w:t>
      </w:r>
      <w:r>
        <w:t>持续做好建筑行业监管。强化建筑市场日常监管,规范建筑市场秩序。深入开展工程质量常见问题治理,持续加强安全生产双控机制建设，每季度开展一次安全生产大会，确保建筑工程质量安全。加大对乡镇的指导、督导力度,推动建筑施工扬尘治理工作步入法制化、常态化、规范化轨道。持续做好新建居住建筑75%和公共建筑72%节能标准政策落实，大力发展绿色建筑、装配式建筑和被动式超低能耗建筑，新建装配式建筑占比30%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研究完善预算绩效管理有关制度办法和财务管理规定。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4"/>
        <w:sectPr>
          <w:pgSz w:w="16840" w:h="11900" w:orient="landscape"/>
          <w:pgMar w:top="1361" w:right="1020" w:bottom="1361" w:left="1020" w:header="720" w:footer="720" w:gutter="0"/>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w:t>
      </w:r>
      <w:bookmarkEnd w:id="14"/>
      <w:bookmarkStart w:id="15" w:name="_Toc_3_3_0000000016"/>
      <w:r>
        <w:rPr>
          <w:rFonts w:ascii="黑体" w:hAnsi="黑体" w:eastAsia="黑体" w:cs="黑体"/>
          <w:color w:val="000000"/>
          <w:sz w:val="32"/>
        </w:rPr>
        <w:t>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1、2016年双代用户2024年-2025年采暖季运行补贴（第九年）绩效目标表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13011025P001526100010</w:t>
            </w:r>
          </w:p>
        </w:tc>
        <w:tc>
          <w:tcPr>
            <w:tcW w:w="2835" w:type="dxa"/>
            <w:vAlign w:val="center"/>
          </w:tcPr>
          <w:p>
            <w:pPr>
              <w:pStyle w:val="11"/>
            </w:pPr>
            <w:r>
              <w:t>项目名称</w:t>
            </w:r>
          </w:p>
        </w:tc>
        <w:tc>
          <w:tcPr>
            <w:tcW w:w="6095" w:type="dxa"/>
            <w:gridSpan w:val="3"/>
            <w:vAlign w:val="center"/>
          </w:tcPr>
          <w:p>
            <w:pPr>
              <w:pStyle w:val="13"/>
            </w:pPr>
            <w:r>
              <w:t>2016年双代用户2024年-2025年采暖季运行补贴（第九年）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121.11</w:t>
            </w:r>
          </w:p>
        </w:tc>
        <w:tc>
          <w:tcPr>
            <w:tcW w:w="2835" w:type="dxa"/>
            <w:vAlign w:val="center"/>
          </w:tcPr>
          <w:p>
            <w:pPr>
              <w:pStyle w:val="11"/>
            </w:pPr>
            <w:r>
              <w:t>其中：财政    资金</w:t>
            </w:r>
          </w:p>
        </w:tc>
        <w:tc>
          <w:tcPr>
            <w:tcW w:w="2551" w:type="dxa"/>
            <w:vAlign w:val="center"/>
          </w:tcPr>
          <w:p>
            <w:pPr>
              <w:pStyle w:val="13"/>
            </w:pPr>
            <w:r>
              <w:t>121.11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采暖季后对2016年2313户农村煤改气用户进行补贴，鼓励农户使用清洁能源取暖，减轻农户采暖费用，有效减少大气污染物排放。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发放天然气运行补贴时间</w:t>
            </w:r>
          </w:p>
        </w:tc>
        <w:tc>
          <w:tcPr>
            <w:tcW w:w="5386" w:type="dxa"/>
            <w:vAlign w:val="center"/>
          </w:tcPr>
          <w:p>
            <w:pPr>
              <w:pStyle w:val="13"/>
            </w:pPr>
            <w:r>
              <w:t>采暖季结束后督促相关燃气企业发放天然气运行补贴</w:t>
            </w:r>
          </w:p>
        </w:tc>
        <w:tc>
          <w:tcPr>
            <w:tcW w:w="2268" w:type="dxa"/>
            <w:vAlign w:val="center"/>
          </w:tcPr>
          <w:p>
            <w:pPr>
              <w:pStyle w:val="13"/>
            </w:pPr>
            <w:r>
              <w:t>≤30工作日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天然气运行补贴户数</w:t>
            </w:r>
          </w:p>
        </w:tc>
        <w:tc>
          <w:tcPr>
            <w:tcW w:w="5386" w:type="dxa"/>
            <w:vAlign w:val="center"/>
          </w:tcPr>
          <w:p>
            <w:pPr>
              <w:pStyle w:val="13"/>
            </w:pPr>
            <w:r>
              <w:t>2016年全区补贴天然气补贴户数</w:t>
            </w:r>
          </w:p>
        </w:tc>
        <w:tc>
          <w:tcPr>
            <w:tcW w:w="2268" w:type="dxa"/>
            <w:vAlign w:val="center"/>
          </w:tcPr>
          <w:p>
            <w:pPr>
              <w:pStyle w:val="13"/>
            </w:pPr>
            <w:r>
              <w:t>≤2313户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2016年度煤改气用户发放2024-2025年天然气用户均补贴标准</w:t>
            </w:r>
          </w:p>
        </w:tc>
        <w:tc>
          <w:tcPr>
            <w:tcW w:w="2268" w:type="dxa"/>
            <w:vAlign w:val="center"/>
          </w:tcPr>
          <w:p>
            <w:pPr>
              <w:pStyle w:val="13"/>
            </w:pPr>
            <w:r>
              <w:t>≤880元/户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天然气补贴任务完成率</w:t>
            </w:r>
          </w:p>
        </w:tc>
        <w:tc>
          <w:tcPr>
            <w:tcW w:w="5386" w:type="dxa"/>
            <w:vAlign w:val="center"/>
          </w:tcPr>
          <w:p>
            <w:pPr>
              <w:pStyle w:val="13"/>
            </w:pPr>
            <w:r>
              <w:t>已经发放燃气补贴占应补贴完成率</w:t>
            </w:r>
          </w:p>
        </w:tc>
        <w:tc>
          <w:tcPr>
            <w:tcW w:w="2268" w:type="dxa"/>
            <w:vAlign w:val="center"/>
          </w:tcPr>
          <w:p>
            <w:pPr>
              <w:pStyle w:val="13"/>
            </w:pPr>
            <w:r>
              <w:t>100%</w:t>
            </w:r>
          </w:p>
        </w:tc>
        <w:tc>
          <w:tcPr>
            <w:tcW w:w="1276" w:type="dxa"/>
            <w:vAlign w:val="center"/>
          </w:tcPr>
          <w:p>
            <w:pPr>
              <w:pStyle w:val="13"/>
            </w:pPr>
            <w:r>
              <w:t>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天然气补贴受益户数</w:t>
            </w:r>
          </w:p>
        </w:tc>
        <w:tc>
          <w:tcPr>
            <w:tcW w:w="5386" w:type="dxa"/>
            <w:vAlign w:val="center"/>
          </w:tcPr>
          <w:p>
            <w:pPr>
              <w:pStyle w:val="13"/>
            </w:pPr>
            <w:r>
              <w:t>2016年天然气补贴户数</w:t>
            </w:r>
          </w:p>
        </w:tc>
        <w:tc>
          <w:tcPr>
            <w:tcW w:w="2268" w:type="dxa"/>
            <w:vAlign w:val="center"/>
          </w:tcPr>
          <w:p>
            <w:pPr>
              <w:pStyle w:val="13"/>
            </w:pPr>
            <w:r>
              <w:t>≤2313户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到期后，根据实际制定当地政策</w:t>
            </w:r>
          </w:p>
        </w:tc>
        <w:tc>
          <w:tcPr>
            <w:tcW w:w="5386" w:type="dxa"/>
            <w:vAlign w:val="center"/>
          </w:tcPr>
          <w:p>
            <w:pPr>
              <w:pStyle w:val="13"/>
            </w:pPr>
            <w:r>
              <w:t>2016年天然气补贴户数</w:t>
            </w:r>
          </w:p>
        </w:tc>
        <w:tc>
          <w:tcPr>
            <w:tcW w:w="2268" w:type="dxa"/>
            <w:vAlign w:val="center"/>
          </w:tcPr>
          <w:p>
            <w:pPr>
              <w:pStyle w:val="13"/>
            </w:pPr>
            <w:r>
              <w:t>根据（石财建【2019】75号文件要求</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群众满意数量占被调查人数的比例</w:t>
            </w:r>
          </w:p>
        </w:tc>
        <w:tc>
          <w:tcPr>
            <w:tcW w:w="2268" w:type="dxa"/>
            <w:vAlign w:val="center"/>
          </w:tcPr>
          <w:p>
            <w:pPr>
              <w:pStyle w:val="13"/>
            </w:pPr>
            <w:r>
              <w:t>100%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2、2017年双代用户2024年-2025年采暖季运行补贴（第八年）绩效目标表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13011025P00152610002K</w:t>
            </w:r>
          </w:p>
        </w:tc>
        <w:tc>
          <w:tcPr>
            <w:tcW w:w="2835" w:type="dxa"/>
            <w:vAlign w:val="center"/>
          </w:tcPr>
          <w:p>
            <w:pPr>
              <w:pStyle w:val="11"/>
            </w:pPr>
            <w:r>
              <w:t>项目名称</w:t>
            </w:r>
          </w:p>
        </w:tc>
        <w:tc>
          <w:tcPr>
            <w:tcW w:w="6095" w:type="dxa"/>
            <w:gridSpan w:val="3"/>
            <w:vAlign w:val="center"/>
          </w:tcPr>
          <w:p>
            <w:pPr>
              <w:pStyle w:val="13"/>
            </w:pPr>
            <w:r>
              <w:t>2017年双代用户2024年-2025年采暖季运行补贴（第八年）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3895.19</w:t>
            </w:r>
          </w:p>
        </w:tc>
        <w:tc>
          <w:tcPr>
            <w:tcW w:w="2835" w:type="dxa"/>
            <w:vAlign w:val="center"/>
          </w:tcPr>
          <w:p>
            <w:pPr>
              <w:pStyle w:val="11"/>
            </w:pPr>
            <w:r>
              <w:t>其中：财政    资金</w:t>
            </w:r>
          </w:p>
        </w:tc>
        <w:tc>
          <w:tcPr>
            <w:tcW w:w="2551" w:type="dxa"/>
            <w:vAlign w:val="center"/>
          </w:tcPr>
          <w:p>
            <w:pPr>
              <w:pStyle w:val="13"/>
            </w:pPr>
            <w:r>
              <w:t>3895.19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已经发放双代补贴占应补贴完成率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2017年度煤改气用户发放2024—2025年天然气用户均补贴标准</w:t>
            </w:r>
          </w:p>
        </w:tc>
        <w:tc>
          <w:tcPr>
            <w:tcW w:w="2268" w:type="dxa"/>
            <w:vAlign w:val="center"/>
          </w:tcPr>
          <w:p>
            <w:pPr>
              <w:pStyle w:val="13"/>
            </w:pPr>
            <w:r>
              <w:t>800元/户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对2017年度煤改电用户发放2024—2025年煤改电用户均补贴标准</w:t>
            </w:r>
          </w:p>
        </w:tc>
        <w:tc>
          <w:tcPr>
            <w:tcW w:w="2268" w:type="dxa"/>
            <w:vAlign w:val="center"/>
          </w:tcPr>
          <w:p>
            <w:pPr>
              <w:pStyle w:val="13"/>
            </w:pPr>
            <w:r>
              <w:t>1000元/户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2017年全区双代运行补贴户数</w:t>
            </w:r>
          </w:p>
        </w:tc>
        <w:tc>
          <w:tcPr>
            <w:tcW w:w="2268" w:type="dxa"/>
            <w:vAlign w:val="center"/>
          </w:tcPr>
          <w:p>
            <w:pPr>
              <w:pStyle w:val="13"/>
            </w:pPr>
            <w:r>
              <w:t>≤82082户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2017年双代补贴户数</w:t>
            </w:r>
          </w:p>
        </w:tc>
        <w:tc>
          <w:tcPr>
            <w:tcW w:w="2268" w:type="dxa"/>
            <w:vAlign w:val="center"/>
          </w:tcPr>
          <w:p>
            <w:pPr>
              <w:pStyle w:val="13"/>
            </w:pPr>
            <w:r>
              <w:t>82082户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三年到期后，根据实际制定补贴政策</w:t>
            </w:r>
          </w:p>
        </w:tc>
        <w:tc>
          <w:tcPr>
            <w:tcW w:w="5386" w:type="dxa"/>
            <w:vAlign w:val="center"/>
          </w:tcPr>
          <w:p>
            <w:pPr>
              <w:pStyle w:val="13"/>
            </w:pPr>
            <w:r>
              <w:t>2017年双代补贴户数</w:t>
            </w:r>
          </w:p>
        </w:tc>
        <w:tc>
          <w:tcPr>
            <w:tcW w:w="2268" w:type="dxa"/>
            <w:vAlign w:val="center"/>
          </w:tcPr>
          <w:p>
            <w:pPr>
              <w:pStyle w:val="13"/>
            </w:pPr>
            <w:r>
              <w:t>根据（石财建【2019】75号文件要求</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3、2018年双代用户2024年-2025年采暖季运行补贴（第七年）绩效目标表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13011025P001526100037</w:t>
            </w:r>
          </w:p>
        </w:tc>
        <w:tc>
          <w:tcPr>
            <w:tcW w:w="2835" w:type="dxa"/>
            <w:vAlign w:val="center"/>
          </w:tcPr>
          <w:p>
            <w:pPr>
              <w:pStyle w:val="11"/>
            </w:pPr>
            <w:r>
              <w:t>项目名称</w:t>
            </w:r>
          </w:p>
        </w:tc>
        <w:tc>
          <w:tcPr>
            <w:tcW w:w="6095" w:type="dxa"/>
            <w:gridSpan w:val="3"/>
            <w:vAlign w:val="center"/>
          </w:tcPr>
          <w:p>
            <w:pPr>
              <w:pStyle w:val="13"/>
            </w:pPr>
            <w:r>
              <w:t>2018年双代用户2024年-2025年采暖季运行补贴（第七年）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291.23</w:t>
            </w:r>
          </w:p>
        </w:tc>
        <w:tc>
          <w:tcPr>
            <w:tcW w:w="2835" w:type="dxa"/>
            <w:vAlign w:val="center"/>
          </w:tcPr>
          <w:p>
            <w:pPr>
              <w:pStyle w:val="11"/>
            </w:pPr>
            <w:r>
              <w:t>其中：财政    资金</w:t>
            </w:r>
          </w:p>
        </w:tc>
        <w:tc>
          <w:tcPr>
            <w:tcW w:w="2551" w:type="dxa"/>
            <w:vAlign w:val="center"/>
          </w:tcPr>
          <w:p>
            <w:pPr>
              <w:pStyle w:val="13"/>
            </w:pPr>
            <w:r>
              <w:t>291.23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采暖季后农村煤改气和煤改电使用进行补贴，鼓励农户使用清洁能源取暖，减轻农户采暖费用，有效减少大气污染物排放。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已经发放双代补贴占应补贴完成率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煤改气用户发放2024—2025年天然气用户均补贴标准</w:t>
            </w:r>
          </w:p>
        </w:tc>
        <w:tc>
          <w:tcPr>
            <w:tcW w:w="2268" w:type="dxa"/>
            <w:vAlign w:val="center"/>
          </w:tcPr>
          <w:p>
            <w:pPr>
              <w:pStyle w:val="13"/>
            </w:pPr>
            <w:r>
              <w:t>800元/户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煤改电用户发放2024—2025年煤改电用户均补贴标准</w:t>
            </w:r>
          </w:p>
        </w:tc>
        <w:tc>
          <w:tcPr>
            <w:tcW w:w="2268" w:type="dxa"/>
            <w:vAlign w:val="center"/>
          </w:tcPr>
          <w:p>
            <w:pPr>
              <w:pStyle w:val="13"/>
            </w:pPr>
            <w:r>
              <w:t>1000元/户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全区双代运行补贴户数</w:t>
            </w:r>
          </w:p>
        </w:tc>
        <w:tc>
          <w:tcPr>
            <w:tcW w:w="2268" w:type="dxa"/>
            <w:vAlign w:val="center"/>
          </w:tcPr>
          <w:p>
            <w:pPr>
              <w:pStyle w:val="13"/>
            </w:pPr>
            <w:r>
              <w:t>≤93673户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全区双代运行补贴户数</w:t>
            </w:r>
          </w:p>
        </w:tc>
        <w:tc>
          <w:tcPr>
            <w:tcW w:w="2268" w:type="dxa"/>
            <w:vAlign w:val="center"/>
          </w:tcPr>
          <w:p>
            <w:pPr>
              <w:pStyle w:val="13"/>
            </w:pPr>
            <w:r>
              <w:t>93673户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三年到期后，根据实际制定补贴政策</w:t>
            </w:r>
          </w:p>
        </w:tc>
        <w:tc>
          <w:tcPr>
            <w:tcW w:w="5386" w:type="dxa"/>
            <w:vAlign w:val="center"/>
          </w:tcPr>
          <w:p>
            <w:pPr>
              <w:pStyle w:val="13"/>
            </w:pPr>
            <w:r>
              <w:t>全区双代运行补贴户数</w:t>
            </w:r>
          </w:p>
        </w:tc>
        <w:tc>
          <w:tcPr>
            <w:tcW w:w="2268" w:type="dxa"/>
            <w:vAlign w:val="center"/>
          </w:tcPr>
          <w:p>
            <w:pPr>
              <w:pStyle w:val="13"/>
            </w:pPr>
            <w:r>
              <w:t>根据（石财建【2019】75号文件要求</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群众满意数量占被调查人数的比例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4、2019年双代用户2024年-2025年采暖季运行补贴（第六年）绩效目标表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13011025P00152610004T</w:t>
            </w:r>
          </w:p>
        </w:tc>
        <w:tc>
          <w:tcPr>
            <w:tcW w:w="2835" w:type="dxa"/>
            <w:vAlign w:val="center"/>
          </w:tcPr>
          <w:p>
            <w:pPr>
              <w:pStyle w:val="11"/>
            </w:pPr>
            <w:r>
              <w:t>项目名称</w:t>
            </w:r>
          </w:p>
        </w:tc>
        <w:tc>
          <w:tcPr>
            <w:tcW w:w="6095" w:type="dxa"/>
            <w:gridSpan w:val="3"/>
            <w:vAlign w:val="center"/>
          </w:tcPr>
          <w:p>
            <w:pPr>
              <w:pStyle w:val="13"/>
            </w:pPr>
            <w:r>
              <w:t>2019年双代用户2024年-2025年采暖季运行补贴（第六年）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127.24</w:t>
            </w:r>
          </w:p>
        </w:tc>
        <w:tc>
          <w:tcPr>
            <w:tcW w:w="2835" w:type="dxa"/>
            <w:vAlign w:val="center"/>
          </w:tcPr>
          <w:p>
            <w:pPr>
              <w:pStyle w:val="11"/>
            </w:pPr>
            <w:r>
              <w:t>其中：财政    资金</w:t>
            </w:r>
          </w:p>
        </w:tc>
        <w:tc>
          <w:tcPr>
            <w:tcW w:w="2551" w:type="dxa"/>
            <w:vAlign w:val="center"/>
          </w:tcPr>
          <w:p>
            <w:pPr>
              <w:pStyle w:val="13"/>
            </w:pPr>
            <w:r>
              <w:t>127.24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2019年双代改造2602户，其中气代煤2371户，电代煤231户，采暖季结束后根据相关企业提供具体明细进行补贴，巩固双代工程效果，减少大气污染,并长期减少污染物排放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已经发放双代补贴占应补贴完成率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对2019年度煤改气用户发放2024-2025年天然气用户均补贴标准</w:t>
            </w:r>
          </w:p>
        </w:tc>
        <w:tc>
          <w:tcPr>
            <w:tcW w:w="2268" w:type="dxa"/>
            <w:vAlign w:val="center"/>
          </w:tcPr>
          <w:p>
            <w:pPr>
              <w:pStyle w:val="13"/>
            </w:pPr>
            <w:r>
              <w:t>960元/户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对2019年度煤改电用户发放2024-2025年煤改电用户均补贴标准</w:t>
            </w:r>
          </w:p>
        </w:tc>
        <w:tc>
          <w:tcPr>
            <w:tcW w:w="2268" w:type="dxa"/>
            <w:vAlign w:val="center"/>
          </w:tcPr>
          <w:p>
            <w:pPr>
              <w:pStyle w:val="13"/>
            </w:pPr>
            <w:r>
              <w:t>1200元/户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2019年全区双代运行补贴户数</w:t>
            </w:r>
          </w:p>
        </w:tc>
        <w:tc>
          <w:tcPr>
            <w:tcW w:w="2268" w:type="dxa"/>
            <w:vAlign w:val="center"/>
          </w:tcPr>
          <w:p>
            <w:pPr>
              <w:pStyle w:val="13"/>
            </w:pPr>
            <w:r>
              <w:t>≤2602户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采暖季结束后督促相关燃气企业、供电公司运行补贴发放到位</w:t>
            </w:r>
          </w:p>
        </w:tc>
        <w:tc>
          <w:tcPr>
            <w:tcW w:w="2268" w:type="dxa"/>
            <w:vAlign w:val="center"/>
          </w:tcPr>
          <w:p>
            <w:pPr>
              <w:pStyle w:val="13"/>
            </w:pPr>
            <w:r>
              <w:t>≤3月</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2019年双代补贴户数</w:t>
            </w:r>
          </w:p>
        </w:tc>
        <w:tc>
          <w:tcPr>
            <w:tcW w:w="2268" w:type="dxa"/>
            <w:vAlign w:val="center"/>
          </w:tcPr>
          <w:p>
            <w:pPr>
              <w:pStyle w:val="13"/>
            </w:pPr>
            <w:r>
              <w:t>≤2602户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到期后，根据实际制定当地政策</w:t>
            </w:r>
          </w:p>
        </w:tc>
        <w:tc>
          <w:tcPr>
            <w:tcW w:w="5386" w:type="dxa"/>
            <w:vAlign w:val="center"/>
          </w:tcPr>
          <w:p>
            <w:pPr>
              <w:pStyle w:val="13"/>
            </w:pPr>
            <w:r>
              <w:t>2019年双代补贴户数</w:t>
            </w:r>
          </w:p>
        </w:tc>
        <w:tc>
          <w:tcPr>
            <w:tcW w:w="2268" w:type="dxa"/>
            <w:vAlign w:val="center"/>
          </w:tcPr>
          <w:p>
            <w:pPr>
              <w:pStyle w:val="13"/>
            </w:pPr>
            <w:r>
              <w:t>根据（石建财【2019】75号）文件要求</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减少大气污染</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5、2020年双代用户2024年-2025年采暖季运行补贴（第五年）绩效目标表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13011025P00152610005E</w:t>
            </w:r>
          </w:p>
        </w:tc>
        <w:tc>
          <w:tcPr>
            <w:tcW w:w="2835" w:type="dxa"/>
            <w:vAlign w:val="center"/>
          </w:tcPr>
          <w:p>
            <w:pPr>
              <w:pStyle w:val="11"/>
            </w:pPr>
            <w:r>
              <w:t>项目名称</w:t>
            </w:r>
          </w:p>
        </w:tc>
        <w:tc>
          <w:tcPr>
            <w:tcW w:w="6095" w:type="dxa"/>
            <w:gridSpan w:val="3"/>
            <w:vAlign w:val="center"/>
          </w:tcPr>
          <w:p>
            <w:pPr>
              <w:pStyle w:val="13"/>
            </w:pPr>
            <w:r>
              <w:t>2020年双代用户2024年-2025年采暖季运行补贴（第五年）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142.49</w:t>
            </w:r>
          </w:p>
        </w:tc>
        <w:tc>
          <w:tcPr>
            <w:tcW w:w="2835" w:type="dxa"/>
            <w:vAlign w:val="center"/>
          </w:tcPr>
          <w:p>
            <w:pPr>
              <w:pStyle w:val="11"/>
            </w:pPr>
            <w:r>
              <w:t>其中：财政    资金</w:t>
            </w:r>
          </w:p>
        </w:tc>
        <w:tc>
          <w:tcPr>
            <w:tcW w:w="2551" w:type="dxa"/>
            <w:vAlign w:val="center"/>
          </w:tcPr>
          <w:p>
            <w:pPr>
              <w:pStyle w:val="13"/>
            </w:pPr>
            <w:r>
              <w:t>142.49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2020年气代煤3056户，采暖季结束后根据相关企业提供具体明细进行补贴，巩固双代工程效果，减少大气污染,并长期减少污染物排放。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已经发放双代补贴占应补贴完成率</w:t>
            </w:r>
          </w:p>
        </w:tc>
        <w:tc>
          <w:tcPr>
            <w:tcW w:w="2268" w:type="dxa"/>
            <w:vAlign w:val="center"/>
          </w:tcPr>
          <w:p>
            <w:pPr>
              <w:pStyle w:val="13"/>
            </w:pPr>
            <w:r>
              <w:t>100%</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对2020年度煤改气用户发放2024-2025年天然气用户均补贴标准</w:t>
            </w:r>
          </w:p>
        </w:tc>
        <w:tc>
          <w:tcPr>
            <w:tcW w:w="2268" w:type="dxa"/>
            <w:vAlign w:val="center"/>
          </w:tcPr>
          <w:p>
            <w:pPr>
              <w:pStyle w:val="13"/>
            </w:pPr>
            <w:r>
              <w:t>960元/户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2020年全区双代运行补贴户数</w:t>
            </w:r>
          </w:p>
        </w:tc>
        <w:tc>
          <w:tcPr>
            <w:tcW w:w="2268" w:type="dxa"/>
            <w:vAlign w:val="center"/>
          </w:tcPr>
          <w:p>
            <w:pPr>
              <w:pStyle w:val="13"/>
            </w:pPr>
            <w:r>
              <w:t>≤3058户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采暖季结束后督促相关燃气企业、供电公司运行补贴发放到位</w:t>
            </w:r>
          </w:p>
        </w:tc>
        <w:tc>
          <w:tcPr>
            <w:tcW w:w="2268" w:type="dxa"/>
            <w:vAlign w:val="center"/>
          </w:tcPr>
          <w:p>
            <w:pPr>
              <w:pStyle w:val="13"/>
            </w:pPr>
            <w:r>
              <w:t>≤3月</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2020年双代补贴户数</w:t>
            </w:r>
          </w:p>
        </w:tc>
        <w:tc>
          <w:tcPr>
            <w:tcW w:w="2268" w:type="dxa"/>
            <w:vAlign w:val="center"/>
          </w:tcPr>
          <w:p>
            <w:pPr>
              <w:pStyle w:val="13"/>
            </w:pPr>
            <w:r>
              <w:t>≤3058户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双代补贴受益户数</w:t>
            </w:r>
          </w:p>
        </w:tc>
        <w:tc>
          <w:tcPr>
            <w:tcW w:w="5386" w:type="dxa"/>
            <w:vAlign w:val="center"/>
          </w:tcPr>
          <w:p>
            <w:pPr>
              <w:pStyle w:val="13"/>
            </w:pPr>
            <w:r>
              <w:t>2020年双代补贴户数</w:t>
            </w:r>
          </w:p>
        </w:tc>
        <w:tc>
          <w:tcPr>
            <w:tcW w:w="2268" w:type="dxa"/>
            <w:vAlign w:val="center"/>
          </w:tcPr>
          <w:p>
            <w:pPr>
              <w:pStyle w:val="13"/>
            </w:pPr>
            <w:r>
              <w:t>≤3058户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6、2024年11-12月份重点区域扬尘污染防治网格工作经费绩效目标表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13011024P00000110471M</w:t>
            </w:r>
          </w:p>
        </w:tc>
        <w:tc>
          <w:tcPr>
            <w:tcW w:w="2835" w:type="dxa"/>
            <w:vAlign w:val="center"/>
          </w:tcPr>
          <w:p>
            <w:pPr>
              <w:pStyle w:val="11"/>
            </w:pPr>
            <w:r>
              <w:t>项目名称</w:t>
            </w:r>
          </w:p>
        </w:tc>
        <w:tc>
          <w:tcPr>
            <w:tcW w:w="6095" w:type="dxa"/>
            <w:gridSpan w:val="3"/>
            <w:vAlign w:val="center"/>
          </w:tcPr>
          <w:p>
            <w:pPr>
              <w:pStyle w:val="13"/>
            </w:pPr>
            <w:r>
              <w:t>2024年11-12月份重点区域扬尘污染防治网格工作经费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保障重点区域正常运行，有效减少扬尘污染。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搭建工地网格数量</w:t>
            </w:r>
          </w:p>
        </w:tc>
        <w:tc>
          <w:tcPr>
            <w:tcW w:w="5386" w:type="dxa"/>
            <w:vAlign w:val="center"/>
          </w:tcPr>
          <w:p>
            <w:pPr>
              <w:pStyle w:val="13"/>
            </w:pPr>
            <w:r>
              <w:t>工地网格数量</w:t>
            </w:r>
          </w:p>
        </w:tc>
        <w:tc>
          <w:tcPr>
            <w:tcW w:w="2268" w:type="dxa"/>
            <w:vAlign w:val="center"/>
          </w:tcPr>
          <w:p>
            <w:pPr>
              <w:pStyle w:val="13"/>
            </w:pPr>
            <w:r>
              <w:t>237个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搭建其他网格数量</w:t>
            </w:r>
          </w:p>
        </w:tc>
        <w:tc>
          <w:tcPr>
            <w:tcW w:w="5386" w:type="dxa"/>
            <w:vAlign w:val="center"/>
          </w:tcPr>
          <w:p>
            <w:pPr>
              <w:pStyle w:val="13"/>
            </w:pPr>
            <w:r>
              <w:t>其他网格数量</w:t>
            </w:r>
          </w:p>
        </w:tc>
        <w:tc>
          <w:tcPr>
            <w:tcW w:w="2268" w:type="dxa"/>
            <w:vAlign w:val="center"/>
          </w:tcPr>
          <w:p>
            <w:pPr>
              <w:pStyle w:val="13"/>
            </w:pPr>
            <w:r>
              <w:t>276个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网格覆盖县区数量</w:t>
            </w:r>
          </w:p>
        </w:tc>
        <w:tc>
          <w:tcPr>
            <w:tcW w:w="5386" w:type="dxa"/>
            <w:vAlign w:val="center"/>
          </w:tcPr>
          <w:p>
            <w:pPr>
              <w:pStyle w:val="13"/>
            </w:pPr>
            <w:r>
              <w:t>覆盖区县</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网格员每日定期巡查次数</w:t>
            </w:r>
          </w:p>
        </w:tc>
        <w:tc>
          <w:tcPr>
            <w:tcW w:w="5386" w:type="dxa"/>
            <w:vAlign w:val="center"/>
          </w:tcPr>
          <w:p>
            <w:pPr>
              <w:pStyle w:val="13"/>
            </w:pPr>
            <w:r>
              <w:t>巡查次数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工作积分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每月积分情况由县区核实后在规定时间上报的比率</w:t>
            </w:r>
          </w:p>
        </w:tc>
        <w:tc>
          <w:tcPr>
            <w:tcW w:w="5386" w:type="dxa"/>
            <w:vAlign w:val="center"/>
          </w:tcPr>
          <w:p>
            <w:pPr>
              <w:pStyle w:val="13"/>
            </w:pPr>
            <w:r>
              <w:t>规定时间上报</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支出成本</w:t>
            </w:r>
          </w:p>
        </w:tc>
        <w:tc>
          <w:tcPr>
            <w:tcW w:w="2268" w:type="dxa"/>
            <w:vAlign w:val="center"/>
          </w:tcPr>
          <w:p>
            <w:pPr>
              <w:pStyle w:val="13"/>
            </w:pPr>
            <w:r>
              <w:t>按规定核算金额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减少污染</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推进我区空气质量改善</w:t>
            </w:r>
          </w:p>
        </w:tc>
        <w:tc>
          <w:tcPr>
            <w:tcW w:w="5386" w:type="dxa"/>
            <w:vAlign w:val="center"/>
          </w:tcPr>
          <w:p>
            <w:pPr>
              <w:pStyle w:val="13"/>
            </w:pPr>
            <w:r>
              <w:t>推进空气质量</w:t>
            </w:r>
          </w:p>
        </w:tc>
        <w:tc>
          <w:tcPr>
            <w:tcW w:w="2268" w:type="dxa"/>
            <w:vAlign w:val="center"/>
          </w:tcPr>
          <w:p>
            <w:pPr>
              <w:pStyle w:val="13"/>
            </w:pPr>
            <w:r>
              <w:t>提高空气质量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7、2025年村级监管员工资绩效目标表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13011025P001526100108</w:t>
            </w:r>
          </w:p>
        </w:tc>
        <w:tc>
          <w:tcPr>
            <w:tcW w:w="2835" w:type="dxa"/>
            <w:vAlign w:val="center"/>
          </w:tcPr>
          <w:p>
            <w:pPr>
              <w:pStyle w:val="11"/>
            </w:pPr>
            <w:r>
              <w:t>项目名称</w:t>
            </w:r>
          </w:p>
        </w:tc>
        <w:tc>
          <w:tcPr>
            <w:tcW w:w="6095" w:type="dxa"/>
            <w:gridSpan w:val="3"/>
            <w:vAlign w:val="center"/>
          </w:tcPr>
          <w:p>
            <w:pPr>
              <w:pStyle w:val="13"/>
            </w:pPr>
            <w:r>
              <w:t>2025年村级监管员工资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115.92</w:t>
            </w:r>
          </w:p>
        </w:tc>
        <w:tc>
          <w:tcPr>
            <w:tcW w:w="2835" w:type="dxa"/>
            <w:vAlign w:val="center"/>
          </w:tcPr>
          <w:p>
            <w:pPr>
              <w:pStyle w:val="11"/>
            </w:pPr>
            <w:r>
              <w:t>其中：财政    资金</w:t>
            </w:r>
          </w:p>
        </w:tc>
        <w:tc>
          <w:tcPr>
            <w:tcW w:w="2551" w:type="dxa"/>
            <w:vAlign w:val="center"/>
          </w:tcPr>
          <w:p>
            <w:pPr>
              <w:pStyle w:val="13"/>
            </w:pPr>
            <w:r>
              <w:t>115.92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及时发放安全监管员补助，督促监管员日常巡查，坚决遏制各类安全生产事故的发生。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燃气安全协管员补助标准</w:t>
            </w:r>
          </w:p>
        </w:tc>
        <w:tc>
          <w:tcPr>
            <w:tcW w:w="5386" w:type="dxa"/>
            <w:vAlign w:val="center"/>
          </w:tcPr>
          <w:p>
            <w:pPr>
              <w:pStyle w:val="13"/>
            </w:pPr>
            <w:r>
              <w:t>实际发放采暖季燃气安全协管员补助标准</w:t>
            </w:r>
          </w:p>
        </w:tc>
        <w:tc>
          <w:tcPr>
            <w:tcW w:w="2268" w:type="dxa"/>
            <w:vAlign w:val="center"/>
          </w:tcPr>
          <w:p>
            <w:pPr>
              <w:pStyle w:val="13"/>
            </w:pPr>
            <w:r>
              <w:t>500月/人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燃气安全协管员人数</w:t>
            </w:r>
          </w:p>
        </w:tc>
        <w:tc>
          <w:tcPr>
            <w:tcW w:w="5386" w:type="dxa"/>
            <w:vAlign w:val="center"/>
          </w:tcPr>
          <w:p>
            <w:pPr>
              <w:pStyle w:val="13"/>
            </w:pPr>
            <w:r>
              <w:t>全区共实施煤改气项目201个村,按政策要求每村配置1-3名燃气安全协员</w:t>
            </w:r>
          </w:p>
        </w:tc>
        <w:tc>
          <w:tcPr>
            <w:tcW w:w="2268" w:type="dxa"/>
            <w:vAlign w:val="center"/>
          </w:tcPr>
          <w:p>
            <w:pPr>
              <w:pStyle w:val="13"/>
            </w:pPr>
            <w:r>
              <w:t>322名</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安全隐患排查率</w:t>
            </w:r>
          </w:p>
        </w:tc>
        <w:tc>
          <w:tcPr>
            <w:tcW w:w="5386" w:type="dxa"/>
            <w:vAlign w:val="center"/>
          </w:tcPr>
          <w:p>
            <w:pPr>
              <w:pStyle w:val="13"/>
            </w:pPr>
            <w:r>
              <w:t>实际排查的隐患数量占发现数量的比例</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巡检覆盖率</w:t>
            </w:r>
          </w:p>
        </w:tc>
        <w:tc>
          <w:tcPr>
            <w:tcW w:w="5386" w:type="dxa"/>
            <w:vAlign w:val="center"/>
          </w:tcPr>
          <w:p>
            <w:pPr>
              <w:pStyle w:val="13"/>
            </w:pPr>
            <w:r>
              <w:t>村级安全员及燃气公司协管员在非采暖季及采暖季期间每月对村里农户壁挂炉及燃气管道进行常规巡检，并建立台账，及时给农户解决问题</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燃气安全协管员补助标准</w:t>
            </w:r>
          </w:p>
        </w:tc>
        <w:tc>
          <w:tcPr>
            <w:tcW w:w="5386" w:type="dxa"/>
            <w:vAlign w:val="center"/>
          </w:tcPr>
          <w:p>
            <w:pPr>
              <w:pStyle w:val="13"/>
            </w:pPr>
            <w:r>
              <w:t>实际发放非采暖季燃气安全协管员补助标准</w:t>
            </w:r>
          </w:p>
        </w:tc>
        <w:tc>
          <w:tcPr>
            <w:tcW w:w="2268" w:type="dxa"/>
            <w:vAlign w:val="center"/>
          </w:tcPr>
          <w:p>
            <w:pPr>
              <w:pStyle w:val="13"/>
            </w:pPr>
            <w:r>
              <w:t>200月/人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能够长期较好地开展燃气安全巡查工作，保障燃气使用安全。</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巡管安全员满意度</w:t>
            </w:r>
          </w:p>
        </w:tc>
        <w:tc>
          <w:tcPr>
            <w:tcW w:w="5386" w:type="dxa"/>
            <w:vAlign w:val="center"/>
          </w:tcPr>
          <w:p>
            <w:pPr>
              <w:pStyle w:val="13"/>
            </w:pPr>
            <w:r>
              <w:t>对燃气管道巡视安全人员和较满意的人员人数</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8、2025年工程旧欠绩效目标表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13011025P001564100296</w:t>
            </w:r>
          </w:p>
        </w:tc>
        <w:tc>
          <w:tcPr>
            <w:tcW w:w="2835" w:type="dxa"/>
            <w:vAlign w:val="center"/>
          </w:tcPr>
          <w:p>
            <w:pPr>
              <w:pStyle w:val="11"/>
            </w:pPr>
            <w:r>
              <w:t>项目名称</w:t>
            </w:r>
          </w:p>
        </w:tc>
        <w:tc>
          <w:tcPr>
            <w:tcW w:w="6095" w:type="dxa"/>
            <w:gridSpan w:val="3"/>
            <w:vAlign w:val="center"/>
          </w:tcPr>
          <w:p>
            <w:pPr>
              <w:pStyle w:val="13"/>
            </w:pPr>
            <w:r>
              <w:t>2025年工程旧欠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879.00</w:t>
            </w:r>
          </w:p>
        </w:tc>
        <w:tc>
          <w:tcPr>
            <w:tcW w:w="2835" w:type="dxa"/>
            <w:vAlign w:val="center"/>
          </w:tcPr>
          <w:p>
            <w:pPr>
              <w:pStyle w:val="11"/>
            </w:pPr>
            <w:r>
              <w:t>其中：财政    资金</w:t>
            </w:r>
          </w:p>
        </w:tc>
        <w:tc>
          <w:tcPr>
            <w:tcW w:w="2551" w:type="dxa"/>
            <w:vAlign w:val="center"/>
          </w:tcPr>
          <w:p>
            <w:pPr>
              <w:pStyle w:val="13"/>
            </w:pPr>
            <w:r>
              <w:t>879.00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完成37个项目工程清欠，完善基础设施建设，提升城市形象。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1.完成37个项目工程清欠，完善基础设施建设，提升城市形象。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清理建设工程项目数</w:t>
            </w:r>
          </w:p>
        </w:tc>
        <w:tc>
          <w:tcPr>
            <w:tcW w:w="5386" w:type="dxa"/>
            <w:vAlign w:val="center"/>
          </w:tcPr>
          <w:p>
            <w:pPr>
              <w:pStyle w:val="13"/>
            </w:pPr>
            <w:r>
              <w:t>清理旧建设工程项目数量</w:t>
            </w:r>
          </w:p>
        </w:tc>
        <w:tc>
          <w:tcPr>
            <w:tcW w:w="2268" w:type="dxa"/>
            <w:vAlign w:val="center"/>
          </w:tcPr>
          <w:p>
            <w:pPr>
              <w:pStyle w:val="13"/>
            </w:pPr>
            <w:r>
              <w:t>37个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清欠工作完成率</w:t>
            </w:r>
          </w:p>
        </w:tc>
        <w:tc>
          <w:tcPr>
            <w:tcW w:w="5386" w:type="dxa"/>
            <w:vAlign w:val="center"/>
          </w:tcPr>
          <w:p>
            <w:pPr>
              <w:pStyle w:val="13"/>
            </w:pPr>
            <w:r>
              <w:t>清理工程旧欠完成占总旧欠工程德总量</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清欠工作完成及时率</w:t>
            </w:r>
          </w:p>
        </w:tc>
        <w:tc>
          <w:tcPr>
            <w:tcW w:w="5386" w:type="dxa"/>
            <w:vAlign w:val="center"/>
          </w:tcPr>
          <w:p>
            <w:pPr>
              <w:pStyle w:val="13"/>
            </w:pPr>
            <w:r>
              <w:t>清理完成的工作量占旧欠总工程量的比率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清欠项目成本</w:t>
            </w:r>
          </w:p>
        </w:tc>
        <w:tc>
          <w:tcPr>
            <w:tcW w:w="5386" w:type="dxa"/>
            <w:vAlign w:val="center"/>
          </w:tcPr>
          <w:p>
            <w:pPr>
              <w:pStyle w:val="13"/>
            </w:pPr>
            <w:r>
              <w:t>支付工程旧欠的金额</w:t>
            </w:r>
          </w:p>
        </w:tc>
        <w:tc>
          <w:tcPr>
            <w:tcW w:w="2268" w:type="dxa"/>
            <w:vAlign w:val="center"/>
          </w:tcPr>
          <w:p>
            <w:pPr>
              <w:pStyle w:val="13"/>
            </w:pPr>
            <w:r>
              <w:t>≤11291.52万元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清欠工作完成率</w:t>
            </w:r>
          </w:p>
        </w:tc>
        <w:tc>
          <w:tcPr>
            <w:tcW w:w="5386" w:type="dxa"/>
            <w:vAlign w:val="center"/>
          </w:tcPr>
          <w:p>
            <w:pPr>
              <w:pStyle w:val="13"/>
            </w:pPr>
            <w:r>
              <w:t>各项工作任务按时完成率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9、2025年光纤专线接入及监控平台维护绩效目标表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13011025P001564100392</w:t>
            </w:r>
          </w:p>
        </w:tc>
        <w:tc>
          <w:tcPr>
            <w:tcW w:w="2835" w:type="dxa"/>
            <w:vAlign w:val="center"/>
          </w:tcPr>
          <w:p>
            <w:pPr>
              <w:pStyle w:val="11"/>
            </w:pPr>
            <w:r>
              <w:t>项目名称</w:t>
            </w:r>
          </w:p>
        </w:tc>
        <w:tc>
          <w:tcPr>
            <w:tcW w:w="6095" w:type="dxa"/>
            <w:gridSpan w:val="3"/>
            <w:vAlign w:val="center"/>
          </w:tcPr>
          <w:p>
            <w:pPr>
              <w:pStyle w:val="13"/>
            </w:pPr>
            <w:r>
              <w:t>2025年光纤专线接入及监控平台维护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政务外网租赁成本</w:t>
            </w:r>
          </w:p>
        </w:tc>
        <w:tc>
          <w:tcPr>
            <w:tcW w:w="5386" w:type="dxa"/>
            <w:vAlign w:val="center"/>
          </w:tcPr>
          <w:p>
            <w:pPr>
              <w:pStyle w:val="13"/>
            </w:pPr>
            <w:r>
              <w:t>监控光纤政务外网费用</w:t>
            </w:r>
          </w:p>
        </w:tc>
        <w:tc>
          <w:tcPr>
            <w:tcW w:w="2268" w:type="dxa"/>
            <w:vAlign w:val="center"/>
          </w:tcPr>
          <w:p>
            <w:pPr>
              <w:pStyle w:val="13"/>
            </w:pPr>
            <w:r>
              <w:t>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机房专线成本</w:t>
            </w:r>
          </w:p>
        </w:tc>
        <w:tc>
          <w:tcPr>
            <w:tcW w:w="5386" w:type="dxa"/>
            <w:vAlign w:val="center"/>
          </w:tcPr>
          <w:p>
            <w:pPr>
              <w:pStyle w:val="13"/>
            </w:pPr>
            <w:r>
              <w:t>机房专线费用</w:t>
            </w:r>
          </w:p>
        </w:tc>
        <w:tc>
          <w:tcPr>
            <w:tcW w:w="2268" w:type="dxa"/>
            <w:vAlign w:val="center"/>
          </w:tcPr>
          <w:p>
            <w:pPr>
              <w:pStyle w:val="13"/>
            </w:pPr>
            <w:r>
              <w:t>2.4万元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监控运行维护费用</w:t>
            </w:r>
          </w:p>
        </w:tc>
        <w:tc>
          <w:tcPr>
            <w:tcW w:w="2268" w:type="dxa"/>
            <w:vAlign w:val="center"/>
          </w:tcPr>
          <w:p>
            <w:pPr>
              <w:pStyle w:val="13"/>
            </w:pPr>
            <w:r>
              <w:t>12万元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光纤租用量</w:t>
            </w:r>
          </w:p>
        </w:tc>
        <w:tc>
          <w:tcPr>
            <w:tcW w:w="5386" w:type="dxa"/>
            <w:vAlign w:val="center"/>
          </w:tcPr>
          <w:p>
            <w:pPr>
              <w:pStyle w:val="13"/>
            </w:pPr>
            <w:r>
              <w:t>租用的光纤的量</w:t>
            </w:r>
          </w:p>
        </w:tc>
        <w:tc>
          <w:tcPr>
            <w:tcW w:w="2268" w:type="dxa"/>
            <w:vAlign w:val="center"/>
          </w:tcPr>
          <w:p>
            <w:pPr>
              <w:pStyle w:val="13"/>
            </w:pPr>
            <w:r>
              <w:t>150条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光纤租赁成本</w:t>
            </w:r>
          </w:p>
        </w:tc>
        <w:tc>
          <w:tcPr>
            <w:tcW w:w="5386" w:type="dxa"/>
            <w:vAlign w:val="center"/>
          </w:tcPr>
          <w:p>
            <w:pPr>
              <w:pStyle w:val="13"/>
            </w:pPr>
            <w:r>
              <w:t>光纤租赁成本</w:t>
            </w:r>
          </w:p>
        </w:tc>
        <w:tc>
          <w:tcPr>
            <w:tcW w:w="2268" w:type="dxa"/>
            <w:vAlign w:val="center"/>
          </w:tcPr>
          <w:p>
            <w:pPr>
              <w:pStyle w:val="13"/>
            </w:pPr>
            <w:r>
              <w:t>400元/月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光纤故障率</w:t>
            </w:r>
          </w:p>
        </w:tc>
        <w:tc>
          <w:tcPr>
            <w:tcW w:w="5386" w:type="dxa"/>
            <w:vAlign w:val="center"/>
          </w:tcPr>
          <w:p>
            <w:pPr>
              <w:pStyle w:val="13"/>
            </w:pPr>
            <w:r>
              <w:t>光纤故障率</w:t>
            </w:r>
          </w:p>
        </w:tc>
        <w:tc>
          <w:tcPr>
            <w:tcW w:w="2268" w:type="dxa"/>
            <w:vAlign w:val="center"/>
          </w:tcPr>
          <w:p>
            <w:pPr>
              <w:pStyle w:val="13"/>
            </w:pPr>
            <w:r>
              <w:t>达到《电信服务质量标准》保证通信业务安全畅通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故障修复时限</w:t>
            </w:r>
          </w:p>
        </w:tc>
        <w:tc>
          <w:tcPr>
            <w:tcW w:w="5386" w:type="dxa"/>
            <w:vAlign w:val="center"/>
          </w:tcPr>
          <w:p>
            <w:pPr>
              <w:pStyle w:val="13"/>
            </w:pPr>
            <w:r>
              <w:t>出现故障后及时修复的时间</w:t>
            </w:r>
          </w:p>
        </w:tc>
        <w:tc>
          <w:tcPr>
            <w:tcW w:w="2268" w:type="dxa"/>
            <w:vAlign w:val="center"/>
          </w:tcPr>
          <w:p>
            <w:pPr>
              <w:pStyle w:val="13"/>
            </w:pPr>
            <w:r>
              <w:t>≤24小时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整改完成率</w:t>
            </w:r>
          </w:p>
        </w:tc>
        <w:tc>
          <w:tcPr>
            <w:tcW w:w="5386" w:type="dxa"/>
            <w:vAlign w:val="center"/>
          </w:tcPr>
          <w:p>
            <w:pPr>
              <w:pStyle w:val="13"/>
            </w:pPr>
            <w:r>
              <w:t>扬尘整改完成量占发现量的比例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施工过程达标情况</w:t>
            </w:r>
          </w:p>
        </w:tc>
        <w:tc>
          <w:tcPr>
            <w:tcW w:w="5386" w:type="dxa"/>
            <w:vAlign w:val="center"/>
          </w:tcPr>
          <w:p>
            <w:pPr>
              <w:pStyle w:val="13"/>
            </w:pPr>
            <w:r>
              <w:t>所有的施工现场达到的标准</w:t>
            </w:r>
          </w:p>
        </w:tc>
        <w:tc>
          <w:tcPr>
            <w:tcW w:w="2268" w:type="dxa"/>
            <w:vAlign w:val="center"/>
          </w:tcPr>
          <w:p>
            <w:pPr>
              <w:pStyle w:val="13"/>
            </w:pPr>
            <w:r>
              <w:t>“六个百分百”“两个全覆盖”</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w:t>
            </w:r>
          </w:p>
        </w:tc>
        <w:tc>
          <w:tcPr>
            <w:tcW w:w="5386" w:type="dxa"/>
            <w:vAlign w:val="center"/>
          </w:tcPr>
          <w:p>
            <w:pPr>
              <w:pStyle w:val="13"/>
            </w:pPr>
            <w:r>
              <w:t>群众对建筑施工现场扬尘治理整体满意度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10、2025年居民用户加装物联网报警及切断装置项目绩效目标表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13011025P00000110466A</w:t>
            </w:r>
          </w:p>
        </w:tc>
        <w:tc>
          <w:tcPr>
            <w:tcW w:w="2835" w:type="dxa"/>
            <w:vAlign w:val="center"/>
          </w:tcPr>
          <w:p>
            <w:pPr>
              <w:pStyle w:val="11"/>
            </w:pPr>
            <w:r>
              <w:t>项目名称</w:t>
            </w:r>
          </w:p>
        </w:tc>
        <w:tc>
          <w:tcPr>
            <w:tcW w:w="6095" w:type="dxa"/>
            <w:gridSpan w:val="3"/>
            <w:vAlign w:val="center"/>
          </w:tcPr>
          <w:p>
            <w:pPr>
              <w:pStyle w:val="13"/>
            </w:pPr>
            <w:r>
              <w:t>2025年居民用户加装物联网报警及切断装置项目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3.88</w:t>
            </w:r>
          </w:p>
        </w:tc>
        <w:tc>
          <w:tcPr>
            <w:tcW w:w="2835" w:type="dxa"/>
            <w:vAlign w:val="center"/>
          </w:tcPr>
          <w:p>
            <w:pPr>
              <w:pStyle w:val="11"/>
            </w:pPr>
            <w:r>
              <w:t>其中：财政    资金</w:t>
            </w:r>
          </w:p>
        </w:tc>
        <w:tc>
          <w:tcPr>
            <w:tcW w:w="2551" w:type="dxa"/>
            <w:vAlign w:val="center"/>
          </w:tcPr>
          <w:p>
            <w:pPr>
              <w:pStyle w:val="13"/>
            </w:pPr>
            <w:r>
              <w:t>3.88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为切实提升液化气居民用户安全用气水平和燃气泄漏预警检测能力，从根本上预防和减少事故发生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1.为切实提升液化气居民用户安全用气水平和燃气泄漏预警检测能力，从根本上预防和减少事故发生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全区液化气居民户数</w:t>
            </w:r>
          </w:p>
        </w:tc>
        <w:tc>
          <w:tcPr>
            <w:tcW w:w="5386" w:type="dxa"/>
            <w:vAlign w:val="center"/>
          </w:tcPr>
          <w:p>
            <w:pPr>
              <w:pStyle w:val="13"/>
            </w:pPr>
            <w:r>
              <w:t>全区居民液化气使用户数</w:t>
            </w:r>
          </w:p>
        </w:tc>
        <w:tc>
          <w:tcPr>
            <w:tcW w:w="2268" w:type="dxa"/>
            <w:vAlign w:val="center"/>
          </w:tcPr>
          <w:p>
            <w:pPr>
              <w:pStyle w:val="13"/>
            </w:pPr>
            <w:r>
              <w:t>3823户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完成工作目标所需要资金</w:t>
            </w:r>
          </w:p>
          <w:p>
            <w:pPr>
              <w:pStyle w:val="13"/>
            </w:pPr>
          </w:p>
        </w:tc>
        <w:tc>
          <w:tcPr>
            <w:tcW w:w="5386" w:type="dxa"/>
            <w:vAlign w:val="center"/>
          </w:tcPr>
          <w:p>
            <w:pPr>
              <w:pStyle w:val="13"/>
            </w:pPr>
            <w:r>
              <w:t>完成工作目标所需要资金</w:t>
            </w:r>
          </w:p>
          <w:p>
            <w:pPr>
              <w:pStyle w:val="13"/>
            </w:pPr>
          </w:p>
        </w:tc>
        <w:tc>
          <w:tcPr>
            <w:tcW w:w="2268" w:type="dxa"/>
            <w:vAlign w:val="center"/>
          </w:tcPr>
          <w:p>
            <w:pPr>
              <w:pStyle w:val="13"/>
            </w:pPr>
            <w:r>
              <w:t>3.88万元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满意程度</w:t>
            </w:r>
          </w:p>
        </w:tc>
        <w:tc>
          <w:tcPr>
            <w:tcW w:w="5386" w:type="dxa"/>
            <w:vAlign w:val="center"/>
          </w:tcPr>
          <w:p>
            <w:pPr>
              <w:pStyle w:val="13"/>
            </w:pPr>
            <w:r>
              <w:t>满意程度</w:t>
            </w:r>
          </w:p>
        </w:tc>
        <w:tc>
          <w:tcPr>
            <w:tcW w:w="2268" w:type="dxa"/>
            <w:vAlign w:val="center"/>
          </w:tcPr>
          <w:p>
            <w:pPr>
              <w:pStyle w:val="13"/>
            </w:pPr>
            <w:r>
              <w:t>≥90%</w:t>
            </w:r>
          </w:p>
        </w:tc>
        <w:tc>
          <w:tcPr>
            <w:tcW w:w="1276" w:type="dxa"/>
            <w:vAlign w:val="center"/>
          </w:tcPr>
          <w:p>
            <w:pPr>
              <w:pStyle w:val="13"/>
            </w:pPr>
            <w:r>
              <w:t>走访调查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11、2025年局机关及科室工作经费绩效目标表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13011025P00000110462U</w:t>
            </w:r>
          </w:p>
        </w:tc>
        <w:tc>
          <w:tcPr>
            <w:tcW w:w="2835" w:type="dxa"/>
            <w:vAlign w:val="center"/>
          </w:tcPr>
          <w:p>
            <w:pPr>
              <w:pStyle w:val="11"/>
            </w:pPr>
            <w:r>
              <w:t>项目名称</w:t>
            </w:r>
          </w:p>
        </w:tc>
        <w:tc>
          <w:tcPr>
            <w:tcW w:w="6095" w:type="dxa"/>
            <w:gridSpan w:val="3"/>
            <w:vAlign w:val="center"/>
          </w:tcPr>
          <w:p>
            <w:pPr>
              <w:pStyle w:val="13"/>
            </w:pPr>
            <w:r>
              <w:t>2025年局机关及科室工作经费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用于弥补正常公用经费不足，维修维护办公楼内部环境，保障正常办公和单位形象。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日常经费支出</w:t>
            </w:r>
          </w:p>
        </w:tc>
        <w:tc>
          <w:tcPr>
            <w:tcW w:w="5386" w:type="dxa"/>
            <w:vAlign w:val="center"/>
          </w:tcPr>
          <w:p>
            <w:pPr>
              <w:pStyle w:val="13"/>
            </w:pPr>
            <w:r>
              <w:t>办公费、水电费、维修维护费及其他费用的支出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保障日常需要维持单位正常运转</w:t>
            </w:r>
          </w:p>
        </w:tc>
        <w:tc>
          <w:tcPr>
            <w:tcW w:w="5386" w:type="dxa"/>
            <w:vAlign w:val="center"/>
          </w:tcPr>
          <w:p>
            <w:pPr>
              <w:pStyle w:val="13"/>
            </w:pPr>
            <w:r>
              <w:t>保障日常需要维持单位正常运转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业务能力增强</w:t>
            </w:r>
          </w:p>
        </w:tc>
        <w:tc>
          <w:tcPr>
            <w:tcW w:w="5386" w:type="dxa"/>
            <w:vAlign w:val="center"/>
          </w:tcPr>
          <w:p>
            <w:pPr>
              <w:pStyle w:val="13"/>
            </w:pPr>
            <w:r>
              <w:t>业务能力增强</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单位人员对日常工作满意程度</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12、2025年老旧小区物业全覆盖补贴费用绩效目标表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13011025P00156410030H</w:t>
            </w:r>
          </w:p>
        </w:tc>
        <w:tc>
          <w:tcPr>
            <w:tcW w:w="2835" w:type="dxa"/>
            <w:vAlign w:val="center"/>
          </w:tcPr>
          <w:p>
            <w:pPr>
              <w:pStyle w:val="11"/>
            </w:pPr>
            <w:r>
              <w:t>项目名称</w:t>
            </w:r>
          </w:p>
        </w:tc>
        <w:tc>
          <w:tcPr>
            <w:tcW w:w="6095" w:type="dxa"/>
            <w:gridSpan w:val="3"/>
            <w:vAlign w:val="center"/>
          </w:tcPr>
          <w:p>
            <w:pPr>
              <w:pStyle w:val="13"/>
            </w:pPr>
            <w:r>
              <w:t>2025年老旧小区物业全覆盖补贴费用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32.20</w:t>
            </w:r>
          </w:p>
        </w:tc>
        <w:tc>
          <w:tcPr>
            <w:tcW w:w="2835" w:type="dxa"/>
            <w:vAlign w:val="center"/>
          </w:tcPr>
          <w:p>
            <w:pPr>
              <w:pStyle w:val="11"/>
            </w:pPr>
            <w:r>
              <w:t>其中：财政    资金</w:t>
            </w:r>
          </w:p>
        </w:tc>
        <w:tc>
          <w:tcPr>
            <w:tcW w:w="2551" w:type="dxa"/>
            <w:vAlign w:val="center"/>
          </w:tcPr>
          <w:p>
            <w:pPr>
              <w:pStyle w:val="13"/>
            </w:pPr>
            <w:r>
              <w:t>32.20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加大辖区内老旧小区整治改造力度，为物业服务企业进驻创造条件。同时引导和鼓励物业服务企业自觉履行社会责任，主动承接老旧小区服务。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老旧小区物业补贴面积</w:t>
            </w:r>
          </w:p>
        </w:tc>
        <w:tc>
          <w:tcPr>
            <w:tcW w:w="5386" w:type="dxa"/>
            <w:vAlign w:val="center"/>
          </w:tcPr>
          <w:p>
            <w:pPr>
              <w:pStyle w:val="13"/>
            </w:pPr>
            <w:r>
              <w:t>老旧小区物业补贴面积93.2万平方米</w:t>
            </w:r>
          </w:p>
        </w:tc>
        <w:tc>
          <w:tcPr>
            <w:tcW w:w="2268" w:type="dxa"/>
            <w:vAlign w:val="center"/>
          </w:tcPr>
          <w:p>
            <w:pPr>
              <w:pStyle w:val="13"/>
            </w:pPr>
            <w:r>
              <w:t>≥93.2万平房米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老旧小区物业补贴完成率</w:t>
            </w:r>
          </w:p>
        </w:tc>
        <w:tc>
          <w:tcPr>
            <w:tcW w:w="5386" w:type="dxa"/>
            <w:vAlign w:val="center"/>
          </w:tcPr>
          <w:p>
            <w:pPr>
              <w:pStyle w:val="13"/>
            </w:pPr>
            <w:r>
              <w:t>对引进物业的老旧小区补贴完成率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老旧小区物业补贴时间</w:t>
            </w:r>
          </w:p>
        </w:tc>
        <w:tc>
          <w:tcPr>
            <w:tcW w:w="5386" w:type="dxa"/>
            <w:vAlign w:val="center"/>
          </w:tcPr>
          <w:p>
            <w:pPr>
              <w:pStyle w:val="13"/>
            </w:pPr>
            <w:r>
              <w:t>入住的小区自2023年1月1日开始发放补助</w:t>
            </w:r>
          </w:p>
        </w:tc>
        <w:tc>
          <w:tcPr>
            <w:tcW w:w="2268" w:type="dxa"/>
            <w:vAlign w:val="center"/>
          </w:tcPr>
          <w:p>
            <w:pPr>
              <w:pStyle w:val="13"/>
            </w:pPr>
            <w:r>
              <w:t>2023年1月1日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老旧小区物业补贴单位成本</w:t>
            </w:r>
          </w:p>
        </w:tc>
        <w:tc>
          <w:tcPr>
            <w:tcW w:w="5386" w:type="dxa"/>
            <w:vAlign w:val="center"/>
          </w:tcPr>
          <w:p>
            <w:pPr>
              <w:pStyle w:val="13"/>
            </w:pPr>
            <w:r>
              <w:t>一类小区每平米补贴单价0.3元/月，二类小区每平米补贴单价0.15元/月。</w:t>
            </w:r>
          </w:p>
        </w:tc>
        <w:tc>
          <w:tcPr>
            <w:tcW w:w="2268" w:type="dxa"/>
            <w:vAlign w:val="center"/>
          </w:tcPr>
          <w:p>
            <w:pPr>
              <w:pStyle w:val="13"/>
            </w:pPr>
            <w:r>
              <w:t>按《鹿泉区“红色物业”承接老旧小区服务若干扶持办法》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完善老旧小区基础设施，便与引进物业管理，得到小区住户的充分认可。</w:t>
            </w:r>
          </w:p>
        </w:tc>
        <w:tc>
          <w:tcPr>
            <w:tcW w:w="2268" w:type="dxa"/>
            <w:vAlign w:val="center"/>
          </w:tcPr>
          <w:p>
            <w:pPr>
              <w:pStyle w:val="13"/>
            </w:pPr>
            <w:r>
              <w:t>小区业主认可</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老旧小区物业补贴群众满意度</w:t>
            </w:r>
          </w:p>
        </w:tc>
        <w:tc>
          <w:tcPr>
            <w:tcW w:w="5386" w:type="dxa"/>
            <w:vAlign w:val="center"/>
          </w:tcPr>
          <w:p>
            <w:pPr>
              <w:pStyle w:val="13"/>
            </w:pPr>
            <w:r>
              <w:t>群众满意数量占总数的比例</w:t>
            </w:r>
          </w:p>
        </w:tc>
        <w:tc>
          <w:tcPr>
            <w:tcW w:w="2268" w:type="dxa"/>
            <w:vAlign w:val="center"/>
          </w:tcPr>
          <w:p>
            <w:pPr>
              <w:pStyle w:val="13"/>
            </w:pPr>
            <w:r>
              <w:t>≥80%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13、2025年两座污水处理厂安装汽车衡绩效目标表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13011025P00156410033C</w:t>
            </w:r>
          </w:p>
        </w:tc>
        <w:tc>
          <w:tcPr>
            <w:tcW w:w="2835" w:type="dxa"/>
            <w:vAlign w:val="center"/>
          </w:tcPr>
          <w:p>
            <w:pPr>
              <w:pStyle w:val="11"/>
            </w:pPr>
            <w:r>
              <w:t>项目名称</w:t>
            </w:r>
          </w:p>
        </w:tc>
        <w:tc>
          <w:tcPr>
            <w:tcW w:w="6095" w:type="dxa"/>
            <w:gridSpan w:val="3"/>
            <w:vAlign w:val="center"/>
          </w:tcPr>
          <w:p>
            <w:pPr>
              <w:pStyle w:val="13"/>
            </w:pPr>
            <w:r>
              <w:t>2025年两座污水处理厂安装汽车衡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污泥量的运输统计准确性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1.污泥量的运输统计准确性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监督质量</w:t>
            </w:r>
          </w:p>
        </w:tc>
        <w:tc>
          <w:tcPr>
            <w:tcW w:w="5386" w:type="dxa"/>
            <w:vAlign w:val="center"/>
          </w:tcPr>
          <w:p>
            <w:pPr>
              <w:pStyle w:val="13"/>
            </w:pPr>
            <w:r>
              <w:t>监督污泥运输的标准质量</w:t>
            </w:r>
          </w:p>
        </w:tc>
        <w:tc>
          <w:tcPr>
            <w:tcW w:w="2268" w:type="dxa"/>
            <w:vAlign w:val="center"/>
          </w:tcPr>
          <w:p>
            <w:pPr>
              <w:pStyle w:val="13"/>
            </w:pPr>
            <w:r>
              <w:t>日均运输量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污泥处理及时性</w:t>
            </w:r>
          </w:p>
        </w:tc>
        <w:tc>
          <w:tcPr>
            <w:tcW w:w="5386" w:type="dxa"/>
            <w:vAlign w:val="center"/>
          </w:tcPr>
          <w:p>
            <w:pPr>
              <w:pStyle w:val="13"/>
            </w:pPr>
            <w:r>
              <w:t>污泥处理完成及时性</w:t>
            </w:r>
          </w:p>
        </w:tc>
        <w:tc>
          <w:tcPr>
            <w:tcW w:w="2268" w:type="dxa"/>
            <w:vAlign w:val="center"/>
          </w:tcPr>
          <w:p>
            <w:pPr>
              <w:pStyle w:val="13"/>
            </w:pPr>
            <w:r>
              <w:t>日产日清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安装汽车衡（地磅）</w:t>
            </w:r>
          </w:p>
        </w:tc>
        <w:tc>
          <w:tcPr>
            <w:tcW w:w="5386" w:type="dxa"/>
            <w:vAlign w:val="center"/>
          </w:tcPr>
          <w:p>
            <w:pPr>
              <w:pStyle w:val="13"/>
            </w:pPr>
            <w:r>
              <w:t>安装地磅数量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地磅成本</w:t>
            </w:r>
          </w:p>
        </w:tc>
        <w:tc>
          <w:tcPr>
            <w:tcW w:w="5386" w:type="dxa"/>
            <w:vAlign w:val="center"/>
          </w:tcPr>
          <w:p>
            <w:pPr>
              <w:pStyle w:val="13"/>
            </w:pPr>
            <w:r>
              <w:t>地磅采购成本</w:t>
            </w:r>
          </w:p>
        </w:tc>
        <w:tc>
          <w:tcPr>
            <w:tcW w:w="2268" w:type="dxa"/>
            <w:vAlign w:val="center"/>
          </w:tcPr>
          <w:p>
            <w:pPr>
              <w:pStyle w:val="13"/>
            </w:pPr>
            <w:r>
              <w:t>13万元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污泥处理效果</w:t>
            </w:r>
          </w:p>
        </w:tc>
        <w:tc>
          <w:tcPr>
            <w:tcW w:w="5386" w:type="dxa"/>
            <w:vAlign w:val="center"/>
          </w:tcPr>
          <w:p>
            <w:pPr>
              <w:pStyle w:val="13"/>
            </w:pPr>
            <w:r>
              <w:t>禁止擅自倾倒、抛洒污泥，产生的污泥采用堆肥方式处置</w:t>
            </w:r>
          </w:p>
        </w:tc>
        <w:tc>
          <w:tcPr>
            <w:tcW w:w="2268" w:type="dxa"/>
            <w:vAlign w:val="center"/>
          </w:tcPr>
          <w:p>
            <w:pPr>
              <w:pStyle w:val="13"/>
            </w:pPr>
            <w:r>
              <w:t>全部处置</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主管部门、和群众满意度</w:t>
            </w:r>
          </w:p>
        </w:tc>
        <w:tc>
          <w:tcPr>
            <w:tcW w:w="2268" w:type="dxa"/>
            <w:vAlign w:val="center"/>
          </w:tcPr>
          <w:p>
            <w:pPr>
              <w:pStyle w:val="13"/>
            </w:pPr>
            <w:r>
              <w:t>≥95%</w:t>
            </w:r>
          </w:p>
        </w:tc>
        <w:tc>
          <w:tcPr>
            <w:tcW w:w="1276"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14、2025年两座污水处理厂污泥处置费用绩效目标表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13011025P00154510006T</w:t>
            </w:r>
          </w:p>
        </w:tc>
        <w:tc>
          <w:tcPr>
            <w:tcW w:w="2835" w:type="dxa"/>
            <w:vAlign w:val="center"/>
          </w:tcPr>
          <w:p>
            <w:pPr>
              <w:pStyle w:val="11"/>
            </w:pPr>
            <w:r>
              <w:t>项目名称</w:t>
            </w:r>
          </w:p>
        </w:tc>
        <w:tc>
          <w:tcPr>
            <w:tcW w:w="6095" w:type="dxa"/>
            <w:gridSpan w:val="3"/>
            <w:vAlign w:val="center"/>
          </w:tcPr>
          <w:p>
            <w:pPr>
              <w:pStyle w:val="13"/>
            </w:pPr>
            <w:r>
              <w:t>2025年两座污水处理厂污泥处置费用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按时核算投资返还金及时到位，保障污水处理厂正常运转，出水水质稳定达标排放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污泥处置率</w:t>
            </w:r>
          </w:p>
        </w:tc>
        <w:tc>
          <w:tcPr>
            <w:tcW w:w="5386" w:type="dxa"/>
            <w:vAlign w:val="center"/>
          </w:tcPr>
          <w:p>
            <w:pPr>
              <w:pStyle w:val="13"/>
            </w:pPr>
            <w:r>
              <w:t>两座污水处理厂污泥处置完成率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污泥处理及时性</w:t>
            </w:r>
          </w:p>
        </w:tc>
        <w:tc>
          <w:tcPr>
            <w:tcW w:w="5386" w:type="dxa"/>
            <w:vAlign w:val="center"/>
          </w:tcPr>
          <w:p>
            <w:pPr>
              <w:pStyle w:val="13"/>
            </w:pPr>
            <w:r>
              <w:t>污泥处理完成及时性</w:t>
            </w:r>
          </w:p>
        </w:tc>
        <w:tc>
          <w:tcPr>
            <w:tcW w:w="2268" w:type="dxa"/>
            <w:vAlign w:val="center"/>
          </w:tcPr>
          <w:p>
            <w:pPr>
              <w:pStyle w:val="13"/>
            </w:pPr>
            <w:r>
              <w:t>日产日清</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污水厂产生污泥量</w:t>
            </w:r>
          </w:p>
        </w:tc>
        <w:tc>
          <w:tcPr>
            <w:tcW w:w="5386" w:type="dxa"/>
            <w:vAlign w:val="center"/>
          </w:tcPr>
          <w:p>
            <w:pPr>
              <w:pStyle w:val="13"/>
            </w:pPr>
            <w:r>
              <w:t>两座污水处理厂每年产生污泥量</w:t>
            </w:r>
          </w:p>
        </w:tc>
        <w:tc>
          <w:tcPr>
            <w:tcW w:w="2268" w:type="dxa"/>
            <w:vAlign w:val="center"/>
          </w:tcPr>
          <w:p>
            <w:pPr>
              <w:pStyle w:val="13"/>
            </w:pPr>
            <w:r>
              <w:t>≥4万立方米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污泥处置成本</w:t>
            </w:r>
          </w:p>
        </w:tc>
        <w:tc>
          <w:tcPr>
            <w:tcW w:w="5386" w:type="dxa"/>
            <w:vAlign w:val="center"/>
          </w:tcPr>
          <w:p>
            <w:pPr>
              <w:pStyle w:val="13"/>
            </w:pPr>
            <w:r>
              <w:t>含污泥处置成本和污泥外运成本</w:t>
            </w:r>
          </w:p>
        </w:tc>
        <w:tc>
          <w:tcPr>
            <w:tcW w:w="2268" w:type="dxa"/>
            <w:vAlign w:val="center"/>
          </w:tcPr>
          <w:p>
            <w:pPr>
              <w:pStyle w:val="13"/>
            </w:pPr>
            <w:r>
              <w:t>166.36元/立方米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污泥处理效果</w:t>
            </w:r>
          </w:p>
        </w:tc>
        <w:tc>
          <w:tcPr>
            <w:tcW w:w="5386" w:type="dxa"/>
            <w:vAlign w:val="center"/>
          </w:tcPr>
          <w:p>
            <w:pPr>
              <w:pStyle w:val="13"/>
            </w:pPr>
            <w:r>
              <w:t>禁止擅自倾倒、抛洒污泥，产生的污泥采用堆肥方式处置</w:t>
            </w:r>
          </w:p>
        </w:tc>
        <w:tc>
          <w:tcPr>
            <w:tcW w:w="2268" w:type="dxa"/>
            <w:vAlign w:val="center"/>
          </w:tcPr>
          <w:p>
            <w:pPr>
              <w:pStyle w:val="13"/>
            </w:pPr>
            <w:r>
              <w:t>全部处置</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主管部门、和群众满意度</w:t>
            </w:r>
          </w:p>
        </w:tc>
        <w:tc>
          <w:tcPr>
            <w:tcW w:w="2268" w:type="dxa"/>
            <w:vAlign w:val="center"/>
          </w:tcPr>
          <w:p>
            <w:pPr>
              <w:pStyle w:val="13"/>
            </w:pPr>
            <w:r>
              <w:t>≥95%</w:t>
            </w:r>
          </w:p>
        </w:tc>
        <w:tc>
          <w:tcPr>
            <w:tcW w:w="1276"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15、2025年鹿泉区车站区域基础设施综合建设工程绩效目标表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13011025P00161710002R</w:t>
            </w:r>
          </w:p>
        </w:tc>
        <w:tc>
          <w:tcPr>
            <w:tcW w:w="2835" w:type="dxa"/>
            <w:vAlign w:val="center"/>
          </w:tcPr>
          <w:p>
            <w:pPr>
              <w:pStyle w:val="11"/>
            </w:pPr>
            <w:r>
              <w:t>项目名称</w:t>
            </w:r>
          </w:p>
        </w:tc>
        <w:tc>
          <w:tcPr>
            <w:tcW w:w="6095" w:type="dxa"/>
            <w:gridSpan w:val="3"/>
            <w:vAlign w:val="center"/>
          </w:tcPr>
          <w:p>
            <w:pPr>
              <w:pStyle w:val="13"/>
            </w:pPr>
            <w:r>
              <w:t>2025年鹿泉区车站区域基础设施综合建设工程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498.00</w:t>
            </w:r>
          </w:p>
        </w:tc>
        <w:tc>
          <w:tcPr>
            <w:tcW w:w="2835" w:type="dxa"/>
            <w:vAlign w:val="center"/>
          </w:tcPr>
          <w:p>
            <w:pPr>
              <w:pStyle w:val="11"/>
            </w:pPr>
            <w:r>
              <w:t>其中：财政    资金</w:t>
            </w:r>
          </w:p>
        </w:tc>
        <w:tc>
          <w:tcPr>
            <w:tcW w:w="2551" w:type="dxa"/>
            <w:vAlign w:val="center"/>
          </w:tcPr>
          <w:p>
            <w:pPr>
              <w:pStyle w:val="13"/>
            </w:pPr>
            <w:r>
              <w:t>498.00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按时完成鹿泉区车站区域基础设施综合建设项目用地面积为26411.28平方米，改善站前街附近居民的便民服务基础设施。</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基础设施项目用地面积</w:t>
            </w:r>
          </w:p>
        </w:tc>
        <w:tc>
          <w:tcPr>
            <w:tcW w:w="5386" w:type="dxa"/>
            <w:vAlign w:val="center"/>
          </w:tcPr>
          <w:p>
            <w:pPr>
              <w:pStyle w:val="13"/>
            </w:pPr>
            <w:r>
              <w:t>基础设施项目用地面积</w:t>
            </w:r>
          </w:p>
        </w:tc>
        <w:tc>
          <w:tcPr>
            <w:tcW w:w="2268" w:type="dxa"/>
            <w:vAlign w:val="center"/>
          </w:tcPr>
          <w:p>
            <w:pPr>
              <w:pStyle w:val="13"/>
            </w:pPr>
            <w:r>
              <w:t>26411.28平方米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基础设施项目完成率</w:t>
            </w:r>
          </w:p>
        </w:tc>
        <w:tc>
          <w:tcPr>
            <w:tcW w:w="5386" w:type="dxa"/>
            <w:vAlign w:val="center"/>
          </w:tcPr>
          <w:p>
            <w:pPr>
              <w:pStyle w:val="13"/>
            </w:pPr>
            <w:r>
              <w:t>基础设施项目完成率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基础设施项目按时完成率</w:t>
            </w:r>
          </w:p>
        </w:tc>
        <w:tc>
          <w:tcPr>
            <w:tcW w:w="5386" w:type="dxa"/>
            <w:vAlign w:val="center"/>
          </w:tcPr>
          <w:p>
            <w:pPr>
              <w:pStyle w:val="13"/>
            </w:pPr>
            <w:r>
              <w:t>基础设施项目按时完成率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基础设施项目成本</w:t>
            </w:r>
          </w:p>
        </w:tc>
        <w:tc>
          <w:tcPr>
            <w:tcW w:w="5386" w:type="dxa"/>
            <w:vAlign w:val="center"/>
          </w:tcPr>
          <w:p>
            <w:pPr>
              <w:pStyle w:val="13"/>
            </w:pPr>
            <w:r>
              <w:t>基础设施项目成本</w:t>
            </w:r>
          </w:p>
        </w:tc>
        <w:tc>
          <w:tcPr>
            <w:tcW w:w="2268" w:type="dxa"/>
            <w:vAlign w:val="center"/>
          </w:tcPr>
          <w:p>
            <w:pPr>
              <w:pStyle w:val="13"/>
            </w:pPr>
            <w:r>
              <w:t>50000万元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基础设施项目长期使用性</w:t>
            </w:r>
          </w:p>
        </w:tc>
        <w:tc>
          <w:tcPr>
            <w:tcW w:w="5386" w:type="dxa"/>
            <w:vAlign w:val="center"/>
          </w:tcPr>
          <w:p>
            <w:pPr>
              <w:pStyle w:val="13"/>
            </w:pPr>
            <w:r>
              <w:t>基础设施项目长期使用性</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基础设施项目受益户数</w:t>
            </w:r>
          </w:p>
        </w:tc>
        <w:tc>
          <w:tcPr>
            <w:tcW w:w="5386" w:type="dxa"/>
            <w:vAlign w:val="center"/>
          </w:tcPr>
          <w:p>
            <w:pPr>
              <w:pStyle w:val="13"/>
            </w:pPr>
            <w:r>
              <w:t>基础设施项目社会效益受益户数</w:t>
            </w:r>
          </w:p>
        </w:tc>
        <w:tc>
          <w:tcPr>
            <w:tcW w:w="2268" w:type="dxa"/>
            <w:vAlign w:val="center"/>
          </w:tcPr>
          <w:p>
            <w:pPr>
              <w:pStyle w:val="13"/>
            </w:pPr>
            <w:r>
              <w:t>≥100户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基础设施项目群众满意度数量满意占比</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16、2025年鹿泉区污水处理厂投资返还金绩效目标表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13011025P001545100057</w:t>
            </w:r>
          </w:p>
        </w:tc>
        <w:tc>
          <w:tcPr>
            <w:tcW w:w="2835" w:type="dxa"/>
            <w:vAlign w:val="center"/>
          </w:tcPr>
          <w:p>
            <w:pPr>
              <w:pStyle w:val="11"/>
            </w:pPr>
            <w:r>
              <w:t>项目名称</w:t>
            </w:r>
          </w:p>
        </w:tc>
        <w:tc>
          <w:tcPr>
            <w:tcW w:w="6095" w:type="dxa"/>
            <w:gridSpan w:val="3"/>
            <w:vAlign w:val="center"/>
          </w:tcPr>
          <w:p>
            <w:pPr>
              <w:pStyle w:val="13"/>
            </w:pPr>
            <w:r>
              <w:t>2025年鹿泉区污水处理厂投资返还金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1700.00</w:t>
            </w:r>
          </w:p>
        </w:tc>
        <w:tc>
          <w:tcPr>
            <w:tcW w:w="2835" w:type="dxa"/>
            <w:vAlign w:val="center"/>
          </w:tcPr>
          <w:p>
            <w:pPr>
              <w:pStyle w:val="11"/>
            </w:pPr>
            <w:r>
              <w:t>其中：财政    资金</w:t>
            </w:r>
          </w:p>
        </w:tc>
        <w:tc>
          <w:tcPr>
            <w:tcW w:w="2551" w:type="dxa"/>
            <w:vAlign w:val="center"/>
          </w:tcPr>
          <w:p>
            <w:pPr>
              <w:pStyle w:val="13"/>
            </w:pPr>
            <w:r>
              <w:t>1700.00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按时核算投资返还金及时到位，保障污水处理厂正常运转，出水水质稳定达标排放。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污水处理量</w:t>
            </w:r>
          </w:p>
        </w:tc>
        <w:tc>
          <w:tcPr>
            <w:tcW w:w="5386" w:type="dxa"/>
            <w:vAlign w:val="center"/>
          </w:tcPr>
          <w:p>
            <w:pPr>
              <w:pStyle w:val="13"/>
            </w:pPr>
            <w:r>
              <w:t>污水日产量</w:t>
            </w:r>
          </w:p>
        </w:tc>
        <w:tc>
          <w:tcPr>
            <w:tcW w:w="2268" w:type="dxa"/>
            <w:vAlign w:val="center"/>
          </w:tcPr>
          <w:p>
            <w:pPr>
              <w:pStyle w:val="13"/>
            </w:pPr>
            <w:r>
              <w:t>≥3万/立方米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污水处理质量标准</w:t>
            </w:r>
          </w:p>
        </w:tc>
        <w:tc>
          <w:tcPr>
            <w:tcW w:w="5386" w:type="dxa"/>
            <w:vAlign w:val="center"/>
          </w:tcPr>
          <w:p>
            <w:pPr>
              <w:pStyle w:val="13"/>
            </w:pPr>
            <w:r>
              <w:t>全年污水处理达标排放</w:t>
            </w:r>
          </w:p>
        </w:tc>
        <w:tc>
          <w:tcPr>
            <w:tcW w:w="2268" w:type="dxa"/>
            <w:vAlign w:val="center"/>
          </w:tcPr>
          <w:p>
            <w:pPr>
              <w:pStyle w:val="13"/>
            </w:pPr>
            <w:r>
              <w:t>IV类水标准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污水处理及时性</w:t>
            </w:r>
          </w:p>
        </w:tc>
        <w:tc>
          <w:tcPr>
            <w:tcW w:w="5386" w:type="dxa"/>
            <w:vAlign w:val="center"/>
          </w:tcPr>
          <w:p>
            <w:pPr>
              <w:pStyle w:val="13"/>
            </w:pPr>
            <w:r>
              <w:t>污水处理全年及时性</w:t>
            </w:r>
          </w:p>
        </w:tc>
        <w:tc>
          <w:tcPr>
            <w:tcW w:w="2268" w:type="dxa"/>
            <w:vAlign w:val="center"/>
          </w:tcPr>
          <w:p>
            <w:pPr>
              <w:pStyle w:val="13"/>
            </w:pPr>
            <w:r>
              <w:t>及时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污水处理返还成本</w:t>
            </w:r>
          </w:p>
        </w:tc>
        <w:tc>
          <w:tcPr>
            <w:tcW w:w="5386" w:type="dxa"/>
            <w:vAlign w:val="center"/>
          </w:tcPr>
          <w:p>
            <w:pPr>
              <w:pStyle w:val="13"/>
            </w:pPr>
            <w:r>
              <w:t>每立方米处理标准</w:t>
            </w:r>
          </w:p>
        </w:tc>
        <w:tc>
          <w:tcPr>
            <w:tcW w:w="2268" w:type="dxa"/>
            <w:vAlign w:val="center"/>
          </w:tcPr>
          <w:p>
            <w:pPr>
              <w:pStyle w:val="13"/>
            </w:pPr>
            <w:r>
              <w:t>1-12月份1.88元/立方米/立方米/天。</w:t>
            </w:r>
          </w:p>
        </w:tc>
        <w:tc>
          <w:tcPr>
            <w:tcW w:w="1276" w:type="dxa"/>
            <w:vAlign w:val="center"/>
          </w:tcPr>
          <w:p>
            <w:pPr>
              <w:pStyle w:val="13"/>
            </w:pPr>
            <w:r>
              <w:t>水价调整实施意见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污水处理达标率</w:t>
            </w:r>
          </w:p>
        </w:tc>
        <w:tc>
          <w:tcPr>
            <w:tcW w:w="5386" w:type="dxa"/>
            <w:vAlign w:val="center"/>
          </w:tcPr>
          <w:p>
            <w:pPr>
              <w:pStyle w:val="13"/>
            </w:pPr>
            <w:r>
              <w:t>达标污水量占污水处理量的比例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对环境影响</w:t>
            </w:r>
          </w:p>
        </w:tc>
        <w:tc>
          <w:tcPr>
            <w:tcW w:w="5386" w:type="dxa"/>
            <w:vAlign w:val="center"/>
          </w:tcPr>
          <w:p>
            <w:pPr>
              <w:pStyle w:val="13"/>
            </w:pPr>
            <w:r>
              <w:t>回收利用效果</w:t>
            </w:r>
          </w:p>
        </w:tc>
        <w:tc>
          <w:tcPr>
            <w:tcW w:w="2268" w:type="dxa"/>
            <w:vAlign w:val="center"/>
          </w:tcPr>
          <w:p>
            <w:pPr>
              <w:pStyle w:val="13"/>
            </w:pPr>
            <w:r>
              <w:t>污水处理后可再利用发电、绿化、生态水系补水。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满意和较满意人数占被调查人数比例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17、2025年气代煤售后服务保险绩效目标表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13011025P001526100089</w:t>
            </w:r>
          </w:p>
        </w:tc>
        <w:tc>
          <w:tcPr>
            <w:tcW w:w="2835" w:type="dxa"/>
            <w:vAlign w:val="center"/>
          </w:tcPr>
          <w:p>
            <w:pPr>
              <w:pStyle w:val="11"/>
            </w:pPr>
            <w:r>
              <w:t>项目名称</w:t>
            </w:r>
          </w:p>
        </w:tc>
        <w:tc>
          <w:tcPr>
            <w:tcW w:w="6095" w:type="dxa"/>
            <w:gridSpan w:val="3"/>
            <w:vAlign w:val="center"/>
          </w:tcPr>
          <w:p>
            <w:pPr>
              <w:pStyle w:val="13"/>
            </w:pPr>
            <w:r>
              <w:t>2025年气代煤售后服务保险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保障对92547气代煤用户壁挂炉安全使用、温暖过冬。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气代煤售后服务补贴户数</w:t>
            </w:r>
          </w:p>
        </w:tc>
        <w:tc>
          <w:tcPr>
            <w:tcW w:w="5386" w:type="dxa"/>
            <w:vAlign w:val="center"/>
          </w:tcPr>
          <w:p>
            <w:pPr>
              <w:pStyle w:val="13"/>
            </w:pPr>
            <w:r>
              <w:t>气代煤售后服务补贴户数</w:t>
            </w:r>
          </w:p>
        </w:tc>
        <w:tc>
          <w:tcPr>
            <w:tcW w:w="2268" w:type="dxa"/>
            <w:vAlign w:val="center"/>
          </w:tcPr>
          <w:p>
            <w:pPr>
              <w:pStyle w:val="13"/>
            </w:pPr>
            <w:r>
              <w:t>≥92547户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气代煤售后服务完成率</w:t>
            </w:r>
          </w:p>
        </w:tc>
        <w:tc>
          <w:tcPr>
            <w:tcW w:w="5386" w:type="dxa"/>
            <w:vAlign w:val="center"/>
          </w:tcPr>
          <w:p>
            <w:pPr>
              <w:pStyle w:val="13"/>
            </w:pPr>
            <w:r>
              <w:t>完成气代气代煤用户安检、维修、保险情况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售后服务及时率</w:t>
            </w:r>
          </w:p>
        </w:tc>
        <w:tc>
          <w:tcPr>
            <w:tcW w:w="5386" w:type="dxa"/>
            <w:vAlign w:val="center"/>
          </w:tcPr>
          <w:p>
            <w:pPr>
              <w:pStyle w:val="13"/>
            </w:pPr>
            <w:r>
              <w:t>及时完成每户售后服务安检维修保险</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售后维修补贴标准</w:t>
            </w:r>
          </w:p>
        </w:tc>
        <w:tc>
          <w:tcPr>
            <w:tcW w:w="5386" w:type="dxa"/>
            <w:vAlign w:val="center"/>
          </w:tcPr>
          <w:p>
            <w:pPr>
              <w:pStyle w:val="13"/>
            </w:pPr>
            <w:r>
              <w:t>售后服务补贴标准</w:t>
            </w:r>
          </w:p>
        </w:tc>
        <w:tc>
          <w:tcPr>
            <w:tcW w:w="2268" w:type="dxa"/>
            <w:vAlign w:val="center"/>
          </w:tcPr>
          <w:p>
            <w:pPr>
              <w:pStyle w:val="13"/>
            </w:pPr>
            <w:r>
              <w:t>50元/户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气代煤安全使用户数</w:t>
            </w:r>
          </w:p>
        </w:tc>
        <w:tc>
          <w:tcPr>
            <w:tcW w:w="5386" w:type="dxa"/>
            <w:vAlign w:val="center"/>
          </w:tcPr>
          <w:p>
            <w:pPr>
              <w:pStyle w:val="13"/>
            </w:pPr>
            <w:r>
              <w:t>确保气代煤用户安全用气,保障燃气壁挂炉稳定运行</w:t>
            </w:r>
          </w:p>
        </w:tc>
        <w:tc>
          <w:tcPr>
            <w:tcW w:w="2268" w:type="dxa"/>
            <w:vAlign w:val="center"/>
          </w:tcPr>
          <w:p>
            <w:pPr>
              <w:pStyle w:val="13"/>
            </w:pPr>
            <w:r>
              <w:t>92547户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政策实施年限</w:t>
            </w:r>
          </w:p>
        </w:tc>
        <w:tc>
          <w:tcPr>
            <w:tcW w:w="5386" w:type="dxa"/>
            <w:vAlign w:val="center"/>
          </w:tcPr>
          <w:p>
            <w:pPr>
              <w:pStyle w:val="13"/>
            </w:pPr>
            <w:r>
              <w:t>确保气代煤用户安全用气,保障燃气壁挂炉稳定运行</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群众满意度占总数的比例</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18、2025年气代煤售后服务补贴（旧欠）绩效目标表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13011025P00152610007M</w:t>
            </w:r>
          </w:p>
        </w:tc>
        <w:tc>
          <w:tcPr>
            <w:tcW w:w="2835" w:type="dxa"/>
            <w:vAlign w:val="center"/>
          </w:tcPr>
          <w:p>
            <w:pPr>
              <w:pStyle w:val="11"/>
            </w:pPr>
            <w:r>
              <w:t>项目名称</w:t>
            </w:r>
          </w:p>
        </w:tc>
        <w:tc>
          <w:tcPr>
            <w:tcW w:w="6095" w:type="dxa"/>
            <w:gridSpan w:val="3"/>
            <w:vAlign w:val="center"/>
          </w:tcPr>
          <w:p>
            <w:pPr>
              <w:pStyle w:val="13"/>
            </w:pPr>
            <w:r>
              <w:t>2025年气代煤售后服务补贴（旧欠）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保障对92547气代煤用户壁挂炉安全使用、温暖过冬。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气代煤售后服务补贴户数</w:t>
            </w:r>
          </w:p>
        </w:tc>
        <w:tc>
          <w:tcPr>
            <w:tcW w:w="5386" w:type="dxa"/>
            <w:vAlign w:val="center"/>
          </w:tcPr>
          <w:p>
            <w:pPr>
              <w:pStyle w:val="13"/>
            </w:pPr>
            <w:r>
              <w:t>气代煤售后服务补贴户数</w:t>
            </w:r>
          </w:p>
        </w:tc>
        <w:tc>
          <w:tcPr>
            <w:tcW w:w="2268" w:type="dxa"/>
            <w:vAlign w:val="center"/>
          </w:tcPr>
          <w:p>
            <w:pPr>
              <w:pStyle w:val="13"/>
            </w:pPr>
            <w:r>
              <w:t>≥92547户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气代煤售后服务完成率</w:t>
            </w:r>
          </w:p>
        </w:tc>
        <w:tc>
          <w:tcPr>
            <w:tcW w:w="5386" w:type="dxa"/>
            <w:vAlign w:val="center"/>
          </w:tcPr>
          <w:p>
            <w:pPr>
              <w:pStyle w:val="13"/>
            </w:pPr>
            <w:r>
              <w:t>完成气代气代煤用户安检、维修、保险情况</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售后服务及时率</w:t>
            </w:r>
          </w:p>
        </w:tc>
        <w:tc>
          <w:tcPr>
            <w:tcW w:w="5386" w:type="dxa"/>
            <w:vAlign w:val="center"/>
          </w:tcPr>
          <w:p>
            <w:pPr>
              <w:pStyle w:val="13"/>
            </w:pPr>
            <w:r>
              <w:t>及时完成每户售后服务安检维修保险</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售后维修补贴标准</w:t>
            </w:r>
          </w:p>
        </w:tc>
        <w:tc>
          <w:tcPr>
            <w:tcW w:w="5386" w:type="dxa"/>
            <w:vAlign w:val="center"/>
          </w:tcPr>
          <w:p>
            <w:pPr>
              <w:pStyle w:val="13"/>
            </w:pPr>
            <w:r>
              <w:t>售后服务补贴标准</w:t>
            </w:r>
          </w:p>
        </w:tc>
        <w:tc>
          <w:tcPr>
            <w:tcW w:w="2268" w:type="dxa"/>
            <w:vAlign w:val="center"/>
          </w:tcPr>
          <w:p>
            <w:pPr>
              <w:pStyle w:val="13"/>
            </w:pPr>
            <w:r>
              <w:t>50元/户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气代煤安全使用户数</w:t>
            </w:r>
          </w:p>
        </w:tc>
        <w:tc>
          <w:tcPr>
            <w:tcW w:w="5386" w:type="dxa"/>
            <w:vAlign w:val="center"/>
          </w:tcPr>
          <w:p>
            <w:pPr>
              <w:pStyle w:val="13"/>
            </w:pPr>
            <w:r>
              <w:t>确保气代煤用户安全用气,保障燃气壁挂炉稳定运行</w:t>
            </w:r>
          </w:p>
        </w:tc>
        <w:tc>
          <w:tcPr>
            <w:tcW w:w="2268" w:type="dxa"/>
            <w:vAlign w:val="center"/>
          </w:tcPr>
          <w:p>
            <w:pPr>
              <w:pStyle w:val="13"/>
            </w:pPr>
            <w:r>
              <w:t>92547户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政策实施年限</w:t>
            </w:r>
          </w:p>
        </w:tc>
        <w:tc>
          <w:tcPr>
            <w:tcW w:w="5386" w:type="dxa"/>
            <w:vAlign w:val="center"/>
          </w:tcPr>
          <w:p>
            <w:pPr>
              <w:pStyle w:val="13"/>
            </w:pPr>
            <w:r>
              <w:t>确保气代煤用户安全用气,保障燃气壁挂炉稳定运行</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群众满意度占总数的比例</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19、2025年燃气管道全域总体规划绩效目标表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13011025P00152610009W</w:t>
            </w:r>
          </w:p>
        </w:tc>
        <w:tc>
          <w:tcPr>
            <w:tcW w:w="2835" w:type="dxa"/>
            <w:vAlign w:val="center"/>
          </w:tcPr>
          <w:p>
            <w:pPr>
              <w:pStyle w:val="11"/>
            </w:pPr>
            <w:r>
              <w:t>项目名称</w:t>
            </w:r>
          </w:p>
        </w:tc>
        <w:tc>
          <w:tcPr>
            <w:tcW w:w="6095" w:type="dxa"/>
            <w:gridSpan w:val="3"/>
            <w:vAlign w:val="center"/>
          </w:tcPr>
          <w:p>
            <w:pPr>
              <w:pStyle w:val="13"/>
            </w:pPr>
            <w:r>
              <w:t>2025年燃气管道全域总体规划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按时完成规划纲要、文本、图册的编制，对全区燃气主管网全覆盖做出规划、分支到村，为我区城市建设、道路工程施工和燃气利用等方面提供重要依据。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规划成果编制标准</w:t>
            </w:r>
          </w:p>
        </w:tc>
        <w:tc>
          <w:tcPr>
            <w:tcW w:w="5386" w:type="dxa"/>
            <w:vAlign w:val="center"/>
          </w:tcPr>
          <w:p>
            <w:pPr>
              <w:pStyle w:val="13"/>
            </w:pPr>
            <w:r>
              <w:t>编制完成规划文本图册等相关文件</w:t>
            </w:r>
          </w:p>
        </w:tc>
        <w:tc>
          <w:tcPr>
            <w:tcW w:w="2268" w:type="dxa"/>
            <w:vAlign w:val="center"/>
          </w:tcPr>
          <w:p>
            <w:pPr>
              <w:pStyle w:val="13"/>
            </w:pPr>
            <w:r>
              <w:t>纸质成果10套，电子成果2套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委托第三方所需要成本</w:t>
            </w:r>
          </w:p>
        </w:tc>
        <w:tc>
          <w:tcPr>
            <w:tcW w:w="5386" w:type="dxa"/>
            <w:vAlign w:val="center"/>
          </w:tcPr>
          <w:p>
            <w:pPr>
              <w:pStyle w:val="13"/>
            </w:pPr>
            <w:r>
              <w:t>委托第三方所需要成本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提交报告成果合格率</w:t>
            </w:r>
          </w:p>
        </w:tc>
        <w:tc>
          <w:tcPr>
            <w:tcW w:w="5386" w:type="dxa"/>
            <w:vAlign w:val="center"/>
          </w:tcPr>
          <w:p>
            <w:pPr>
              <w:pStyle w:val="13"/>
            </w:pPr>
            <w:r>
              <w:t>通过专家论证的成果数量占总成果数量的比例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燃气管道规划前期测量</w:t>
            </w:r>
          </w:p>
          <w:p>
            <w:pPr>
              <w:pStyle w:val="13"/>
            </w:pPr>
            <w:r>
              <w:t>时间</w:t>
            </w:r>
          </w:p>
        </w:tc>
        <w:tc>
          <w:tcPr>
            <w:tcW w:w="5386" w:type="dxa"/>
            <w:vAlign w:val="center"/>
          </w:tcPr>
          <w:p>
            <w:pPr>
              <w:pStyle w:val="13"/>
            </w:pPr>
            <w:r>
              <w:t>对燃气管道的前期摸排测量</w:t>
            </w:r>
          </w:p>
        </w:tc>
        <w:tc>
          <w:tcPr>
            <w:tcW w:w="2268" w:type="dxa"/>
            <w:vAlign w:val="center"/>
          </w:tcPr>
          <w:p>
            <w:pPr>
              <w:pStyle w:val="13"/>
            </w:pPr>
            <w:r>
              <w:t>2019年12月—2020年2月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燃气管道规划修编时间</w:t>
            </w:r>
          </w:p>
        </w:tc>
        <w:tc>
          <w:tcPr>
            <w:tcW w:w="5386" w:type="dxa"/>
            <w:vAlign w:val="center"/>
          </w:tcPr>
          <w:p>
            <w:pPr>
              <w:pStyle w:val="13"/>
            </w:pPr>
            <w:r>
              <w:t>规划文本修编时间</w:t>
            </w:r>
          </w:p>
        </w:tc>
        <w:tc>
          <w:tcPr>
            <w:tcW w:w="2268" w:type="dxa"/>
            <w:vAlign w:val="center"/>
          </w:tcPr>
          <w:p>
            <w:pPr>
              <w:pStyle w:val="13"/>
            </w:pPr>
            <w:r>
              <w:t>2020年2月—2020年3月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燃气管道规划验收时间</w:t>
            </w:r>
          </w:p>
        </w:tc>
        <w:tc>
          <w:tcPr>
            <w:tcW w:w="5386" w:type="dxa"/>
            <w:vAlign w:val="center"/>
          </w:tcPr>
          <w:p>
            <w:pPr>
              <w:pStyle w:val="13"/>
            </w:pPr>
            <w:r>
              <w:t>规划文本的验收时间</w:t>
            </w:r>
          </w:p>
        </w:tc>
        <w:tc>
          <w:tcPr>
            <w:tcW w:w="2268" w:type="dxa"/>
            <w:vAlign w:val="center"/>
          </w:tcPr>
          <w:p>
            <w:pPr>
              <w:pStyle w:val="13"/>
            </w:pPr>
            <w:r>
              <w:t>2020年3月—2020年6月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完成规划面积</w:t>
            </w:r>
          </w:p>
        </w:tc>
        <w:tc>
          <w:tcPr>
            <w:tcW w:w="5386" w:type="dxa"/>
            <w:vAlign w:val="center"/>
          </w:tcPr>
          <w:p>
            <w:pPr>
              <w:pStyle w:val="13"/>
            </w:pPr>
            <w:r>
              <w:t>完成鹿泉区全域规划总面积</w:t>
            </w:r>
          </w:p>
        </w:tc>
        <w:tc>
          <w:tcPr>
            <w:tcW w:w="2268" w:type="dxa"/>
            <w:vAlign w:val="center"/>
          </w:tcPr>
          <w:p>
            <w:pPr>
              <w:pStyle w:val="13"/>
            </w:pPr>
            <w:r>
              <w:t>≥180平方公里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燃气管道规划使用年限</w:t>
            </w:r>
          </w:p>
        </w:tc>
        <w:tc>
          <w:tcPr>
            <w:tcW w:w="5386" w:type="dxa"/>
            <w:vAlign w:val="center"/>
          </w:tcPr>
          <w:p>
            <w:pPr>
              <w:pStyle w:val="13"/>
            </w:pPr>
            <w:r>
              <w:t>2021—2035年燃气管网走向及计划发展走向</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办理单位满意度</w:t>
            </w:r>
          </w:p>
        </w:tc>
        <w:tc>
          <w:tcPr>
            <w:tcW w:w="5386" w:type="dxa"/>
            <w:vAlign w:val="center"/>
          </w:tcPr>
          <w:p>
            <w:pPr>
              <w:pStyle w:val="13"/>
            </w:pPr>
            <w:r>
              <w:t>对燃气规划办理结果满意程度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20、2025年上庄污水处理厂投资返还金绩效目标表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13011025P00154510004K</w:t>
            </w:r>
          </w:p>
        </w:tc>
        <w:tc>
          <w:tcPr>
            <w:tcW w:w="2835" w:type="dxa"/>
            <w:vAlign w:val="center"/>
          </w:tcPr>
          <w:p>
            <w:pPr>
              <w:pStyle w:val="11"/>
            </w:pPr>
            <w:r>
              <w:t>项目名称</w:t>
            </w:r>
          </w:p>
        </w:tc>
        <w:tc>
          <w:tcPr>
            <w:tcW w:w="6095" w:type="dxa"/>
            <w:gridSpan w:val="3"/>
            <w:vAlign w:val="center"/>
          </w:tcPr>
          <w:p>
            <w:pPr>
              <w:pStyle w:val="13"/>
            </w:pPr>
            <w:r>
              <w:t>2025年上庄污水处理厂投资返还金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2205.96</w:t>
            </w:r>
          </w:p>
        </w:tc>
        <w:tc>
          <w:tcPr>
            <w:tcW w:w="2835" w:type="dxa"/>
            <w:vAlign w:val="center"/>
          </w:tcPr>
          <w:p>
            <w:pPr>
              <w:pStyle w:val="11"/>
            </w:pPr>
            <w:r>
              <w:t>其中：财政    资金</w:t>
            </w:r>
          </w:p>
        </w:tc>
        <w:tc>
          <w:tcPr>
            <w:tcW w:w="2551" w:type="dxa"/>
            <w:vAlign w:val="center"/>
          </w:tcPr>
          <w:p>
            <w:pPr>
              <w:pStyle w:val="13"/>
            </w:pPr>
            <w:r>
              <w:t>2205.96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污水厂设备运转正常，处理水质达标排放。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污水处理质量标准</w:t>
            </w:r>
          </w:p>
        </w:tc>
        <w:tc>
          <w:tcPr>
            <w:tcW w:w="5386" w:type="dxa"/>
            <w:vAlign w:val="center"/>
          </w:tcPr>
          <w:p>
            <w:pPr>
              <w:pStyle w:val="13"/>
            </w:pPr>
            <w:r>
              <w:t>全年污水处理达标排放</w:t>
            </w:r>
          </w:p>
        </w:tc>
        <w:tc>
          <w:tcPr>
            <w:tcW w:w="2268" w:type="dxa"/>
            <w:vAlign w:val="center"/>
          </w:tcPr>
          <w:p>
            <w:pPr>
              <w:pStyle w:val="13"/>
            </w:pPr>
            <w:r>
              <w:t>IV类水标准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污水处理及时性</w:t>
            </w:r>
          </w:p>
        </w:tc>
        <w:tc>
          <w:tcPr>
            <w:tcW w:w="5386" w:type="dxa"/>
            <w:vAlign w:val="center"/>
          </w:tcPr>
          <w:p>
            <w:pPr>
              <w:pStyle w:val="13"/>
            </w:pPr>
            <w:r>
              <w:t>污水处理全年完成及时性</w:t>
            </w:r>
          </w:p>
        </w:tc>
        <w:tc>
          <w:tcPr>
            <w:tcW w:w="2268" w:type="dxa"/>
            <w:vAlign w:val="center"/>
          </w:tcPr>
          <w:p>
            <w:pPr>
              <w:pStyle w:val="13"/>
            </w:pPr>
            <w:r>
              <w:t>及时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污水日处理量</w:t>
            </w:r>
          </w:p>
        </w:tc>
        <w:tc>
          <w:tcPr>
            <w:tcW w:w="5386" w:type="dxa"/>
            <w:vAlign w:val="center"/>
          </w:tcPr>
          <w:p>
            <w:pPr>
              <w:pStyle w:val="13"/>
            </w:pPr>
            <w:r>
              <w:t>污水日产量</w:t>
            </w:r>
          </w:p>
        </w:tc>
        <w:tc>
          <w:tcPr>
            <w:tcW w:w="2268" w:type="dxa"/>
            <w:vAlign w:val="center"/>
          </w:tcPr>
          <w:p>
            <w:pPr>
              <w:pStyle w:val="13"/>
            </w:pPr>
            <w:r>
              <w:t>≥5万/立方米</w:t>
            </w:r>
          </w:p>
        </w:tc>
        <w:tc>
          <w:tcPr>
            <w:tcW w:w="1276" w:type="dxa"/>
            <w:vAlign w:val="center"/>
          </w:tcPr>
          <w:p>
            <w:pPr>
              <w:pStyle w:val="13"/>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污水处理返还成本</w:t>
            </w:r>
          </w:p>
        </w:tc>
        <w:tc>
          <w:tcPr>
            <w:tcW w:w="5386" w:type="dxa"/>
            <w:vAlign w:val="center"/>
          </w:tcPr>
          <w:p>
            <w:pPr>
              <w:pStyle w:val="13"/>
            </w:pPr>
            <w:r>
              <w:t>每立方米处理标准</w:t>
            </w:r>
          </w:p>
        </w:tc>
        <w:tc>
          <w:tcPr>
            <w:tcW w:w="2268" w:type="dxa"/>
            <w:vAlign w:val="center"/>
          </w:tcPr>
          <w:p>
            <w:pPr>
              <w:pStyle w:val="13"/>
            </w:pPr>
            <w:r>
              <w:t>1.88元/立方米/天</w:t>
            </w:r>
          </w:p>
        </w:tc>
        <w:tc>
          <w:tcPr>
            <w:tcW w:w="1276" w:type="dxa"/>
            <w:vAlign w:val="center"/>
          </w:tcPr>
          <w:p>
            <w:pPr>
              <w:pStyle w:val="13"/>
            </w:pPr>
            <w:r>
              <w:t>水价调整实施意见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污水处理达标率</w:t>
            </w:r>
          </w:p>
        </w:tc>
        <w:tc>
          <w:tcPr>
            <w:tcW w:w="5386" w:type="dxa"/>
            <w:vAlign w:val="center"/>
          </w:tcPr>
          <w:p>
            <w:pPr>
              <w:pStyle w:val="13"/>
            </w:pPr>
            <w:r>
              <w:t>达标污水量占污水处理量的比例</w:t>
            </w:r>
          </w:p>
        </w:tc>
        <w:tc>
          <w:tcPr>
            <w:tcW w:w="2268" w:type="dxa"/>
            <w:vAlign w:val="center"/>
          </w:tcPr>
          <w:p>
            <w:pPr>
              <w:pStyle w:val="13"/>
            </w:pPr>
            <w:r>
              <w:t>≥100%</w:t>
            </w:r>
          </w:p>
        </w:tc>
        <w:tc>
          <w:tcPr>
            <w:tcW w:w="1276" w:type="dxa"/>
            <w:vAlign w:val="center"/>
          </w:tcPr>
          <w:p>
            <w:pPr>
              <w:pStyle w:val="13"/>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对环境影响</w:t>
            </w:r>
          </w:p>
        </w:tc>
        <w:tc>
          <w:tcPr>
            <w:tcW w:w="5386" w:type="dxa"/>
            <w:vAlign w:val="center"/>
          </w:tcPr>
          <w:p>
            <w:pPr>
              <w:pStyle w:val="13"/>
            </w:pPr>
            <w:r>
              <w:t>回收利用效果</w:t>
            </w:r>
          </w:p>
        </w:tc>
        <w:tc>
          <w:tcPr>
            <w:tcW w:w="2268" w:type="dxa"/>
            <w:vAlign w:val="center"/>
          </w:tcPr>
          <w:p>
            <w:pPr>
              <w:pStyle w:val="13"/>
            </w:pPr>
            <w:r>
              <w:t>污水处理后可再利用发电、绿化灌溉、洒水等。</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满意和较满意人数占被调查人数的比例</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21、2025年石家庄西部上庄污水处理厂排水渠租地费绩效目标表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13011025P000001104643</w:t>
            </w:r>
          </w:p>
        </w:tc>
        <w:tc>
          <w:tcPr>
            <w:tcW w:w="2835" w:type="dxa"/>
            <w:vAlign w:val="center"/>
          </w:tcPr>
          <w:p>
            <w:pPr>
              <w:pStyle w:val="11"/>
            </w:pPr>
            <w:r>
              <w:t>项目名称</w:t>
            </w:r>
          </w:p>
        </w:tc>
        <w:tc>
          <w:tcPr>
            <w:tcW w:w="6095" w:type="dxa"/>
            <w:gridSpan w:val="3"/>
            <w:vAlign w:val="center"/>
          </w:tcPr>
          <w:p>
            <w:pPr>
              <w:pStyle w:val="13"/>
            </w:pPr>
            <w:r>
              <w:t>2025年石家庄西部上庄污水处理厂排水渠租地费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22.30</w:t>
            </w:r>
          </w:p>
        </w:tc>
        <w:tc>
          <w:tcPr>
            <w:tcW w:w="2835" w:type="dxa"/>
            <w:vAlign w:val="center"/>
          </w:tcPr>
          <w:p>
            <w:pPr>
              <w:pStyle w:val="11"/>
            </w:pPr>
            <w:r>
              <w:t>其中：财政    资金</w:t>
            </w:r>
          </w:p>
        </w:tc>
        <w:tc>
          <w:tcPr>
            <w:tcW w:w="2551" w:type="dxa"/>
            <w:vAlign w:val="center"/>
          </w:tcPr>
          <w:p>
            <w:pPr>
              <w:pStyle w:val="13"/>
            </w:pPr>
            <w:r>
              <w:t>22.30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完成2025年建设租地费用补偿工作，确保资金及时拨付。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租地亩数</w:t>
            </w:r>
          </w:p>
        </w:tc>
        <w:tc>
          <w:tcPr>
            <w:tcW w:w="5386" w:type="dxa"/>
            <w:vAlign w:val="center"/>
          </w:tcPr>
          <w:p>
            <w:pPr>
              <w:pStyle w:val="13"/>
            </w:pPr>
            <w:r>
              <w:t>租用土地数量</w:t>
            </w:r>
          </w:p>
        </w:tc>
        <w:tc>
          <w:tcPr>
            <w:tcW w:w="2268" w:type="dxa"/>
            <w:vAlign w:val="center"/>
          </w:tcPr>
          <w:p>
            <w:pPr>
              <w:pStyle w:val="13"/>
            </w:pPr>
            <w:r>
              <w:t>7.43亩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租地费支付</w:t>
            </w:r>
          </w:p>
        </w:tc>
        <w:tc>
          <w:tcPr>
            <w:tcW w:w="5386" w:type="dxa"/>
            <w:vAlign w:val="center"/>
          </w:tcPr>
          <w:p>
            <w:pPr>
              <w:pStyle w:val="13"/>
            </w:pPr>
            <w:r>
              <w:t>每年租地费用支付按合同约定期限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租地标准</w:t>
            </w:r>
          </w:p>
        </w:tc>
        <w:tc>
          <w:tcPr>
            <w:tcW w:w="5386" w:type="dxa"/>
            <w:vAlign w:val="center"/>
          </w:tcPr>
          <w:p>
            <w:pPr>
              <w:pStyle w:val="13"/>
            </w:pPr>
            <w:r>
              <w:t>每亩地补贴标准</w:t>
            </w:r>
          </w:p>
        </w:tc>
        <w:tc>
          <w:tcPr>
            <w:tcW w:w="2268" w:type="dxa"/>
            <w:vAlign w:val="center"/>
          </w:tcPr>
          <w:p>
            <w:pPr>
              <w:pStyle w:val="13"/>
            </w:pPr>
            <w:r>
              <w:t>2000元/亩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完成租地面积的建设完成率</w:t>
            </w:r>
          </w:p>
        </w:tc>
        <w:tc>
          <w:tcPr>
            <w:tcW w:w="5386" w:type="dxa"/>
            <w:vAlign w:val="center"/>
          </w:tcPr>
          <w:p>
            <w:pPr>
              <w:pStyle w:val="13"/>
            </w:pPr>
            <w:r>
              <w:t>实际收到租地补贴户数占租地农户数的比例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各项工作任务按时完成率</w:t>
            </w:r>
          </w:p>
        </w:tc>
        <w:tc>
          <w:tcPr>
            <w:tcW w:w="5386" w:type="dxa"/>
            <w:vAlign w:val="center"/>
          </w:tcPr>
          <w:p>
            <w:pPr>
              <w:pStyle w:val="13"/>
            </w:pPr>
            <w:r>
              <w:t>各项工作任务按时完成率</w:t>
            </w:r>
          </w:p>
        </w:tc>
        <w:tc>
          <w:tcPr>
            <w:tcW w:w="2268" w:type="dxa"/>
            <w:vAlign w:val="center"/>
          </w:tcPr>
          <w:p>
            <w:pPr>
              <w:pStyle w:val="13"/>
            </w:pPr>
            <w:r>
              <w:t>按要求及时完成各项工程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满意和较满意人数占被补贴人数的比例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22、2025年双代特殊群体补贴费用（2016-2020）绩效目标表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13011025P001526100062</w:t>
            </w:r>
          </w:p>
        </w:tc>
        <w:tc>
          <w:tcPr>
            <w:tcW w:w="2835" w:type="dxa"/>
            <w:vAlign w:val="center"/>
          </w:tcPr>
          <w:p>
            <w:pPr>
              <w:pStyle w:val="11"/>
            </w:pPr>
            <w:r>
              <w:t>项目名称</w:t>
            </w:r>
          </w:p>
        </w:tc>
        <w:tc>
          <w:tcPr>
            <w:tcW w:w="6095" w:type="dxa"/>
            <w:gridSpan w:val="3"/>
            <w:vAlign w:val="center"/>
          </w:tcPr>
          <w:p>
            <w:pPr>
              <w:pStyle w:val="13"/>
            </w:pPr>
            <w:r>
              <w:t>2025年双代特殊群体补贴费用（2016-2020）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209.21</w:t>
            </w:r>
          </w:p>
        </w:tc>
        <w:tc>
          <w:tcPr>
            <w:tcW w:w="2835" w:type="dxa"/>
            <w:vAlign w:val="center"/>
          </w:tcPr>
          <w:p>
            <w:pPr>
              <w:pStyle w:val="11"/>
            </w:pPr>
            <w:r>
              <w:t>其中：财政    资金</w:t>
            </w:r>
          </w:p>
        </w:tc>
        <w:tc>
          <w:tcPr>
            <w:tcW w:w="2551" w:type="dxa"/>
            <w:vAlign w:val="center"/>
          </w:tcPr>
          <w:p>
            <w:pPr>
              <w:pStyle w:val="13"/>
            </w:pPr>
            <w:r>
              <w:t>209.21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为全区1579户特殊贫困群体进行燃气运行补贴，保障特殊特殊贫困群体户安全温暖过冬</w:t>
            </w:r>
            <w:r>
              <w:tab/>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1.为全区1579户特殊贫困群体进行燃气运行补贴，保障特殊特殊贫困群体户安全温暖过冬</w:t>
            </w:r>
            <w:r>
              <w:tab/>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补助双代特殊群体户数</w:t>
            </w:r>
          </w:p>
        </w:tc>
        <w:tc>
          <w:tcPr>
            <w:tcW w:w="5386" w:type="dxa"/>
            <w:vAlign w:val="center"/>
          </w:tcPr>
          <w:p>
            <w:pPr>
              <w:pStyle w:val="13"/>
            </w:pPr>
            <w:r>
              <w:t>享受特殊贫困群体户数</w:t>
            </w:r>
          </w:p>
        </w:tc>
        <w:tc>
          <w:tcPr>
            <w:tcW w:w="2268" w:type="dxa"/>
            <w:vAlign w:val="center"/>
          </w:tcPr>
          <w:p>
            <w:pPr>
              <w:pStyle w:val="13"/>
            </w:pPr>
            <w:r>
              <w:t>≤1579户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特殊群体补贴任务完成率</w:t>
            </w:r>
          </w:p>
        </w:tc>
        <w:tc>
          <w:tcPr>
            <w:tcW w:w="5386" w:type="dxa"/>
            <w:vAlign w:val="center"/>
          </w:tcPr>
          <w:p>
            <w:pPr>
              <w:pStyle w:val="13"/>
            </w:pPr>
            <w:r>
              <w:t>已经发放特殊群体双代补贴占应补贴完成率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特殊群体天然气补贴标准</w:t>
            </w:r>
          </w:p>
        </w:tc>
        <w:tc>
          <w:tcPr>
            <w:tcW w:w="5386" w:type="dxa"/>
            <w:vAlign w:val="center"/>
          </w:tcPr>
          <w:p>
            <w:pPr>
              <w:pStyle w:val="13"/>
            </w:pPr>
            <w:r>
              <w:t>对2016-2020年特殊贫困群体天然气用户均补贴标准</w:t>
            </w:r>
          </w:p>
        </w:tc>
        <w:tc>
          <w:tcPr>
            <w:tcW w:w="2268" w:type="dxa"/>
            <w:vAlign w:val="center"/>
          </w:tcPr>
          <w:p>
            <w:pPr>
              <w:pStyle w:val="13"/>
            </w:pPr>
            <w:r>
              <w:t>0.6元/户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特殊群体煤改电补贴标准</w:t>
            </w:r>
          </w:p>
        </w:tc>
        <w:tc>
          <w:tcPr>
            <w:tcW w:w="5386" w:type="dxa"/>
            <w:vAlign w:val="center"/>
          </w:tcPr>
          <w:p>
            <w:pPr>
              <w:pStyle w:val="13"/>
            </w:pPr>
            <w:r>
              <w:t>对2016-2020年特殊贫困群体煤改电用户均补贴标准</w:t>
            </w:r>
          </w:p>
        </w:tc>
        <w:tc>
          <w:tcPr>
            <w:tcW w:w="2268" w:type="dxa"/>
            <w:vAlign w:val="center"/>
          </w:tcPr>
          <w:p>
            <w:pPr>
              <w:pStyle w:val="13"/>
            </w:pPr>
            <w:r>
              <w:t>0.08元/户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发放特困补贴时间</w:t>
            </w:r>
          </w:p>
        </w:tc>
        <w:tc>
          <w:tcPr>
            <w:tcW w:w="5386" w:type="dxa"/>
            <w:vAlign w:val="center"/>
          </w:tcPr>
          <w:p>
            <w:pPr>
              <w:pStyle w:val="13"/>
            </w:pPr>
            <w:r>
              <w:t>采暖季结束后督促各乡镇、（区）提供人员名单、民政局复核后，资金由财政局保障</w:t>
            </w:r>
          </w:p>
        </w:tc>
        <w:tc>
          <w:tcPr>
            <w:tcW w:w="2268" w:type="dxa"/>
            <w:vAlign w:val="center"/>
          </w:tcPr>
          <w:p>
            <w:pPr>
              <w:pStyle w:val="13"/>
            </w:pPr>
            <w:r>
              <w:t>国家政策</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特殊群体双代补贴受益户数</w:t>
            </w:r>
          </w:p>
        </w:tc>
        <w:tc>
          <w:tcPr>
            <w:tcW w:w="5386" w:type="dxa"/>
            <w:vAlign w:val="center"/>
          </w:tcPr>
          <w:p>
            <w:pPr>
              <w:pStyle w:val="13"/>
            </w:pPr>
            <w:r>
              <w:t>2016-2020年特殊群体补贴户数</w:t>
            </w:r>
          </w:p>
        </w:tc>
        <w:tc>
          <w:tcPr>
            <w:tcW w:w="2268" w:type="dxa"/>
            <w:vAlign w:val="center"/>
          </w:tcPr>
          <w:p>
            <w:pPr>
              <w:pStyle w:val="13"/>
            </w:pPr>
            <w:r>
              <w:t>≤1562户</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特殊群体双代补受益时间</w:t>
            </w:r>
          </w:p>
        </w:tc>
        <w:tc>
          <w:tcPr>
            <w:tcW w:w="5386" w:type="dxa"/>
            <w:vAlign w:val="center"/>
          </w:tcPr>
          <w:p>
            <w:pPr>
              <w:pStyle w:val="13"/>
            </w:pPr>
            <w:r>
              <w:t>2016-2020年特殊群体补贴时间</w:t>
            </w:r>
          </w:p>
        </w:tc>
        <w:tc>
          <w:tcPr>
            <w:tcW w:w="2268" w:type="dxa"/>
            <w:vAlign w:val="center"/>
          </w:tcPr>
          <w:p>
            <w:pPr>
              <w:pStyle w:val="13"/>
            </w:pPr>
            <w:r>
              <w:t>1年</w:t>
            </w:r>
          </w:p>
        </w:tc>
        <w:tc>
          <w:tcPr>
            <w:tcW w:w="1276" w:type="dxa"/>
            <w:vAlign w:val="center"/>
          </w:tcPr>
          <w:p>
            <w:pPr>
              <w:pStyle w:val="13"/>
            </w:pPr>
            <w:r>
              <w:t>历史数据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群众满意数量占总数比例</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23、2025年危房改造专项资金绩效目标表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13011025P00161810001U</w:t>
            </w:r>
          </w:p>
        </w:tc>
        <w:tc>
          <w:tcPr>
            <w:tcW w:w="2835" w:type="dxa"/>
            <w:vAlign w:val="center"/>
          </w:tcPr>
          <w:p>
            <w:pPr>
              <w:pStyle w:val="11"/>
            </w:pPr>
            <w:r>
              <w:t>项目名称</w:t>
            </w:r>
          </w:p>
        </w:tc>
        <w:tc>
          <w:tcPr>
            <w:tcW w:w="6095" w:type="dxa"/>
            <w:gridSpan w:val="3"/>
            <w:vAlign w:val="center"/>
          </w:tcPr>
          <w:p>
            <w:pPr>
              <w:pStyle w:val="13"/>
            </w:pPr>
            <w:r>
              <w:t>2025年危房改造专项资金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改造危房20户，解决五保户、建档立卡贫困户等“四类重点人员”的住房安全问题。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危房改造数量</w:t>
            </w:r>
          </w:p>
        </w:tc>
        <w:tc>
          <w:tcPr>
            <w:tcW w:w="5386" w:type="dxa"/>
            <w:vAlign w:val="center"/>
          </w:tcPr>
          <w:p>
            <w:pPr>
              <w:pStyle w:val="13"/>
            </w:pPr>
            <w:r>
              <w:t>危房改造数量</w:t>
            </w:r>
          </w:p>
        </w:tc>
        <w:tc>
          <w:tcPr>
            <w:tcW w:w="2268" w:type="dxa"/>
            <w:vAlign w:val="center"/>
          </w:tcPr>
          <w:p>
            <w:pPr>
              <w:pStyle w:val="13"/>
            </w:pPr>
            <w:r>
              <w:t>≤20户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改造后验收合格率</w:t>
            </w:r>
          </w:p>
        </w:tc>
        <w:tc>
          <w:tcPr>
            <w:tcW w:w="5386" w:type="dxa"/>
            <w:vAlign w:val="center"/>
          </w:tcPr>
          <w:p>
            <w:pPr>
              <w:pStyle w:val="13"/>
            </w:pPr>
            <w:r>
              <w:t>危房改造验收合格率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危房改造按时完成率</w:t>
            </w:r>
          </w:p>
        </w:tc>
        <w:tc>
          <w:tcPr>
            <w:tcW w:w="5386" w:type="dxa"/>
            <w:vAlign w:val="center"/>
          </w:tcPr>
          <w:p>
            <w:pPr>
              <w:pStyle w:val="13"/>
            </w:pPr>
            <w:r>
              <w:t>当年改造完成占需改造危房的比率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补助资金发放标准</w:t>
            </w:r>
          </w:p>
        </w:tc>
        <w:tc>
          <w:tcPr>
            <w:tcW w:w="5386" w:type="dxa"/>
            <w:vAlign w:val="center"/>
          </w:tcPr>
          <w:p>
            <w:pPr>
              <w:pStyle w:val="13"/>
            </w:pPr>
            <w:r>
              <w:t>新建每户改造资金4万元</w:t>
            </w:r>
          </w:p>
        </w:tc>
        <w:tc>
          <w:tcPr>
            <w:tcW w:w="2268" w:type="dxa"/>
            <w:vAlign w:val="center"/>
          </w:tcPr>
          <w:p>
            <w:pPr>
              <w:pStyle w:val="13"/>
            </w:pPr>
            <w:r>
              <w:t>4万元/户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新建房屋保证安全期限</w:t>
            </w:r>
          </w:p>
        </w:tc>
        <w:tc>
          <w:tcPr>
            <w:tcW w:w="5386" w:type="dxa"/>
            <w:vAlign w:val="center"/>
          </w:tcPr>
          <w:p>
            <w:pPr>
              <w:pStyle w:val="13"/>
            </w:pPr>
            <w:r>
              <w:t>新建危房质量保证期限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5386" w:type="dxa"/>
            <w:vAlign w:val="center"/>
          </w:tcPr>
          <w:p>
            <w:pPr>
              <w:pStyle w:val="13"/>
            </w:pPr>
            <w:r>
              <w:t>危房改造用户满意度</w:t>
            </w:r>
          </w:p>
        </w:tc>
        <w:tc>
          <w:tcPr>
            <w:tcW w:w="2268" w:type="dxa"/>
            <w:vAlign w:val="center"/>
          </w:tcPr>
          <w:p>
            <w:pPr>
              <w:pStyle w:val="13"/>
            </w:pPr>
            <w:r>
              <w:t>≥90%</w:t>
            </w:r>
          </w:p>
        </w:tc>
        <w:tc>
          <w:tcPr>
            <w:tcW w:w="1276"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24、2025年县城建设三年成效宣传片视频制作费用绩效目标表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13011025P00000110467X</w:t>
            </w:r>
          </w:p>
        </w:tc>
        <w:tc>
          <w:tcPr>
            <w:tcW w:w="2835" w:type="dxa"/>
            <w:vAlign w:val="center"/>
          </w:tcPr>
          <w:p>
            <w:pPr>
              <w:pStyle w:val="11"/>
            </w:pPr>
            <w:r>
              <w:t>项目名称</w:t>
            </w:r>
          </w:p>
        </w:tc>
        <w:tc>
          <w:tcPr>
            <w:tcW w:w="6095" w:type="dxa"/>
            <w:gridSpan w:val="3"/>
            <w:vAlign w:val="center"/>
          </w:tcPr>
          <w:p>
            <w:pPr>
              <w:pStyle w:val="13"/>
            </w:pPr>
            <w:r>
              <w:t>2025年县城建设三年成效宣传片视频制作费用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通过宣传片制作1次、媒体宣传报道，提高我区县城建设美誉度和知名度。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1.通过宣传片制作1次、媒体宣传报道，提高我区县城建设美誉度和知名度。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纪实片制作次数</w:t>
            </w:r>
          </w:p>
        </w:tc>
        <w:tc>
          <w:tcPr>
            <w:tcW w:w="5386" w:type="dxa"/>
            <w:vAlign w:val="center"/>
          </w:tcPr>
          <w:p>
            <w:pPr>
              <w:pStyle w:val="13"/>
            </w:pPr>
            <w:r>
              <w:t>制作县城建设纪实片，召开全市县城建设工作会议时进行播放。</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宣传成本</w:t>
            </w:r>
          </w:p>
        </w:tc>
        <w:tc>
          <w:tcPr>
            <w:tcW w:w="5386" w:type="dxa"/>
            <w:vAlign w:val="center"/>
          </w:tcPr>
          <w:p>
            <w:pPr>
              <w:pStyle w:val="13"/>
            </w:pPr>
            <w:r>
              <w:t>电视台宣传费用</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各项业务工作完成率（%）</w:t>
            </w:r>
          </w:p>
        </w:tc>
        <w:tc>
          <w:tcPr>
            <w:tcW w:w="5386" w:type="dxa"/>
            <w:vAlign w:val="center"/>
          </w:tcPr>
          <w:p>
            <w:pPr>
              <w:pStyle w:val="13"/>
            </w:pPr>
            <w:r>
              <w:t>实际工作完成占应完成工作的比率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完成宣传报道的时间</w:t>
            </w:r>
          </w:p>
        </w:tc>
        <w:tc>
          <w:tcPr>
            <w:tcW w:w="5386" w:type="dxa"/>
            <w:vAlign w:val="center"/>
          </w:tcPr>
          <w:p>
            <w:pPr>
              <w:pStyle w:val="13"/>
            </w:pPr>
            <w:r>
              <w:t>在7月、完成宣传报道</w:t>
            </w:r>
          </w:p>
        </w:tc>
        <w:tc>
          <w:tcPr>
            <w:tcW w:w="2268" w:type="dxa"/>
            <w:vAlign w:val="center"/>
          </w:tcPr>
          <w:p>
            <w:pPr>
              <w:pStyle w:val="13"/>
            </w:pPr>
            <w:r>
              <w:t>7月完成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提升县城建设品质</w:t>
            </w:r>
          </w:p>
        </w:tc>
        <w:tc>
          <w:tcPr>
            <w:tcW w:w="5386" w:type="dxa"/>
            <w:vAlign w:val="center"/>
          </w:tcPr>
          <w:p>
            <w:pPr>
              <w:pStyle w:val="13"/>
            </w:pPr>
            <w:r>
              <w:t>展示我区县城建设良好形象和工作成效。提高我区美誉度和知名度。</w:t>
            </w:r>
          </w:p>
        </w:tc>
        <w:tc>
          <w:tcPr>
            <w:tcW w:w="2268" w:type="dxa"/>
            <w:vAlign w:val="center"/>
          </w:tcPr>
          <w:p>
            <w:pPr>
              <w:pStyle w:val="13"/>
            </w:pPr>
            <w:r>
              <w:t>显著提高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群众对县城建设基本满意。</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25、2025年一案两书编制费用绩效目标表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13011025P00000110465N</w:t>
            </w:r>
          </w:p>
        </w:tc>
        <w:tc>
          <w:tcPr>
            <w:tcW w:w="2835" w:type="dxa"/>
            <w:vAlign w:val="center"/>
          </w:tcPr>
          <w:p>
            <w:pPr>
              <w:pStyle w:val="11"/>
            </w:pPr>
            <w:r>
              <w:t>项目名称</w:t>
            </w:r>
          </w:p>
        </w:tc>
        <w:tc>
          <w:tcPr>
            <w:tcW w:w="6095" w:type="dxa"/>
            <w:gridSpan w:val="3"/>
            <w:vAlign w:val="center"/>
          </w:tcPr>
          <w:p>
            <w:pPr>
              <w:pStyle w:val="13"/>
            </w:pPr>
            <w:r>
              <w:t>2025年一案两书编制费用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完成3个项目一案两书编制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1.完成3个项目一案两书编制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提交成果报告</w:t>
            </w:r>
          </w:p>
        </w:tc>
        <w:tc>
          <w:tcPr>
            <w:tcW w:w="5386" w:type="dxa"/>
            <w:vAlign w:val="center"/>
          </w:tcPr>
          <w:p>
            <w:pPr>
              <w:pStyle w:val="13"/>
            </w:pPr>
            <w:r>
              <w:t>提交成果报告</w:t>
            </w:r>
          </w:p>
        </w:tc>
        <w:tc>
          <w:tcPr>
            <w:tcW w:w="2268" w:type="dxa"/>
            <w:vAlign w:val="center"/>
          </w:tcPr>
          <w:p>
            <w:pPr>
              <w:pStyle w:val="13"/>
            </w:pPr>
            <w:r>
              <w:t>3套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提交成果报告质量</w:t>
            </w:r>
          </w:p>
        </w:tc>
        <w:tc>
          <w:tcPr>
            <w:tcW w:w="5386" w:type="dxa"/>
            <w:vAlign w:val="center"/>
          </w:tcPr>
          <w:p>
            <w:pPr>
              <w:pStyle w:val="13"/>
            </w:pPr>
            <w:r>
              <w:t>提交成果报告质量</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任务完成时间</w:t>
            </w:r>
          </w:p>
        </w:tc>
        <w:tc>
          <w:tcPr>
            <w:tcW w:w="5386" w:type="dxa"/>
            <w:vAlign w:val="center"/>
          </w:tcPr>
          <w:p>
            <w:pPr>
              <w:pStyle w:val="13"/>
            </w:pPr>
            <w:r>
              <w:t>任务完成时间</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w:t>
            </w:r>
          </w:p>
        </w:tc>
        <w:tc>
          <w:tcPr>
            <w:tcW w:w="5386" w:type="dxa"/>
            <w:vAlign w:val="center"/>
          </w:tcPr>
          <w:p>
            <w:pPr>
              <w:pStyle w:val="13"/>
            </w:pPr>
            <w:r>
              <w:t>预算控制</w:t>
            </w:r>
          </w:p>
        </w:tc>
        <w:tc>
          <w:tcPr>
            <w:tcW w:w="2268" w:type="dxa"/>
            <w:vAlign w:val="center"/>
          </w:tcPr>
          <w:p>
            <w:pPr>
              <w:pStyle w:val="13"/>
            </w:pPr>
            <w:r>
              <w:t>≤48万元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可持续使用时间</w:t>
            </w:r>
          </w:p>
        </w:tc>
        <w:tc>
          <w:tcPr>
            <w:tcW w:w="5386" w:type="dxa"/>
            <w:vAlign w:val="center"/>
          </w:tcPr>
          <w:p>
            <w:pPr>
              <w:pStyle w:val="13"/>
            </w:pPr>
            <w:r>
              <w:t>文本使用的时间（2022-2035）</w:t>
            </w:r>
          </w:p>
        </w:tc>
        <w:tc>
          <w:tcPr>
            <w:tcW w:w="2268" w:type="dxa"/>
            <w:vAlign w:val="center"/>
          </w:tcPr>
          <w:p>
            <w:pPr>
              <w:pStyle w:val="13"/>
            </w:pPr>
            <w:r>
              <w:t>≥13年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26、2025年重点区域扬尘污染防治网格工作经费绩效目标表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13011025P00000110468H</w:t>
            </w:r>
          </w:p>
        </w:tc>
        <w:tc>
          <w:tcPr>
            <w:tcW w:w="2835" w:type="dxa"/>
            <w:vAlign w:val="center"/>
          </w:tcPr>
          <w:p>
            <w:pPr>
              <w:pStyle w:val="11"/>
            </w:pPr>
            <w:r>
              <w:t>项目名称</w:t>
            </w:r>
          </w:p>
        </w:tc>
        <w:tc>
          <w:tcPr>
            <w:tcW w:w="6095" w:type="dxa"/>
            <w:gridSpan w:val="3"/>
            <w:vAlign w:val="center"/>
          </w:tcPr>
          <w:p>
            <w:pPr>
              <w:pStyle w:val="13"/>
            </w:pPr>
            <w:r>
              <w:t>2025年重点区域扬尘污染防治网格工作经费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27.00</w:t>
            </w:r>
          </w:p>
        </w:tc>
        <w:tc>
          <w:tcPr>
            <w:tcW w:w="2835" w:type="dxa"/>
            <w:vAlign w:val="center"/>
          </w:tcPr>
          <w:p>
            <w:pPr>
              <w:pStyle w:val="11"/>
            </w:pPr>
            <w:r>
              <w:t>其中：财政    资金</w:t>
            </w:r>
          </w:p>
        </w:tc>
        <w:tc>
          <w:tcPr>
            <w:tcW w:w="2551" w:type="dxa"/>
            <w:vAlign w:val="center"/>
          </w:tcPr>
          <w:p>
            <w:pPr>
              <w:pStyle w:val="13"/>
            </w:pPr>
            <w:r>
              <w:t>27.00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保障重点区域正常运行，有效减少扬尘污染。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1.保障重点区域正常运行，有效减少扬尘污染。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搭建工地网格数量</w:t>
            </w:r>
          </w:p>
        </w:tc>
        <w:tc>
          <w:tcPr>
            <w:tcW w:w="5386" w:type="dxa"/>
            <w:vAlign w:val="center"/>
          </w:tcPr>
          <w:p>
            <w:pPr>
              <w:pStyle w:val="13"/>
            </w:pPr>
            <w:r>
              <w:t>工地网格数量</w:t>
            </w:r>
          </w:p>
        </w:tc>
        <w:tc>
          <w:tcPr>
            <w:tcW w:w="2268" w:type="dxa"/>
            <w:vAlign w:val="center"/>
          </w:tcPr>
          <w:p>
            <w:pPr>
              <w:pStyle w:val="13"/>
            </w:pPr>
            <w:r>
              <w:t>237个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搭建其他网格数量</w:t>
            </w:r>
          </w:p>
        </w:tc>
        <w:tc>
          <w:tcPr>
            <w:tcW w:w="5386" w:type="dxa"/>
            <w:vAlign w:val="center"/>
          </w:tcPr>
          <w:p>
            <w:pPr>
              <w:pStyle w:val="13"/>
            </w:pPr>
            <w:r>
              <w:t>其他网格数量</w:t>
            </w:r>
          </w:p>
        </w:tc>
        <w:tc>
          <w:tcPr>
            <w:tcW w:w="2268" w:type="dxa"/>
            <w:vAlign w:val="center"/>
          </w:tcPr>
          <w:p>
            <w:pPr>
              <w:pStyle w:val="13"/>
            </w:pPr>
            <w:r>
              <w:t>276个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网格覆盖县区数量</w:t>
            </w:r>
          </w:p>
        </w:tc>
        <w:tc>
          <w:tcPr>
            <w:tcW w:w="5386" w:type="dxa"/>
            <w:vAlign w:val="center"/>
          </w:tcPr>
          <w:p>
            <w:pPr>
              <w:pStyle w:val="13"/>
            </w:pPr>
            <w:r>
              <w:t>覆盖区县</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网格员每日定期巡查次数</w:t>
            </w:r>
          </w:p>
        </w:tc>
        <w:tc>
          <w:tcPr>
            <w:tcW w:w="5386" w:type="dxa"/>
            <w:vAlign w:val="center"/>
          </w:tcPr>
          <w:p>
            <w:pPr>
              <w:pStyle w:val="13"/>
            </w:pPr>
            <w:r>
              <w:t>巡查次数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落实工作积分机制</w:t>
            </w:r>
          </w:p>
        </w:tc>
        <w:tc>
          <w:tcPr>
            <w:tcW w:w="5386" w:type="dxa"/>
            <w:vAlign w:val="center"/>
          </w:tcPr>
          <w:p>
            <w:pPr>
              <w:pStyle w:val="13"/>
            </w:pPr>
            <w:r>
              <w:t>工作积分</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每月积分情况由县区核实后在规定时间上报的比率</w:t>
            </w:r>
          </w:p>
        </w:tc>
        <w:tc>
          <w:tcPr>
            <w:tcW w:w="5386" w:type="dxa"/>
            <w:vAlign w:val="center"/>
          </w:tcPr>
          <w:p>
            <w:pPr>
              <w:pStyle w:val="13"/>
            </w:pPr>
            <w:r>
              <w:t>规定时间上报</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每月支出成本</w:t>
            </w:r>
          </w:p>
        </w:tc>
        <w:tc>
          <w:tcPr>
            <w:tcW w:w="5386" w:type="dxa"/>
            <w:vAlign w:val="center"/>
          </w:tcPr>
          <w:p>
            <w:pPr>
              <w:pStyle w:val="13"/>
            </w:pPr>
            <w:r>
              <w:t>支出成本</w:t>
            </w:r>
          </w:p>
        </w:tc>
        <w:tc>
          <w:tcPr>
            <w:tcW w:w="2268" w:type="dxa"/>
            <w:vAlign w:val="center"/>
          </w:tcPr>
          <w:p>
            <w:pPr>
              <w:pStyle w:val="13"/>
            </w:pPr>
            <w:r>
              <w:t>按规定核算金额</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减少扬尘污染</w:t>
            </w:r>
          </w:p>
        </w:tc>
        <w:tc>
          <w:tcPr>
            <w:tcW w:w="5386" w:type="dxa"/>
            <w:vAlign w:val="center"/>
          </w:tcPr>
          <w:p>
            <w:pPr>
              <w:pStyle w:val="13"/>
            </w:pPr>
            <w:r>
              <w:t>减少扬尘污染</w:t>
            </w:r>
          </w:p>
        </w:tc>
        <w:tc>
          <w:tcPr>
            <w:tcW w:w="2268" w:type="dxa"/>
            <w:vAlign w:val="center"/>
          </w:tcPr>
          <w:p>
            <w:pPr>
              <w:pStyle w:val="13"/>
            </w:pPr>
            <w:r>
              <w:t>减少污染</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推进我区空气质量改善</w:t>
            </w:r>
          </w:p>
        </w:tc>
        <w:tc>
          <w:tcPr>
            <w:tcW w:w="5386" w:type="dxa"/>
            <w:vAlign w:val="center"/>
          </w:tcPr>
          <w:p>
            <w:pPr>
              <w:pStyle w:val="13"/>
            </w:pPr>
            <w:r>
              <w:t>推进空气质量</w:t>
            </w:r>
          </w:p>
        </w:tc>
        <w:tc>
          <w:tcPr>
            <w:tcW w:w="2268" w:type="dxa"/>
            <w:vAlign w:val="center"/>
          </w:tcPr>
          <w:p>
            <w:pPr>
              <w:pStyle w:val="13"/>
            </w:pPr>
            <w:r>
              <w:t>提高空气质量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单位人员满意度</w:t>
            </w:r>
          </w:p>
        </w:tc>
        <w:tc>
          <w:tcPr>
            <w:tcW w:w="5386" w:type="dxa"/>
            <w:vAlign w:val="center"/>
          </w:tcPr>
          <w:p>
            <w:pPr>
              <w:pStyle w:val="13"/>
            </w:pPr>
            <w:r>
              <w:t>单位人员满意度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27、关于提前下达2024年中央大气污染防治资金（用于农村地区气代煤电代煤改造任务运行补助）预算的通知绩效目标表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13011024P00001210542U</w:t>
            </w:r>
          </w:p>
        </w:tc>
        <w:tc>
          <w:tcPr>
            <w:tcW w:w="2835" w:type="dxa"/>
            <w:vAlign w:val="center"/>
          </w:tcPr>
          <w:p>
            <w:pPr>
              <w:pStyle w:val="11"/>
            </w:pPr>
            <w:r>
              <w:t>项目名称</w:t>
            </w:r>
          </w:p>
        </w:tc>
        <w:tc>
          <w:tcPr>
            <w:tcW w:w="6095" w:type="dxa"/>
            <w:gridSpan w:val="3"/>
            <w:vAlign w:val="center"/>
          </w:tcPr>
          <w:p>
            <w:pPr>
              <w:pStyle w:val="13"/>
            </w:pPr>
            <w:r>
              <w:t>关于提前下达2024年中央大气污染防治资金（用于农村地区气代煤电代煤改造任务运行补助）预算的通知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351.00</w:t>
            </w:r>
          </w:p>
        </w:tc>
        <w:tc>
          <w:tcPr>
            <w:tcW w:w="2835" w:type="dxa"/>
            <w:vAlign w:val="center"/>
          </w:tcPr>
          <w:p>
            <w:pPr>
              <w:pStyle w:val="11"/>
            </w:pPr>
            <w:r>
              <w:t>其中：财政    资金</w:t>
            </w:r>
          </w:p>
        </w:tc>
        <w:tc>
          <w:tcPr>
            <w:tcW w:w="2551" w:type="dxa"/>
            <w:vAlign w:val="center"/>
          </w:tcPr>
          <w:p>
            <w:pPr>
              <w:pStyle w:val="13"/>
            </w:pPr>
            <w:r>
              <w:t>351.00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采暖季后对2017年82082户农村煤改气和煤改电使用进行补贴，鼓励农户使用清洁能源取暖，减轻农户采暖费用，有效减少大气污染物排放。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已经发放双代补贴占应补贴完成率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2017年度煤改气用户发放2023—2024年天然气用户均补贴标准</w:t>
            </w:r>
          </w:p>
        </w:tc>
        <w:tc>
          <w:tcPr>
            <w:tcW w:w="2268" w:type="dxa"/>
            <w:vAlign w:val="center"/>
          </w:tcPr>
          <w:p>
            <w:pPr>
              <w:pStyle w:val="13"/>
            </w:pPr>
            <w:r>
              <w:t>640元/户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对2017年度煤改电用户发放2023—2024年煤改电用户均补贴标准</w:t>
            </w:r>
          </w:p>
        </w:tc>
        <w:tc>
          <w:tcPr>
            <w:tcW w:w="2268" w:type="dxa"/>
            <w:vAlign w:val="center"/>
          </w:tcPr>
          <w:p>
            <w:pPr>
              <w:pStyle w:val="13"/>
            </w:pPr>
            <w:r>
              <w:t>800元/户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2017年全区双代运行补贴户数</w:t>
            </w:r>
          </w:p>
        </w:tc>
        <w:tc>
          <w:tcPr>
            <w:tcW w:w="2268" w:type="dxa"/>
            <w:vAlign w:val="center"/>
          </w:tcPr>
          <w:p>
            <w:pPr>
              <w:pStyle w:val="13"/>
            </w:pPr>
            <w:r>
              <w:t>≤82082户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2017年双代补贴户数</w:t>
            </w:r>
          </w:p>
        </w:tc>
        <w:tc>
          <w:tcPr>
            <w:tcW w:w="2268" w:type="dxa"/>
            <w:vAlign w:val="center"/>
          </w:tcPr>
          <w:p>
            <w:pPr>
              <w:pStyle w:val="13"/>
            </w:pPr>
            <w:r>
              <w:t>82082户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三年到期后，根据实际制定补贴政策</w:t>
            </w:r>
          </w:p>
        </w:tc>
        <w:tc>
          <w:tcPr>
            <w:tcW w:w="5386" w:type="dxa"/>
            <w:vAlign w:val="center"/>
          </w:tcPr>
          <w:p>
            <w:pPr>
              <w:pStyle w:val="13"/>
            </w:pPr>
            <w:r>
              <w:t>2017年双代补贴户数</w:t>
            </w:r>
          </w:p>
        </w:tc>
        <w:tc>
          <w:tcPr>
            <w:tcW w:w="2268" w:type="dxa"/>
            <w:vAlign w:val="center"/>
          </w:tcPr>
          <w:p>
            <w:pPr>
              <w:pStyle w:val="13"/>
            </w:pPr>
            <w:r>
              <w:t>根据（石财建【2019】75号文件要求</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群众满意数量占被调查人数的比例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28、关于提前下达2025年部分中央财政城镇保障性安居工程补助资金绩效目标表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13011025P00161710008F</w:t>
            </w:r>
          </w:p>
        </w:tc>
        <w:tc>
          <w:tcPr>
            <w:tcW w:w="2835" w:type="dxa"/>
            <w:vAlign w:val="center"/>
          </w:tcPr>
          <w:p>
            <w:pPr>
              <w:pStyle w:val="11"/>
            </w:pPr>
            <w:r>
              <w:t>项目名称</w:t>
            </w:r>
          </w:p>
        </w:tc>
        <w:tc>
          <w:tcPr>
            <w:tcW w:w="6095" w:type="dxa"/>
            <w:gridSpan w:val="3"/>
            <w:vAlign w:val="center"/>
          </w:tcPr>
          <w:p>
            <w:pPr>
              <w:pStyle w:val="13"/>
            </w:pPr>
            <w:r>
              <w:t>关于提前下达2025年部分中央财政城镇保障性安居工程补助资金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w:t>
            </w:r>
          </w:p>
        </w:tc>
        <w:tc>
          <w:tcPr>
            <w:tcW w:w="2835" w:type="dxa"/>
            <w:vAlign w:val="center"/>
          </w:tcPr>
          <w:p>
            <w:pPr>
              <w:pStyle w:val="11"/>
            </w:pPr>
            <w:r>
              <w:t>其中：财政    资金</w:t>
            </w:r>
          </w:p>
        </w:tc>
        <w:tc>
          <w:tcPr>
            <w:tcW w:w="2551" w:type="dxa"/>
            <w:vAlign w:val="center"/>
          </w:tcPr>
          <w:p>
            <w:pPr>
              <w:pStyle w:val="13"/>
            </w:pPr>
            <w:r>
              <w:t>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按时完成鹿泉区城市危旧房改造项目用地面积为10758.44平方米，改善居民居住环境。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1.按时完成鹿泉区城市危旧房改造项目用地面积为10758.44平方米，改善居民居住环境。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危旧房改造项目用地面积</w:t>
            </w:r>
          </w:p>
        </w:tc>
        <w:tc>
          <w:tcPr>
            <w:tcW w:w="5386" w:type="dxa"/>
            <w:vAlign w:val="center"/>
          </w:tcPr>
          <w:p>
            <w:pPr>
              <w:pStyle w:val="13"/>
            </w:pPr>
            <w:r>
              <w:t>危旧房改造项目用地面积29485.36平方米</w:t>
            </w:r>
          </w:p>
        </w:tc>
        <w:tc>
          <w:tcPr>
            <w:tcW w:w="2268" w:type="dxa"/>
            <w:vAlign w:val="center"/>
          </w:tcPr>
          <w:p>
            <w:pPr>
              <w:pStyle w:val="13"/>
            </w:pPr>
            <w:r>
              <w:t>10758.44平方米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危旧房改造项目完成率</w:t>
            </w:r>
          </w:p>
        </w:tc>
        <w:tc>
          <w:tcPr>
            <w:tcW w:w="5386" w:type="dxa"/>
            <w:vAlign w:val="center"/>
          </w:tcPr>
          <w:p>
            <w:pPr>
              <w:pStyle w:val="13"/>
            </w:pPr>
            <w:r>
              <w:t>危旧房改造项目完成率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危旧房改造项目按时完成率</w:t>
            </w:r>
          </w:p>
        </w:tc>
        <w:tc>
          <w:tcPr>
            <w:tcW w:w="5386" w:type="dxa"/>
            <w:vAlign w:val="center"/>
          </w:tcPr>
          <w:p>
            <w:pPr>
              <w:pStyle w:val="13"/>
            </w:pPr>
            <w:r>
              <w:t>危旧房改造项目按时完成率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危旧房改造项目成本</w:t>
            </w:r>
          </w:p>
        </w:tc>
        <w:tc>
          <w:tcPr>
            <w:tcW w:w="5386" w:type="dxa"/>
            <w:vAlign w:val="center"/>
          </w:tcPr>
          <w:p>
            <w:pPr>
              <w:pStyle w:val="13"/>
            </w:pPr>
            <w:r>
              <w:t>危旧房改造项目成本</w:t>
            </w:r>
          </w:p>
        </w:tc>
        <w:tc>
          <w:tcPr>
            <w:tcW w:w="2268" w:type="dxa"/>
            <w:vAlign w:val="center"/>
          </w:tcPr>
          <w:p>
            <w:pPr>
              <w:pStyle w:val="13"/>
            </w:pPr>
            <w:r>
              <w:t>67万元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危旧房改造项目长期使用性</w:t>
            </w:r>
          </w:p>
        </w:tc>
        <w:tc>
          <w:tcPr>
            <w:tcW w:w="5386" w:type="dxa"/>
            <w:vAlign w:val="center"/>
          </w:tcPr>
          <w:p>
            <w:pPr>
              <w:pStyle w:val="13"/>
            </w:pPr>
            <w:r>
              <w:t>危旧房改造项目长期使用性</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危旧房改造项目受益户数</w:t>
            </w:r>
          </w:p>
        </w:tc>
        <w:tc>
          <w:tcPr>
            <w:tcW w:w="5386" w:type="dxa"/>
            <w:vAlign w:val="center"/>
          </w:tcPr>
          <w:p>
            <w:pPr>
              <w:pStyle w:val="13"/>
            </w:pPr>
            <w:r>
              <w:t>危旧房改造项目社会效益受益户数</w:t>
            </w:r>
          </w:p>
        </w:tc>
        <w:tc>
          <w:tcPr>
            <w:tcW w:w="2268" w:type="dxa"/>
            <w:vAlign w:val="center"/>
          </w:tcPr>
          <w:p>
            <w:pPr>
              <w:pStyle w:val="13"/>
            </w:pPr>
            <w:r>
              <w:t>151户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危旧房改造项目群众满意度</w:t>
            </w:r>
          </w:p>
        </w:tc>
        <w:tc>
          <w:tcPr>
            <w:tcW w:w="5386" w:type="dxa"/>
            <w:vAlign w:val="center"/>
          </w:tcPr>
          <w:p>
            <w:pPr>
              <w:pStyle w:val="13"/>
            </w:pPr>
            <w:r>
              <w:t>危旧房改造项目群众满意度数量满意占比</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29、关于提前下达2025年省级城镇保障性安居工程补助资金绩效目标表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13011025P001617100093</w:t>
            </w:r>
          </w:p>
        </w:tc>
        <w:tc>
          <w:tcPr>
            <w:tcW w:w="2835" w:type="dxa"/>
            <w:vAlign w:val="center"/>
          </w:tcPr>
          <w:p>
            <w:pPr>
              <w:pStyle w:val="11"/>
            </w:pPr>
            <w:r>
              <w:t>项目名称</w:t>
            </w:r>
          </w:p>
        </w:tc>
        <w:tc>
          <w:tcPr>
            <w:tcW w:w="6095" w:type="dxa"/>
            <w:gridSpan w:val="3"/>
            <w:vAlign w:val="center"/>
          </w:tcPr>
          <w:p>
            <w:pPr>
              <w:pStyle w:val="13"/>
            </w:pPr>
            <w:r>
              <w:t>关于提前下达2025年省级城镇保障性安居工程补助资金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71.00</w:t>
            </w:r>
          </w:p>
        </w:tc>
        <w:tc>
          <w:tcPr>
            <w:tcW w:w="2835" w:type="dxa"/>
            <w:vAlign w:val="center"/>
          </w:tcPr>
          <w:p>
            <w:pPr>
              <w:pStyle w:val="11"/>
            </w:pPr>
            <w:r>
              <w:t>其中：财政    资金</w:t>
            </w:r>
          </w:p>
        </w:tc>
        <w:tc>
          <w:tcPr>
            <w:tcW w:w="2551" w:type="dxa"/>
            <w:vAlign w:val="center"/>
          </w:tcPr>
          <w:p>
            <w:pPr>
              <w:pStyle w:val="13"/>
            </w:pPr>
            <w:r>
              <w:t>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按时完成鹿泉区城市危旧房改造项目用地面积为10785.44平方米，改善居民居住环境。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1.按时完成鹿泉区城市危旧房改造项目用地面积为10785.44平方米，改善居民居住环境。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危旧房改造项目用地面积</w:t>
            </w:r>
          </w:p>
        </w:tc>
        <w:tc>
          <w:tcPr>
            <w:tcW w:w="5386" w:type="dxa"/>
            <w:vAlign w:val="center"/>
          </w:tcPr>
          <w:p>
            <w:pPr>
              <w:pStyle w:val="13"/>
            </w:pPr>
            <w:r>
              <w:t>危旧房改造项目用地面积29485.36平方米</w:t>
            </w:r>
          </w:p>
        </w:tc>
        <w:tc>
          <w:tcPr>
            <w:tcW w:w="2268" w:type="dxa"/>
            <w:vAlign w:val="center"/>
          </w:tcPr>
          <w:p>
            <w:pPr>
              <w:pStyle w:val="13"/>
            </w:pPr>
            <w:r>
              <w:t>10758.44平方米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危旧房改造项目完成率</w:t>
            </w:r>
          </w:p>
        </w:tc>
        <w:tc>
          <w:tcPr>
            <w:tcW w:w="5386" w:type="dxa"/>
            <w:vAlign w:val="center"/>
          </w:tcPr>
          <w:p>
            <w:pPr>
              <w:pStyle w:val="13"/>
            </w:pPr>
            <w:r>
              <w:t>危旧房改造项目完成率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危旧房改造项目按时完成率</w:t>
            </w:r>
          </w:p>
        </w:tc>
        <w:tc>
          <w:tcPr>
            <w:tcW w:w="5386" w:type="dxa"/>
            <w:vAlign w:val="center"/>
          </w:tcPr>
          <w:p>
            <w:pPr>
              <w:pStyle w:val="13"/>
            </w:pPr>
            <w:r>
              <w:t>危旧房改造项目按时完成率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危旧房改造项目成本</w:t>
            </w:r>
          </w:p>
        </w:tc>
        <w:tc>
          <w:tcPr>
            <w:tcW w:w="5386" w:type="dxa"/>
            <w:vAlign w:val="center"/>
          </w:tcPr>
          <w:p>
            <w:pPr>
              <w:pStyle w:val="13"/>
            </w:pPr>
            <w:r>
              <w:t>危旧房改造项目成本</w:t>
            </w:r>
          </w:p>
        </w:tc>
        <w:tc>
          <w:tcPr>
            <w:tcW w:w="2268" w:type="dxa"/>
            <w:vAlign w:val="center"/>
          </w:tcPr>
          <w:p>
            <w:pPr>
              <w:pStyle w:val="13"/>
            </w:pPr>
            <w:r>
              <w:t>71万元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危旧房改造项目长期使用性</w:t>
            </w:r>
          </w:p>
        </w:tc>
        <w:tc>
          <w:tcPr>
            <w:tcW w:w="5386" w:type="dxa"/>
            <w:vAlign w:val="center"/>
          </w:tcPr>
          <w:p>
            <w:pPr>
              <w:pStyle w:val="13"/>
            </w:pPr>
            <w:r>
              <w:t>危旧房改造项目长期使用性</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危旧房改造项目受益户数</w:t>
            </w:r>
          </w:p>
        </w:tc>
        <w:tc>
          <w:tcPr>
            <w:tcW w:w="5386" w:type="dxa"/>
            <w:vAlign w:val="center"/>
          </w:tcPr>
          <w:p>
            <w:pPr>
              <w:pStyle w:val="13"/>
            </w:pPr>
            <w:r>
              <w:t>危旧房改造项目社会效益受益户数</w:t>
            </w:r>
          </w:p>
        </w:tc>
        <w:tc>
          <w:tcPr>
            <w:tcW w:w="2268" w:type="dxa"/>
            <w:vAlign w:val="center"/>
          </w:tcPr>
          <w:p>
            <w:pPr>
              <w:pStyle w:val="13"/>
            </w:pPr>
            <w:r>
              <w:t>151户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危旧房改造项目群众满意度</w:t>
            </w:r>
          </w:p>
        </w:tc>
        <w:tc>
          <w:tcPr>
            <w:tcW w:w="5386" w:type="dxa"/>
            <w:vAlign w:val="center"/>
          </w:tcPr>
          <w:p>
            <w:pPr>
              <w:pStyle w:val="13"/>
            </w:pPr>
            <w:r>
              <w:t>危旧房改造项目群众满意度数量满意占比</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30、关于提前下达2025年省级乡村振兴专项资金（政府债券）绩效目标表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13011025P00000110458M</w:t>
            </w:r>
          </w:p>
        </w:tc>
        <w:tc>
          <w:tcPr>
            <w:tcW w:w="2835" w:type="dxa"/>
            <w:vAlign w:val="center"/>
          </w:tcPr>
          <w:p>
            <w:pPr>
              <w:pStyle w:val="11"/>
            </w:pPr>
            <w:r>
              <w:t>项目名称</w:t>
            </w:r>
          </w:p>
        </w:tc>
        <w:tc>
          <w:tcPr>
            <w:tcW w:w="6095" w:type="dxa"/>
            <w:gridSpan w:val="3"/>
            <w:vAlign w:val="center"/>
          </w:tcPr>
          <w:p>
            <w:pPr>
              <w:pStyle w:val="13"/>
            </w:pPr>
            <w:r>
              <w:t>关于提前下达2025年省级乡村振兴专项资金（政府债券）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补助的装配式农房数量</w:t>
            </w:r>
          </w:p>
        </w:tc>
        <w:tc>
          <w:tcPr>
            <w:tcW w:w="5386" w:type="dxa"/>
            <w:vAlign w:val="center"/>
          </w:tcPr>
          <w:p>
            <w:pPr>
              <w:pStyle w:val="13"/>
            </w:pPr>
            <w:r>
              <w:t>县（区）2025年装配式农房建设试点户数</w:t>
            </w:r>
          </w:p>
        </w:tc>
        <w:tc>
          <w:tcPr>
            <w:tcW w:w="2268" w:type="dxa"/>
            <w:vAlign w:val="center"/>
          </w:tcPr>
          <w:p>
            <w:pPr>
              <w:pStyle w:val="13"/>
            </w:pPr>
            <w:r>
              <w:t>100户</w:t>
            </w:r>
          </w:p>
        </w:tc>
        <w:tc>
          <w:tcPr>
            <w:tcW w:w="1276" w:type="dxa"/>
            <w:vAlign w:val="center"/>
          </w:tcPr>
          <w:p>
            <w:pPr>
              <w:pStyle w:val="13"/>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补助户选用装配式建筑方式</w:t>
            </w:r>
          </w:p>
        </w:tc>
        <w:tc>
          <w:tcPr>
            <w:tcW w:w="5386" w:type="dxa"/>
            <w:vAlign w:val="center"/>
          </w:tcPr>
          <w:p>
            <w:pPr>
              <w:pStyle w:val="13"/>
            </w:pPr>
            <w:r>
              <w:t>装配式农村住房建设完成后验收合格率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当年建设完成占需建设完成的比例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补助装配式农房标准</w:t>
            </w:r>
          </w:p>
        </w:tc>
        <w:tc>
          <w:tcPr>
            <w:tcW w:w="5386" w:type="dxa"/>
            <w:vAlign w:val="center"/>
          </w:tcPr>
          <w:p>
            <w:pPr>
              <w:pStyle w:val="13"/>
            </w:pPr>
            <w:r>
              <w:t>对装配式农村住房建设示范户我区补助不得少于1万元</w:t>
            </w:r>
          </w:p>
        </w:tc>
        <w:tc>
          <w:tcPr>
            <w:tcW w:w="2268" w:type="dxa"/>
            <w:vAlign w:val="center"/>
          </w:tcPr>
          <w:p>
            <w:pPr>
              <w:pStyle w:val="13"/>
            </w:pPr>
            <w:r>
              <w:t>1万元/户</w:t>
            </w:r>
          </w:p>
        </w:tc>
        <w:tc>
          <w:tcPr>
            <w:tcW w:w="1276" w:type="dxa"/>
            <w:vAlign w:val="center"/>
          </w:tcPr>
          <w:p>
            <w:pPr>
              <w:pStyle w:val="13"/>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引导提高农房建设水平</w:t>
            </w:r>
          </w:p>
        </w:tc>
        <w:tc>
          <w:tcPr>
            <w:tcW w:w="5386" w:type="dxa"/>
            <w:vAlign w:val="center"/>
          </w:tcPr>
          <w:p>
            <w:pPr>
              <w:pStyle w:val="13"/>
            </w:pPr>
            <w:r>
              <w:t>引导提高农房建设水平</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新建装配式农村住房示范户满意度</w:t>
            </w:r>
          </w:p>
        </w:tc>
        <w:tc>
          <w:tcPr>
            <w:tcW w:w="2268" w:type="dxa"/>
            <w:vAlign w:val="center"/>
          </w:tcPr>
          <w:p>
            <w:pPr>
              <w:pStyle w:val="13"/>
            </w:pPr>
            <w:r>
              <w:t>≥90%</w:t>
            </w:r>
          </w:p>
        </w:tc>
        <w:tc>
          <w:tcPr>
            <w:tcW w:w="1276"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31、关于提前下达2025年中央大气污染防治资金（用于农村地区气代煤改造任务运行补贴）绩效目标表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13011025P00152610017H</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关于提前下达2025年中央大气污染防治资金（用于农村地区气代煤改造任务运行补贴）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351.00</w:t>
            </w:r>
          </w:p>
        </w:tc>
        <w:tc>
          <w:tcPr>
            <w:tcW w:w="2835" w:type="dxa"/>
            <w:vAlign w:val="center"/>
          </w:tcPr>
          <w:p>
            <w:pPr>
              <w:pStyle w:val="11"/>
            </w:pPr>
            <w:r>
              <w:t>其中：财政    资金</w:t>
            </w:r>
          </w:p>
        </w:tc>
        <w:tc>
          <w:tcPr>
            <w:tcW w:w="2551" w:type="dxa"/>
            <w:vAlign w:val="center"/>
          </w:tcPr>
          <w:p>
            <w:pPr>
              <w:pStyle w:val="13"/>
            </w:pPr>
            <w:r>
              <w:t>351.00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采暖季后对农村双代用户进行补贴，鼓励农户使用清洁能源取暖，减轻农户采暖费用，有效减少大气污染物排放。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2017年区区双代运行补贴户数</w:t>
            </w:r>
          </w:p>
        </w:tc>
        <w:tc>
          <w:tcPr>
            <w:tcW w:w="2268" w:type="dxa"/>
            <w:vAlign w:val="center"/>
          </w:tcPr>
          <w:p>
            <w:pPr>
              <w:pStyle w:val="13"/>
            </w:pPr>
            <w:r>
              <w:t>≤82082户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相关企业提供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2017年度煤改气用户发放2025-2026年天然气用户均补贴标准</w:t>
            </w:r>
          </w:p>
        </w:tc>
        <w:tc>
          <w:tcPr>
            <w:tcW w:w="2268" w:type="dxa"/>
            <w:vAlign w:val="center"/>
          </w:tcPr>
          <w:p>
            <w:pPr>
              <w:pStyle w:val="13"/>
            </w:pPr>
            <w:r>
              <w:t>160元/户</w:t>
            </w:r>
          </w:p>
        </w:tc>
        <w:tc>
          <w:tcPr>
            <w:tcW w:w="1276" w:type="dxa"/>
            <w:vAlign w:val="center"/>
          </w:tcPr>
          <w:p>
            <w:pPr>
              <w:pStyle w:val="13"/>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2017年度煤改电用户发放2025-2026年煤改电用户均补贴标准</w:t>
            </w:r>
          </w:p>
        </w:tc>
        <w:tc>
          <w:tcPr>
            <w:tcW w:w="2268" w:type="dxa"/>
            <w:vAlign w:val="center"/>
          </w:tcPr>
          <w:p>
            <w:pPr>
              <w:pStyle w:val="13"/>
            </w:pPr>
            <w:r>
              <w:t>200元/户</w:t>
            </w:r>
          </w:p>
        </w:tc>
        <w:tc>
          <w:tcPr>
            <w:tcW w:w="1276" w:type="dxa"/>
            <w:vAlign w:val="center"/>
          </w:tcPr>
          <w:p>
            <w:pPr>
              <w:pStyle w:val="13"/>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2017年双代补贴户数</w:t>
            </w:r>
          </w:p>
        </w:tc>
        <w:tc>
          <w:tcPr>
            <w:tcW w:w="2268" w:type="dxa"/>
            <w:vAlign w:val="center"/>
          </w:tcPr>
          <w:p>
            <w:pPr>
              <w:pStyle w:val="13"/>
            </w:pPr>
            <w:r>
              <w:t>82082户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2017年双代补贴户数</w:t>
            </w:r>
          </w:p>
        </w:tc>
        <w:tc>
          <w:tcPr>
            <w:tcW w:w="2268" w:type="dxa"/>
            <w:vAlign w:val="center"/>
          </w:tcPr>
          <w:p>
            <w:pPr>
              <w:pStyle w:val="13"/>
            </w:pPr>
            <w:r>
              <w:t>根据石财建【2021】77号文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32、关于提前下达2025年中央大气污染防治资金（用于区级承担补贴资金）绩效目标表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13011025P001526100204</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关于提前下达2025年中央大气污染防治资金（用于区级承担补贴资金）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333.00</w:t>
            </w:r>
          </w:p>
        </w:tc>
        <w:tc>
          <w:tcPr>
            <w:tcW w:w="2835" w:type="dxa"/>
            <w:vAlign w:val="center"/>
          </w:tcPr>
          <w:p>
            <w:pPr>
              <w:pStyle w:val="11"/>
            </w:pPr>
            <w:r>
              <w:t>其中：财政    资金</w:t>
            </w:r>
          </w:p>
        </w:tc>
        <w:tc>
          <w:tcPr>
            <w:tcW w:w="2551" w:type="dxa"/>
            <w:vAlign w:val="center"/>
          </w:tcPr>
          <w:p>
            <w:pPr>
              <w:pStyle w:val="13"/>
            </w:pPr>
            <w:r>
              <w:t>333.00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采暖季后对农村双代用户进行补贴，鼓励农户使用清洁能源取暖，减轻农户采暖费用，有效减少大气污染物排放。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2016、2017年区区双代运行补贴户数</w:t>
            </w:r>
          </w:p>
        </w:tc>
        <w:tc>
          <w:tcPr>
            <w:tcW w:w="2268" w:type="dxa"/>
            <w:vAlign w:val="center"/>
          </w:tcPr>
          <w:p>
            <w:pPr>
              <w:pStyle w:val="13"/>
            </w:pPr>
            <w:r>
              <w:t>≤85619户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相关企业提供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2016、2017年度煤改气用户发放2025-2026年天然气用户均补贴标准</w:t>
            </w:r>
          </w:p>
        </w:tc>
        <w:tc>
          <w:tcPr>
            <w:tcW w:w="2268" w:type="dxa"/>
            <w:vAlign w:val="center"/>
          </w:tcPr>
          <w:p>
            <w:pPr>
              <w:pStyle w:val="13"/>
            </w:pPr>
            <w:r>
              <w:t>160元/户</w:t>
            </w:r>
          </w:p>
        </w:tc>
        <w:tc>
          <w:tcPr>
            <w:tcW w:w="1276" w:type="dxa"/>
            <w:vAlign w:val="center"/>
          </w:tcPr>
          <w:p>
            <w:pPr>
              <w:pStyle w:val="13"/>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2016、2017年度煤改电用户发放2025-2026年煤改电用户均补贴标准</w:t>
            </w:r>
          </w:p>
        </w:tc>
        <w:tc>
          <w:tcPr>
            <w:tcW w:w="2268" w:type="dxa"/>
            <w:vAlign w:val="center"/>
          </w:tcPr>
          <w:p>
            <w:pPr>
              <w:pStyle w:val="13"/>
            </w:pPr>
            <w:r>
              <w:t>200元/户</w:t>
            </w:r>
          </w:p>
        </w:tc>
        <w:tc>
          <w:tcPr>
            <w:tcW w:w="1276" w:type="dxa"/>
            <w:vAlign w:val="center"/>
          </w:tcPr>
          <w:p>
            <w:pPr>
              <w:pStyle w:val="13"/>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2016、2017年双代补贴户数</w:t>
            </w:r>
          </w:p>
        </w:tc>
        <w:tc>
          <w:tcPr>
            <w:tcW w:w="2268" w:type="dxa"/>
            <w:vAlign w:val="center"/>
          </w:tcPr>
          <w:p>
            <w:pPr>
              <w:pStyle w:val="13"/>
            </w:pPr>
            <w:r>
              <w:t>85619户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2016、2017年双代补贴户数</w:t>
            </w:r>
          </w:p>
        </w:tc>
        <w:tc>
          <w:tcPr>
            <w:tcW w:w="2268" w:type="dxa"/>
            <w:vAlign w:val="center"/>
          </w:tcPr>
          <w:p>
            <w:pPr>
              <w:pStyle w:val="13"/>
            </w:pPr>
            <w:r>
              <w:t>根据石财建【2021】77号文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33、关于提前下达2025年中央大气污染防治资金（用于市级承担补贴资金）绩效目标表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13011025P00152610019Q</w:t>
            </w:r>
          </w:p>
        </w:tc>
        <w:tc>
          <w:tcPr>
            <w:tcW w:w="2835" w:type="dxa"/>
            <w:vAlign w:val="center"/>
          </w:tcPr>
          <w:p>
            <w:pPr>
              <w:pStyle w:val="11"/>
            </w:pPr>
            <w:r>
              <w:t>项目名称</w:t>
            </w:r>
          </w:p>
        </w:tc>
        <w:tc>
          <w:tcPr>
            <w:tcW w:w="6095" w:type="dxa"/>
            <w:gridSpan w:val="3"/>
            <w:vAlign w:val="center"/>
          </w:tcPr>
          <w:p>
            <w:pPr>
              <w:pStyle w:val="13"/>
            </w:pPr>
            <w:r>
              <w:t>关于提前下达2025年中央大气污染防治资金（用于市级承担补贴资金）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466.00</w:t>
            </w:r>
          </w:p>
        </w:tc>
        <w:tc>
          <w:tcPr>
            <w:tcW w:w="2835" w:type="dxa"/>
            <w:vAlign w:val="center"/>
          </w:tcPr>
          <w:p>
            <w:pPr>
              <w:pStyle w:val="11"/>
            </w:pPr>
            <w:r>
              <w:t>其中：财政    资金</w:t>
            </w:r>
          </w:p>
        </w:tc>
        <w:tc>
          <w:tcPr>
            <w:tcW w:w="2551" w:type="dxa"/>
            <w:vAlign w:val="center"/>
          </w:tcPr>
          <w:p>
            <w:pPr>
              <w:pStyle w:val="13"/>
            </w:pPr>
            <w:r>
              <w:t>466.00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采暖季后对农村双代用户进行补贴，鼓励农户使用清洁能源取暖，减轻农户采暖费用，有效减少大气污染物排放。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1.采暖季后对农村双代用户进行补贴，鼓励农户使用清洁能源取暖，减轻农户采暖费用，有效减少大气污染物排放。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2016、2017年区区双代运行补贴户数</w:t>
            </w:r>
          </w:p>
        </w:tc>
        <w:tc>
          <w:tcPr>
            <w:tcW w:w="2268" w:type="dxa"/>
            <w:vAlign w:val="center"/>
          </w:tcPr>
          <w:p>
            <w:pPr>
              <w:pStyle w:val="13"/>
            </w:pPr>
            <w:r>
              <w:t>≤85619户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相关企业提供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2016、2017年度煤改气用户发放2025-2026年天然气用户均补贴标准</w:t>
            </w:r>
          </w:p>
        </w:tc>
        <w:tc>
          <w:tcPr>
            <w:tcW w:w="2268" w:type="dxa"/>
            <w:vAlign w:val="center"/>
          </w:tcPr>
          <w:p>
            <w:pPr>
              <w:pStyle w:val="13"/>
            </w:pPr>
            <w:r>
              <w:t>160元/户</w:t>
            </w:r>
          </w:p>
        </w:tc>
        <w:tc>
          <w:tcPr>
            <w:tcW w:w="1276" w:type="dxa"/>
            <w:vAlign w:val="center"/>
          </w:tcPr>
          <w:p>
            <w:pPr>
              <w:pStyle w:val="13"/>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2016、2017年度煤改电用户发放2025-2026年煤改电用户均补贴标准</w:t>
            </w:r>
          </w:p>
        </w:tc>
        <w:tc>
          <w:tcPr>
            <w:tcW w:w="2268" w:type="dxa"/>
            <w:vAlign w:val="center"/>
          </w:tcPr>
          <w:p>
            <w:pPr>
              <w:pStyle w:val="13"/>
            </w:pPr>
            <w:r>
              <w:t>200元/户</w:t>
            </w:r>
          </w:p>
        </w:tc>
        <w:tc>
          <w:tcPr>
            <w:tcW w:w="1276" w:type="dxa"/>
            <w:vAlign w:val="center"/>
          </w:tcPr>
          <w:p>
            <w:pPr>
              <w:pStyle w:val="13"/>
            </w:pPr>
            <w:r>
              <w:t>石财建【2021】77号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2016、2017年双代补贴户数</w:t>
            </w:r>
          </w:p>
        </w:tc>
        <w:tc>
          <w:tcPr>
            <w:tcW w:w="2268" w:type="dxa"/>
            <w:vAlign w:val="center"/>
          </w:tcPr>
          <w:p>
            <w:pPr>
              <w:pStyle w:val="13"/>
            </w:pPr>
            <w:r>
              <w:t>85619户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2016、2017年双代补贴户数</w:t>
            </w:r>
          </w:p>
        </w:tc>
        <w:tc>
          <w:tcPr>
            <w:tcW w:w="2268" w:type="dxa"/>
            <w:vAlign w:val="center"/>
          </w:tcPr>
          <w:p>
            <w:pPr>
              <w:pStyle w:val="13"/>
            </w:pPr>
            <w:r>
              <w:t>根据石财建【2021】77号文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34、关于下达2024年第十批新增政府债券资金（棚户区改造）绩效目标表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13011024P00000110444W</w:t>
            </w:r>
          </w:p>
        </w:tc>
        <w:tc>
          <w:tcPr>
            <w:tcW w:w="2835" w:type="dxa"/>
            <w:vAlign w:val="center"/>
          </w:tcPr>
          <w:p>
            <w:pPr>
              <w:pStyle w:val="11"/>
            </w:pPr>
            <w:r>
              <w:t>项目名称</w:t>
            </w:r>
          </w:p>
        </w:tc>
        <w:tc>
          <w:tcPr>
            <w:tcW w:w="6095" w:type="dxa"/>
            <w:gridSpan w:val="3"/>
            <w:vAlign w:val="center"/>
          </w:tcPr>
          <w:p>
            <w:pPr>
              <w:pStyle w:val="13"/>
            </w:pPr>
            <w:r>
              <w:t>关于下达2024年第十批新增政府债券资金（棚户区改造）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按时完成鹿泉区车站区域集中安置棚户区改造项目用地面积为29485.36平方米，改善居民居住环境。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35、关于下达2024年第五批新增政府债券资金（棚户区改造）绩效目标表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13011024P000001104174</w:t>
            </w:r>
          </w:p>
        </w:tc>
        <w:tc>
          <w:tcPr>
            <w:tcW w:w="2835" w:type="dxa"/>
            <w:vAlign w:val="center"/>
          </w:tcPr>
          <w:p>
            <w:pPr>
              <w:pStyle w:val="11"/>
            </w:pPr>
            <w:r>
              <w:t>项目名称</w:t>
            </w:r>
          </w:p>
        </w:tc>
        <w:tc>
          <w:tcPr>
            <w:tcW w:w="6095" w:type="dxa"/>
            <w:gridSpan w:val="3"/>
            <w:vAlign w:val="center"/>
          </w:tcPr>
          <w:p>
            <w:pPr>
              <w:pStyle w:val="13"/>
            </w:pPr>
            <w:r>
              <w:t>关于下达2024年第五批新增政府债券资金（棚户区改造）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395.00</w:t>
            </w:r>
          </w:p>
        </w:tc>
        <w:tc>
          <w:tcPr>
            <w:tcW w:w="2835" w:type="dxa"/>
            <w:vAlign w:val="center"/>
          </w:tcPr>
          <w:p>
            <w:pPr>
              <w:pStyle w:val="11"/>
            </w:pPr>
            <w:r>
              <w:t>其中：财政    资金</w:t>
            </w:r>
          </w:p>
        </w:tc>
        <w:tc>
          <w:tcPr>
            <w:tcW w:w="2551" w:type="dxa"/>
            <w:vAlign w:val="center"/>
          </w:tcPr>
          <w:p>
            <w:pPr>
              <w:pStyle w:val="13"/>
            </w:pPr>
            <w:r>
              <w:t>395.00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按时完成鹿泉区车站区域集中安置棚户区改造项目用地面积为29485.36平方米，改善居民居住环境。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36、关于下达2024年省级乡村振兴专项资金（装配式农房建设）绩效目标表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13011024P000001104729</w:t>
            </w:r>
          </w:p>
        </w:tc>
        <w:tc>
          <w:tcPr>
            <w:tcW w:w="2835" w:type="dxa"/>
            <w:vAlign w:val="center"/>
          </w:tcPr>
          <w:p>
            <w:pPr>
              <w:pStyle w:val="11"/>
            </w:pPr>
            <w:r>
              <w:t>项目名称</w:t>
            </w:r>
          </w:p>
        </w:tc>
        <w:tc>
          <w:tcPr>
            <w:tcW w:w="6095" w:type="dxa"/>
            <w:gridSpan w:val="3"/>
            <w:vAlign w:val="center"/>
          </w:tcPr>
          <w:p>
            <w:pPr>
              <w:pStyle w:val="13"/>
            </w:pPr>
            <w:r>
              <w:t>关于下达2024年省级乡村振兴专项资金（装配式农房建设）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w:t>
            </w:r>
          </w:p>
        </w:tc>
        <w:tc>
          <w:tcPr>
            <w:tcW w:w="2835" w:type="dxa"/>
            <w:vAlign w:val="center"/>
          </w:tcPr>
          <w:p>
            <w:pPr>
              <w:pStyle w:val="11"/>
            </w:pPr>
            <w:r>
              <w:t>其中：财政    资金</w:t>
            </w:r>
          </w:p>
        </w:tc>
        <w:tc>
          <w:tcPr>
            <w:tcW w:w="2551" w:type="dxa"/>
            <w:vAlign w:val="center"/>
          </w:tcPr>
          <w:p>
            <w:pPr>
              <w:pStyle w:val="13"/>
            </w:pPr>
            <w:r>
              <w:t>10.50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补助的装配式农房数量</w:t>
            </w:r>
          </w:p>
        </w:tc>
        <w:tc>
          <w:tcPr>
            <w:tcW w:w="5386" w:type="dxa"/>
            <w:vAlign w:val="center"/>
          </w:tcPr>
          <w:p>
            <w:pPr>
              <w:pStyle w:val="13"/>
            </w:pPr>
            <w:r>
              <w:t>县（区）2024年装配式农房建设试点户数</w:t>
            </w:r>
          </w:p>
        </w:tc>
        <w:tc>
          <w:tcPr>
            <w:tcW w:w="2268" w:type="dxa"/>
            <w:vAlign w:val="center"/>
          </w:tcPr>
          <w:p>
            <w:pPr>
              <w:pStyle w:val="13"/>
            </w:pPr>
            <w:r>
              <w:t>11户</w:t>
            </w:r>
          </w:p>
        </w:tc>
        <w:tc>
          <w:tcPr>
            <w:tcW w:w="1276" w:type="dxa"/>
            <w:vAlign w:val="center"/>
          </w:tcPr>
          <w:p>
            <w:pPr>
              <w:pStyle w:val="13"/>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补助户选用装配式建筑方式</w:t>
            </w:r>
          </w:p>
        </w:tc>
        <w:tc>
          <w:tcPr>
            <w:tcW w:w="5386" w:type="dxa"/>
            <w:vAlign w:val="center"/>
          </w:tcPr>
          <w:p>
            <w:pPr>
              <w:pStyle w:val="13"/>
            </w:pPr>
            <w:r>
              <w:t>装配式农村住房建设完成后验收合格率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当年建设完成占需建设完成的比例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补助装配式农房标准</w:t>
            </w:r>
          </w:p>
        </w:tc>
        <w:tc>
          <w:tcPr>
            <w:tcW w:w="5386" w:type="dxa"/>
            <w:vAlign w:val="center"/>
          </w:tcPr>
          <w:p>
            <w:pPr>
              <w:pStyle w:val="13"/>
            </w:pPr>
            <w:r>
              <w:t>对装配式农村住房建设示范户我区补助不得少于1万元</w:t>
            </w:r>
          </w:p>
        </w:tc>
        <w:tc>
          <w:tcPr>
            <w:tcW w:w="2268" w:type="dxa"/>
            <w:vAlign w:val="center"/>
          </w:tcPr>
          <w:p>
            <w:pPr>
              <w:pStyle w:val="13"/>
            </w:pPr>
            <w:r>
              <w:t>1万元/户</w:t>
            </w:r>
          </w:p>
        </w:tc>
        <w:tc>
          <w:tcPr>
            <w:tcW w:w="1276" w:type="dxa"/>
            <w:vAlign w:val="center"/>
          </w:tcPr>
          <w:p>
            <w:pPr>
              <w:pStyle w:val="13"/>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引导提高农房建设水平</w:t>
            </w:r>
          </w:p>
        </w:tc>
        <w:tc>
          <w:tcPr>
            <w:tcW w:w="5386" w:type="dxa"/>
            <w:vAlign w:val="center"/>
          </w:tcPr>
          <w:p>
            <w:pPr>
              <w:pStyle w:val="13"/>
            </w:pPr>
            <w:r>
              <w:t>引导提高农房建设水平</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新建装配式农村住房示范户满意度</w:t>
            </w:r>
          </w:p>
        </w:tc>
        <w:tc>
          <w:tcPr>
            <w:tcW w:w="2268" w:type="dxa"/>
            <w:vAlign w:val="center"/>
          </w:tcPr>
          <w:p>
            <w:pPr>
              <w:pStyle w:val="13"/>
            </w:pPr>
            <w:r>
              <w:t>≥90%</w:t>
            </w:r>
          </w:p>
        </w:tc>
        <w:tc>
          <w:tcPr>
            <w:tcW w:w="1276"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37、关于下达中央大气污染防治资金预算绩效目标表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13011024P001526100219</w:t>
            </w:r>
          </w:p>
        </w:tc>
        <w:tc>
          <w:tcPr>
            <w:tcW w:w="2835" w:type="dxa"/>
            <w:vAlign w:val="center"/>
          </w:tcPr>
          <w:p>
            <w:pPr>
              <w:pStyle w:val="11"/>
            </w:pPr>
            <w:r>
              <w:t>项目名称</w:t>
            </w:r>
          </w:p>
        </w:tc>
        <w:tc>
          <w:tcPr>
            <w:tcW w:w="6095" w:type="dxa"/>
            <w:gridSpan w:val="3"/>
            <w:vAlign w:val="center"/>
          </w:tcPr>
          <w:p>
            <w:pPr>
              <w:pStyle w:val="13"/>
            </w:pPr>
            <w:r>
              <w:t>关于下达中央大气污染防治资金预算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362.00</w:t>
            </w:r>
          </w:p>
        </w:tc>
        <w:tc>
          <w:tcPr>
            <w:tcW w:w="2835" w:type="dxa"/>
            <w:vAlign w:val="center"/>
          </w:tcPr>
          <w:p>
            <w:pPr>
              <w:pStyle w:val="11"/>
            </w:pPr>
            <w:r>
              <w:t>其中：财政    资金</w:t>
            </w:r>
          </w:p>
        </w:tc>
        <w:tc>
          <w:tcPr>
            <w:tcW w:w="2551" w:type="dxa"/>
            <w:vAlign w:val="center"/>
          </w:tcPr>
          <w:p>
            <w:pPr>
              <w:pStyle w:val="13"/>
            </w:pPr>
            <w:r>
              <w:t>362.00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区级双代运行补贴户数</w:t>
            </w:r>
          </w:p>
        </w:tc>
        <w:tc>
          <w:tcPr>
            <w:tcW w:w="2268" w:type="dxa"/>
            <w:vAlign w:val="center"/>
          </w:tcPr>
          <w:p>
            <w:pPr>
              <w:pStyle w:val="13"/>
            </w:pPr>
            <w:r>
              <w:t>≤84948户</w:t>
            </w:r>
          </w:p>
        </w:tc>
        <w:tc>
          <w:tcPr>
            <w:tcW w:w="1276" w:type="dxa"/>
            <w:vAlign w:val="center"/>
          </w:tcPr>
          <w:p>
            <w:pPr>
              <w:pStyle w:val="13"/>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煤改气用户发放2024-2025年天然气用户均补贴标准</w:t>
            </w:r>
          </w:p>
        </w:tc>
        <w:tc>
          <w:tcPr>
            <w:tcW w:w="2268" w:type="dxa"/>
            <w:vAlign w:val="center"/>
          </w:tcPr>
          <w:p>
            <w:pPr>
              <w:pStyle w:val="13"/>
            </w:pPr>
            <w:r>
              <w:t>20.5元/户</w:t>
            </w:r>
          </w:p>
        </w:tc>
        <w:tc>
          <w:tcPr>
            <w:tcW w:w="1276" w:type="dxa"/>
            <w:vAlign w:val="center"/>
          </w:tcPr>
          <w:p>
            <w:pPr>
              <w:pStyle w:val="13"/>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煤改电用户发放2024-2025年煤改电用户均补贴标准</w:t>
            </w:r>
          </w:p>
        </w:tc>
        <w:tc>
          <w:tcPr>
            <w:tcW w:w="2268" w:type="dxa"/>
            <w:vAlign w:val="center"/>
          </w:tcPr>
          <w:p>
            <w:pPr>
              <w:pStyle w:val="13"/>
            </w:pPr>
            <w:r>
              <w:t>10元/户</w:t>
            </w:r>
          </w:p>
        </w:tc>
        <w:tc>
          <w:tcPr>
            <w:tcW w:w="1276" w:type="dxa"/>
            <w:vAlign w:val="center"/>
          </w:tcPr>
          <w:p>
            <w:pPr>
              <w:pStyle w:val="13"/>
            </w:pPr>
            <w:r>
              <w:t>石财城【2024】56号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双代补贴户数</w:t>
            </w:r>
          </w:p>
        </w:tc>
        <w:tc>
          <w:tcPr>
            <w:tcW w:w="2268" w:type="dxa"/>
            <w:vAlign w:val="center"/>
          </w:tcPr>
          <w:p>
            <w:pPr>
              <w:pStyle w:val="13"/>
            </w:pPr>
            <w:r>
              <w:t>84948户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双代补贴户数</w:t>
            </w:r>
          </w:p>
        </w:tc>
        <w:tc>
          <w:tcPr>
            <w:tcW w:w="2268" w:type="dxa"/>
            <w:vAlign w:val="center"/>
          </w:tcPr>
          <w:p>
            <w:pPr>
              <w:pStyle w:val="13"/>
            </w:pPr>
            <w:r>
              <w:t>根据石财城【2024】56号</w:t>
            </w:r>
          </w:p>
          <w:p>
            <w:pPr>
              <w:pStyle w:val="13"/>
            </w:pPr>
            <w:r>
              <w:t>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38、鹿泉区车站区域基础设施综合建设工程项目绩效目标表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13011022P00287010003P</w:t>
            </w:r>
          </w:p>
        </w:tc>
        <w:tc>
          <w:tcPr>
            <w:tcW w:w="2835" w:type="dxa"/>
            <w:vAlign w:val="center"/>
          </w:tcPr>
          <w:p>
            <w:pPr>
              <w:pStyle w:val="11"/>
            </w:pPr>
            <w:r>
              <w:t>项目名称</w:t>
            </w:r>
          </w:p>
        </w:tc>
        <w:tc>
          <w:tcPr>
            <w:tcW w:w="6095" w:type="dxa"/>
            <w:gridSpan w:val="3"/>
            <w:vAlign w:val="center"/>
          </w:tcPr>
          <w:p>
            <w:pPr>
              <w:pStyle w:val="13"/>
            </w:pPr>
            <w:r>
              <w:t>鹿泉区车站区域基础设施综合建设工程项目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2800.00</w:t>
            </w:r>
          </w:p>
        </w:tc>
        <w:tc>
          <w:tcPr>
            <w:tcW w:w="2835" w:type="dxa"/>
            <w:vAlign w:val="center"/>
          </w:tcPr>
          <w:p>
            <w:pPr>
              <w:pStyle w:val="11"/>
            </w:pPr>
            <w:r>
              <w:t>其中：财政    资金</w:t>
            </w:r>
          </w:p>
        </w:tc>
        <w:tc>
          <w:tcPr>
            <w:tcW w:w="2551" w:type="dxa"/>
            <w:vAlign w:val="center"/>
          </w:tcPr>
          <w:p>
            <w:pPr>
              <w:pStyle w:val="13"/>
            </w:pPr>
            <w:r>
              <w:t>2800.00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按时完成鹿泉区车站区域基础设施综合建设项目用地面积为5384.68平方米，改善站前街附近居民的便民服务基础设施。</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基础设施项目用地面积</w:t>
            </w:r>
          </w:p>
        </w:tc>
        <w:tc>
          <w:tcPr>
            <w:tcW w:w="5386" w:type="dxa"/>
            <w:vAlign w:val="center"/>
          </w:tcPr>
          <w:p>
            <w:pPr>
              <w:pStyle w:val="13"/>
            </w:pPr>
            <w:r>
              <w:t>基础设施项目用地面积5384.68平方米</w:t>
            </w:r>
          </w:p>
        </w:tc>
        <w:tc>
          <w:tcPr>
            <w:tcW w:w="2268" w:type="dxa"/>
            <w:vAlign w:val="center"/>
          </w:tcPr>
          <w:p>
            <w:pPr>
              <w:pStyle w:val="13"/>
            </w:pPr>
            <w:r>
              <w:t>5384.68平方米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基础设施项目完成率</w:t>
            </w:r>
          </w:p>
        </w:tc>
        <w:tc>
          <w:tcPr>
            <w:tcW w:w="5386" w:type="dxa"/>
            <w:vAlign w:val="center"/>
          </w:tcPr>
          <w:p>
            <w:pPr>
              <w:pStyle w:val="13"/>
            </w:pPr>
            <w:r>
              <w:t>基础设施项目完成率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基础设施项目按时完成率</w:t>
            </w:r>
          </w:p>
        </w:tc>
        <w:tc>
          <w:tcPr>
            <w:tcW w:w="5386" w:type="dxa"/>
            <w:vAlign w:val="center"/>
          </w:tcPr>
          <w:p>
            <w:pPr>
              <w:pStyle w:val="13"/>
            </w:pPr>
            <w:r>
              <w:t>基础设施项目按时完成率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基础设施项目成本</w:t>
            </w:r>
          </w:p>
        </w:tc>
        <w:tc>
          <w:tcPr>
            <w:tcW w:w="5386" w:type="dxa"/>
            <w:vAlign w:val="center"/>
          </w:tcPr>
          <w:p>
            <w:pPr>
              <w:pStyle w:val="13"/>
            </w:pPr>
            <w:r>
              <w:t>基础设施项目部分成本</w:t>
            </w:r>
          </w:p>
        </w:tc>
        <w:tc>
          <w:tcPr>
            <w:tcW w:w="2268" w:type="dxa"/>
            <w:vAlign w:val="center"/>
          </w:tcPr>
          <w:p>
            <w:pPr>
              <w:pStyle w:val="13"/>
            </w:pPr>
            <w:r>
              <w:t>5000万元</w:t>
            </w:r>
          </w:p>
        </w:tc>
        <w:tc>
          <w:tcPr>
            <w:tcW w:w="1276" w:type="dxa"/>
            <w:vAlign w:val="center"/>
          </w:tcPr>
          <w:p>
            <w:pPr>
              <w:pStyle w:val="13"/>
            </w:pPr>
            <w:r>
              <w:t>预算调剂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基础设施项目长期使用性</w:t>
            </w:r>
          </w:p>
        </w:tc>
        <w:tc>
          <w:tcPr>
            <w:tcW w:w="5386" w:type="dxa"/>
            <w:vAlign w:val="center"/>
          </w:tcPr>
          <w:p>
            <w:pPr>
              <w:pStyle w:val="13"/>
            </w:pPr>
            <w:r>
              <w:t>基础设施项目长期使用性</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基础设施项目受益户数</w:t>
            </w:r>
          </w:p>
        </w:tc>
        <w:tc>
          <w:tcPr>
            <w:tcW w:w="5386" w:type="dxa"/>
            <w:vAlign w:val="center"/>
          </w:tcPr>
          <w:p>
            <w:pPr>
              <w:pStyle w:val="13"/>
            </w:pPr>
            <w:r>
              <w:t>基础设施项目社会效益受益户数</w:t>
            </w:r>
          </w:p>
        </w:tc>
        <w:tc>
          <w:tcPr>
            <w:tcW w:w="2268" w:type="dxa"/>
            <w:vAlign w:val="center"/>
          </w:tcPr>
          <w:p>
            <w:pPr>
              <w:pStyle w:val="13"/>
            </w:pPr>
            <w:r>
              <w:t>≥100户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基础设施项目群众满意度数量满意占比</w:t>
            </w:r>
          </w:p>
        </w:tc>
        <w:tc>
          <w:tcPr>
            <w:tcW w:w="2268" w:type="dxa"/>
            <w:vAlign w:val="center"/>
          </w:tcPr>
          <w:p>
            <w:pPr>
              <w:pStyle w:val="13"/>
            </w:pPr>
            <w:r>
              <w:t>≥95%</w:t>
            </w:r>
          </w:p>
        </w:tc>
        <w:tc>
          <w:tcPr>
            <w:tcW w:w="1276" w:type="dxa"/>
            <w:vAlign w:val="center"/>
          </w:tcPr>
          <w:p>
            <w:pPr>
              <w:pStyle w:val="13"/>
            </w:pPr>
            <w:r>
              <w:t>随机调查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39、石家庄市鹿泉区2022年老旧小区改造主体改造项目（专项债券）绩效目标表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13011022P00252910002U</w:t>
            </w:r>
          </w:p>
        </w:tc>
        <w:tc>
          <w:tcPr>
            <w:tcW w:w="2835" w:type="dxa"/>
            <w:vAlign w:val="center"/>
          </w:tcPr>
          <w:p>
            <w:pPr>
              <w:pStyle w:val="11"/>
            </w:pPr>
            <w:r>
              <w:t>项目名称</w:t>
            </w:r>
          </w:p>
        </w:tc>
        <w:tc>
          <w:tcPr>
            <w:tcW w:w="6095" w:type="dxa"/>
            <w:gridSpan w:val="3"/>
            <w:vAlign w:val="center"/>
          </w:tcPr>
          <w:p>
            <w:pPr>
              <w:pStyle w:val="13"/>
            </w:pPr>
            <w:r>
              <w:t>石家庄市鹿泉区2022年老旧小区改造主体改造项目（专项债券）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412.90</w:t>
            </w:r>
          </w:p>
        </w:tc>
        <w:tc>
          <w:tcPr>
            <w:tcW w:w="2835" w:type="dxa"/>
            <w:vAlign w:val="center"/>
          </w:tcPr>
          <w:p>
            <w:pPr>
              <w:pStyle w:val="11"/>
            </w:pPr>
            <w:r>
              <w:t>其中：财政    资金</w:t>
            </w:r>
          </w:p>
        </w:tc>
        <w:tc>
          <w:tcPr>
            <w:tcW w:w="2551" w:type="dxa"/>
            <w:vAlign w:val="center"/>
          </w:tcPr>
          <w:p>
            <w:pPr>
              <w:pStyle w:val="13"/>
            </w:pPr>
            <w:r>
              <w:t>412.90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完成2022年37个老旧小区改造任务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主体改造项目小区数</w:t>
            </w:r>
          </w:p>
        </w:tc>
        <w:tc>
          <w:tcPr>
            <w:tcW w:w="5386" w:type="dxa"/>
            <w:vAlign w:val="center"/>
          </w:tcPr>
          <w:p>
            <w:pPr>
              <w:pStyle w:val="13"/>
            </w:pPr>
            <w:r>
              <w:t>2022年老旧小区改造主体改造项目符合改造要求的老旧小区37</w:t>
            </w:r>
          </w:p>
        </w:tc>
        <w:tc>
          <w:tcPr>
            <w:tcW w:w="2268" w:type="dxa"/>
            <w:vAlign w:val="center"/>
          </w:tcPr>
          <w:p>
            <w:pPr>
              <w:pStyle w:val="13"/>
            </w:pPr>
            <w:r>
              <w:t>37个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主体改造项目完成率</w:t>
            </w:r>
          </w:p>
        </w:tc>
        <w:tc>
          <w:tcPr>
            <w:tcW w:w="5386" w:type="dxa"/>
            <w:vAlign w:val="center"/>
          </w:tcPr>
          <w:p>
            <w:pPr>
              <w:pStyle w:val="13"/>
            </w:pPr>
            <w:r>
              <w:t>2022年老旧小区改造主体改造项目完成率</w:t>
            </w:r>
          </w:p>
        </w:tc>
        <w:tc>
          <w:tcPr>
            <w:tcW w:w="2268" w:type="dxa"/>
            <w:vAlign w:val="center"/>
          </w:tcPr>
          <w:p>
            <w:pPr>
              <w:pStyle w:val="13"/>
            </w:pPr>
            <w:r>
              <w:t>≥95%</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主体改造按时完成率</w:t>
            </w:r>
          </w:p>
        </w:tc>
        <w:tc>
          <w:tcPr>
            <w:tcW w:w="5386" w:type="dxa"/>
            <w:vAlign w:val="center"/>
          </w:tcPr>
          <w:p>
            <w:pPr>
              <w:pStyle w:val="13"/>
            </w:pPr>
            <w:r>
              <w:t>2022年老旧小区改造主体改造项目按时完成率</w:t>
            </w:r>
          </w:p>
        </w:tc>
        <w:tc>
          <w:tcPr>
            <w:tcW w:w="2268" w:type="dxa"/>
            <w:vAlign w:val="center"/>
          </w:tcPr>
          <w:p>
            <w:pPr>
              <w:pStyle w:val="13"/>
            </w:pPr>
            <w:r>
              <w:t>≥95%</w:t>
            </w:r>
          </w:p>
          <w:p>
            <w:pPr>
              <w:pStyle w:val="13"/>
            </w:pP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主体改造项目成本</w:t>
            </w:r>
          </w:p>
        </w:tc>
        <w:tc>
          <w:tcPr>
            <w:tcW w:w="5386" w:type="dxa"/>
            <w:vAlign w:val="center"/>
          </w:tcPr>
          <w:p>
            <w:pPr>
              <w:pStyle w:val="13"/>
            </w:pPr>
            <w:r>
              <w:t>2022年老旧小区改造主体改造项目总成本9244.76万元</w:t>
            </w:r>
          </w:p>
        </w:tc>
        <w:tc>
          <w:tcPr>
            <w:tcW w:w="2268" w:type="dxa"/>
            <w:vAlign w:val="center"/>
          </w:tcPr>
          <w:p>
            <w:pPr>
              <w:pStyle w:val="13"/>
            </w:pPr>
            <w:r>
              <w:t>7300万元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主体改造项目长期使用性</w:t>
            </w:r>
          </w:p>
        </w:tc>
        <w:tc>
          <w:tcPr>
            <w:tcW w:w="5386" w:type="dxa"/>
            <w:vAlign w:val="center"/>
          </w:tcPr>
          <w:p>
            <w:pPr>
              <w:pStyle w:val="13"/>
            </w:pPr>
            <w:r>
              <w:t>2022年老旧小区改造主体改造项目长期使用性</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主体改造项目受益户数</w:t>
            </w:r>
          </w:p>
        </w:tc>
        <w:tc>
          <w:tcPr>
            <w:tcW w:w="5386" w:type="dxa"/>
            <w:vAlign w:val="center"/>
          </w:tcPr>
          <w:p>
            <w:pPr>
              <w:pStyle w:val="13"/>
            </w:pPr>
            <w:r>
              <w:t>2022年老旧小区改造主体改造项目社会效益受益户数</w:t>
            </w:r>
          </w:p>
        </w:tc>
        <w:tc>
          <w:tcPr>
            <w:tcW w:w="2268" w:type="dxa"/>
            <w:vAlign w:val="center"/>
          </w:tcPr>
          <w:p>
            <w:pPr>
              <w:pStyle w:val="13"/>
            </w:pPr>
            <w:r>
              <w:t>2123户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主体改造项目群众满意度</w:t>
            </w:r>
          </w:p>
        </w:tc>
        <w:tc>
          <w:tcPr>
            <w:tcW w:w="5386" w:type="dxa"/>
            <w:vAlign w:val="center"/>
          </w:tcPr>
          <w:p>
            <w:pPr>
              <w:pStyle w:val="13"/>
            </w:pPr>
            <w:r>
              <w:t>2022年老旧小区改造主体改造项目群众满意度数量满意占比</w:t>
            </w:r>
          </w:p>
        </w:tc>
        <w:tc>
          <w:tcPr>
            <w:tcW w:w="2268" w:type="dxa"/>
            <w:vAlign w:val="center"/>
          </w:tcPr>
          <w:p>
            <w:pPr>
              <w:pStyle w:val="13"/>
            </w:pPr>
            <w:r>
              <w:t>≥95%</w:t>
            </w:r>
          </w:p>
          <w:p>
            <w:pPr>
              <w:pStyle w:val="13"/>
            </w:pPr>
          </w:p>
        </w:tc>
        <w:tc>
          <w:tcPr>
            <w:tcW w:w="1276" w:type="dxa"/>
            <w:vAlign w:val="center"/>
          </w:tcPr>
          <w:p>
            <w:pPr>
              <w:pStyle w:val="13"/>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40、石家庄西部上庄污水处理厂污水处理费（临时）绩效目标表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13011025P000001104618</w:t>
            </w:r>
          </w:p>
        </w:tc>
        <w:tc>
          <w:tcPr>
            <w:tcW w:w="2835" w:type="dxa"/>
            <w:vAlign w:val="center"/>
          </w:tcPr>
          <w:p>
            <w:pPr>
              <w:pStyle w:val="11"/>
            </w:pPr>
            <w:r>
              <w:t>项目名称</w:t>
            </w:r>
          </w:p>
        </w:tc>
        <w:tc>
          <w:tcPr>
            <w:tcW w:w="6095" w:type="dxa"/>
            <w:gridSpan w:val="3"/>
            <w:vAlign w:val="center"/>
          </w:tcPr>
          <w:p>
            <w:pPr>
              <w:pStyle w:val="13"/>
            </w:pPr>
            <w:r>
              <w:t>石家庄西部上庄污水处理厂污水处理费（临时）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294.05</w:t>
            </w:r>
          </w:p>
        </w:tc>
        <w:tc>
          <w:tcPr>
            <w:tcW w:w="2835" w:type="dxa"/>
            <w:vAlign w:val="center"/>
          </w:tcPr>
          <w:p>
            <w:pPr>
              <w:pStyle w:val="11"/>
            </w:pPr>
            <w:r>
              <w:t>其中：财政    资金</w:t>
            </w:r>
          </w:p>
        </w:tc>
        <w:tc>
          <w:tcPr>
            <w:tcW w:w="2551" w:type="dxa"/>
            <w:vAlign w:val="center"/>
          </w:tcPr>
          <w:p>
            <w:pPr>
              <w:pStyle w:val="13"/>
            </w:pPr>
            <w:r>
              <w:t>294.05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污水厂设备运转正常，处理水质达标排放。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污水处理质量标准</w:t>
            </w:r>
          </w:p>
        </w:tc>
        <w:tc>
          <w:tcPr>
            <w:tcW w:w="5386" w:type="dxa"/>
            <w:vAlign w:val="center"/>
          </w:tcPr>
          <w:p>
            <w:pPr>
              <w:pStyle w:val="13"/>
            </w:pPr>
            <w:r>
              <w:t>全年污水处理达标排放</w:t>
            </w:r>
          </w:p>
        </w:tc>
        <w:tc>
          <w:tcPr>
            <w:tcW w:w="2268" w:type="dxa"/>
            <w:vAlign w:val="center"/>
          </w:tcPr>
          <w:p>
            <w:pPr>
              <w:pStyle w:val="13"/>
            </w:pPr>
            <w:r>
              <w:t>IV类水标准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污水处理及时性</w:t>
            </w:r>
          </w:p>
        </w:tc>
        <w:tc>
          <w:tcPr>
            <w:tcW w:w="5386" w:type="dxa"/>
            <w:vAlign w:val="center"/>
          </w:tcPr>
          <w:p>
            <w:pPr>
              <w:pStyle w:val="13"/>
            </w:pPr>
            <w:r>
              <w:t>污水处理全年完成及时性</w:t>
            </w:r>
          </w:p>
        </w:tc>
        <w:tc>
          <w:tcPr>
            <w:tcW w:w="2268" w:type="dxa"/>
            <w:vAlign w:val="center"/>
          </w:tcPr>
          <w:p>
            <w:pPr>
              <w:pStyle w:val="13"/>
            </w:pPr>
            <w:r>
              <w:t>及时</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污水日处理量</w:t>
            </w:r>
          </w:p>
        </w:tc>
        <w:tc>
          <w:tcPr>
            <w:tcW w:w="5386" w:type="dxa"/>
            <w:vAlign w:val="center"/>
          </w:tcPr>
          <w:p>
            <w:pPr>
              <w:pStyle w:val="13"/>
            </w:pPr>
            <w:r>
              <w:t>污水日产量</w:t>
            </w:r>
          </w:p>
        </w:tc>
        <w:tc>
          <w:tcPr>
            <w:tcW w:w="2268" w:type="dxa"/>
            <w:vAlign w:val="center"/>
          </w:tcPr>
          <w:p>
            <w:pPr>
              <w:pStyle w:val="13"/>
            </w:pPr>
            <w:r>
              <w:t>≥5万/立方米</w:t>
            </w:r>
          </w:p>
        </w:tc>
        <w:tc>
          <w:tcPr>
            <w:tcW w:w="1276" w:type="dxa"/>
            <w:vAlign w:val="center"/>
          </w:tcPr>
          <w:p>
            <w:pPr>
              <w:pStyle w:val="13"/>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污水处理返还成本</w:t>
            </w:r>
          </w:p>
        </w:tc>
        <w:tc>
          <w:tcPr>
            <w:tcW w:w="5386" w:type="dxa"/>
            <w:vAlign w:val="center"/>
          </w:tcPr>
          <w:p>
            <w:pPr>
              <w:pStyle w:val="13"/>
            </w:pPr>
            <w:r>
              <w:t>每立方米处理标准</w:t>
            </w:r>
          </w:p>
        </w:tc>
        <w:tc>
          <w:tcPr>
            <w:tcW w:w="2268" w:type="dxa"/>
            <w:vAlign w:val="center"/>
          </w:tcPr>
          <w:p>
            <w:pPr>
              <w:pStyle w:val="13"/>
            </w:pPr>
            <w:r>
              <w:t>1.88元/立方米/天</w:t>
            </w:r>
          </w:p>
        </w:tc>
        <w:tc>
          <w:tcPr>
            <w:tcW w:w="1276" w:type="dxa"/>
            <w:vAlign w:val="center"/>
          </w:tcPr>
          <w:p>
            <w:pPr>
              <w:pStyle w:val="13"/>
            </w:pPr>
            <w:r>
              <w:t>水价调整实施意见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污水处理达标率</w:t>
            </w:r>
          </w:p>
        </w:tc>
        <w:tc>
          <w:tcPr>
            <w:tcW w:w="5386" w:type="dxa"/>
            <w:vAlign w:val="center"/>
          </w:tcPr>
          <w:p>
            <w:pPr>
              <w:pStyle w:val="13"/>
            </w:pPr>
            <w:r>
              <w:t>达标污水量占污水处理量的比例</w:t>
            </w:r>
          </w:p>
        </w:tc>
        <w:tc>
          <w:tcPr>
            <w:tcW w:w="2268" w:type="dxa"/>
            <w:vAlign w:val="center"/>
          </w:tcPr>
          <w:p>
            <w:pPr>
              <w:pStyle w:val="13"/>
            </w:pPr>
            <w:r>
              <w:t>≥100%</w:t>
            </w:r>
          </w:p>
        </w:tc>
        <w:tc>
          <w:tcPr>
            <w:tcW w:w="1276" w:type="dxa"/>
            <w:vAlign w:val="center"/>
          </w:tcPr>
          <w:p>
            <w:pPr>
              <w:pStyle w:val="13"/>
            </w:pPr>
            <w:r>
              <w:t>石政函【2016】23号文件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对环境影响</w:t>
            </w:r>
          </w:p>
        </w:tc>
        <w:tc>
          <w:tcPr>
            <w:tcW w:w="5386" w:type="dxa"/>
            <w:vAlign w:val="center"/>
          </w:tcPr>
          <w:p>
            <w:pPr>
              <w:pStyle w:val="13"/>
            </w:pPr>
            <w:r>
              <w:t>回收利用效果</w:t>
            </w:r>
          </w:p>
        </w:tc>
        <w:tc>
          <w:tcPr>
            <w:tcW w:w="2268" w:type="dxa"/>
            <w:vAlign w:val="center"/>
          </w:tcPr>
          <w:p>
            <w:pPr>
              <w:pStyle w:val="13"/>
            </w:pPr>
            <w:r>
              <w:t>污水处理后可再利用发电、绿化灌溉、洒水等。</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满意和较满意人数占被调查人数的比例</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41、提前下达2024年省级乡村振兴（农村人居环境整治）专项资金绩效目标表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13011024P00001210581P</w:t>
            </w:r>
          </w:p>
        </w:tc>
        <w:tc>
          <w:tcPr>
            <w:tcW w:w="2835" w:type="dxa"/>
            <w:vAlign w:val="center"/>
          </w:tcPr>
          <w:p>
            <w:pPr>
              <w:pStyle w:val="11"/>
            </w:pPr>
            <w:r>
              <w:t>项目名称</w:t>
            </w:r>
          </w:p>
        </w:tc>
        <w:tc>
          <w:tcPr>
            <w:tcW w:w="6095" w:type="dxa"/>
            <w:gridSpan w:val="3"/>
            <w:vAlign w:val="center"/>
          </w:tcPr>
          <w:p>
            <w:pPr>
              <w:pStyle w:val="13"/>
            </w:pPr>
            <w:r>
              <w:t>提前下达2024年省级乡村振兴（农村人居环境整治）专项资金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补助的装配式农房数量</w:t>
            </w:r>
          </w:p>
        </w:tc>
        <w:tc>
          <w:tcPr>
            <w:tcW w:w="5386" w:type="dxa"/>
            <w:vAlign w:val="center"/>
          </w:tcPr>
          <w:p>
            <w:pPr>
              <w:pStyle w:val="13"/>
            </w:pPr>
            <w:r>
              <w:t>县（区）2024年装配式农房建设试点户数</w:t>
            </w:r>
          </w:p>
        </w:tc>
        <w:tc>
          <w:tcPr>
            <w:tcW w:w="2268" w:type="dxa"/>
            <w:vAlign w:val="center"/>
          </w:tcPr>
          <w:p>
            <w:pPr>
              <w:pStyle w:val="13"/>
            </w:pPr>
            <w:r>
              <w:t>60户</w:t>
            </w:r>
          </w:p>
        </w:tc>
        <w:tc>
          <w:tcPr>
            <w:tcW w:w="1276" w:type="dxa"/>
            <w:vAlign w:val="center"/>
          </w:tcPr>
          <w:p>
            <w:pPr>
              <w:pStyle w:val="13"/>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补助户选用装配式建筑方式</w:t>
            </w:r>
          </w:p>
        </w:tc>
        <w:tc>
          <w:tcPr>
            <w:tcW w:w="5386" w:type="dxa"/>
            <w:vAlign w:val="center"/>
          </w:tcPr>
          <w:p>
            <w:pPr>
              <w:pStyle w:val="13"/>
            </w:pPr>
            <w:r>
              <w:t>装配式农村住房建设完成后验收合格率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当年建设完成占需建设完成的比例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补助装配式农房标准</w:t>
            </w:r>
          </w:p>
        </w:tc>
        <w:tc>
          <w:tcPr>
            <w:tcW w:w="5386" w:type="dxa"/>
            <w:vAlign w:val="center"/>
          </w:tcPr>
          <w:p>
            <w:pPr>
              <w:pStyle w:val="13"/>
            </w:pPr>
            <w:r>
              <w:t>对装配式农村住房建设示范户我区补助不得少于1万元</w:t>
            </w:r>
          </w:p>
        </w:tc>
        <w:tc>
          <w:tcPr>
            <w:tcW w:w="2268" w:type="dxa"/>
            <w:vAlign w:val="center"/>
          </w:tcPr>
          <w:p>
            <w:pPr>
              <w:pStyle w:val="13"/>
            </w:pPr>
            <w:r>
              <w:t>1万元/户</w:t>
            </w:r>
          </w:p>
        </w:tc>
        <w:tc>
          <w:tcPr>
            <w:tcW w:w="1276" w:type="dxa"/>
            <w:vAlign w:val="center"/>
          </w:tcPr>
          <w:p>
            <w:pPr>
              <w:pStyle w:val="13"/>
            </w:pPr>
            <w:r>
              <w:t>《石家庄市住房和城乡建设局关于进一步做好装配式农村住房建设试点工作的通知》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引导提高农房建设水平</w:t>
            </w:r>
          </w:p>
        </w:tc>
        <w:tc>
          <w:tcPr>
            <w:tcW w:w="5386" w:type="dxa"/>
            <w:vAlign w:val="center"/>
          </w:tcPr>
          <w:p>
            <w:pPr>
              <w:pStyle w:val="13"/>
            </w:pPr>
            <w:r>
              <w:t>引导提高农房建设水平</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新建装配式农村住房示范户满意度</w:t>
            </w:r>
          </w:p>
        </w:tc>
        <w:tc>
          <w:tcPr>
            <w:tcW w:w="2268" w:type="dxa"/>
            <w:vAlign w:val="center"/>
          </w:tcPr>
          <w:p>
            <w:pPr>
              <w:pStyle w:val="13"/>
            </w:pPr>
            <w:r>
              <w:t>≥90%</w:t>
            </w:r>
          </w:p>
        </w:tc>
        <w:tc>
          <w:tcPr>
            <w:tcW w:w="1276" w:type="dxa"/>
            <w:vAlign w:val="center"/>
          </w:tcPr>
          <w:p>
            <w:pPr>
              <w:pStyle w:val="13"/>
            </w:pPr>
            <w:r>
              <w:t>现场走访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42、下达2024年中央大气污染防治资金（农村地区清洁取暖运营补贴）绩效目标表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13011024P00000110395J</w:t>
            </w:r>
          </w:p>
        </w:tc>
        <w:tc>
          <w:tcPr>
            <w:tcW w:w="2835" w:type="dxa"/>
            <w:vAlign w:val="center"/>
          </w:tcPr>
          <w:p>
            <w:pPr>
              <w:pStyle w:val="11"/>
            </w:pPr>
            <w:r>
              <w:t>项目名称</w:t>
            </w:r>
          </w:p>
        </w:tc>
        <w:tc>
          <w:tcPr>
            <w:tcW w:w="6095" w:type="dxa"/>
            <w:gridSpan w:val="3"/>
            <w:vAlign w:val="center"/>
          </w:tcPr>
          <w:p>
            <w:pPr>
              <w:pStyle w:val="13"/>
            </w:pPr>
            <w:r>
              <w:t>下达2024年中央大气污染防治资金（农村地区清洁取暖运营补贴）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282.00</w:t>
            </w:r>
          </w:p>
        </w:tc>
        <w:tc>
          <w:tcPr>
            <w:tcW w:w="2835" w:type="dxa"/>
            <w:vAlign w:val="center"/>
          </w:tcPr>
          <w:p>
            <w:pPr>
              <w:pStyle w:val="11"/>
            </w:pPr>
            <w:r>
              <w:t>其中：财政    资金</w:t>
            </w:r>
          </w:p>
        </w:tc>
        <w:tc>
          <w:tcPr>
            <w:tcW w:w="2551" w:type="dxa"/>
            <w:vAlign w:val="center"/>
          </w:tcPr>
          <w:p>
            <w:pPr>
              <w:pStyle w:val="13"/>
            </w:pPr>
            <w:r>
              <w:t>282.00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区级双代运行补贴户数</w:t>
            </w:r>
          </w:p>
        </w:tc>
        <w:tc>
          <w:tcPr>
            <w:tcW w:w="2268" w:type="dxa"/>
            <w:vAlign w:val="center"/>
          </w:tcPr>
          <w:p>
            <w:pPr>
              <w:pStyle w:val="13"/>
            </w:pPr>
            <w:r>
              <w:t>≤84948户</w:t>
            </w:r>
          </w:p>
        </w:tc>
        <w:tc>
          <w:tcPr>
            <w:tcW w:w="1276" w:type="dxa"/>
            <w:vAlign w:val="center"/>
          </w:tcPr>
          <w:p>
            <w:pPr>
              <w:pStyle w:val="13"/>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煤改气用户发放2023-2024年天然气用户均补贴标准</w:t>
            </w:r>
          </w:p>
        </w:tc>
        <w:tc>
          <w:tcPr>
            <w:tcW w:w="2268" w:type="dxa"/>
            <w:vAlign w:val="center"/>
          </w:tcPr>
          <w:p>
            <w:pPr>
              <w:pStyle w:val="13"/>
            </w:pPr>
            <w:r>
              <w:t>20.5元/户</w:t>
            </w:r>
          </w:p>
        </w:tc>
        <w:tc>
          <w:tcPr>
            <w:tcW w:w="1276" w:type="dxa"/>
            <w:vAlign w:val="center"/>
          </w:tcPr>
          <w:p>
            <w:pPr>
              <w:pStyle w:val="13"/>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煤改电用户发放2023-2024年煤改电用户均补贴标准</w:t>
            </w:r>
          </w:p>
        </w:tc>
        <w:tc>
          <w:tcPr>
            <w:tcW w:w="2268" w:type="dxa"/>
            <w:vAlign w:val="center"/>
          </w:tcPr>
          <w:p>
            <w:pPr>
              <w:pStyle w:val="13"/>
            </w:pPr>
            <w:r>
              <w:t>10元/户</w:t>
            </w:r>
          </w:p>
        </w:tc>
        <w:tc>
          <w:tcPr>
            <w:tcW w:w="1276" w:type="dxa"/>
            <w:vAlign w:val="center"/>
          </w:tcPr>
          <w:p>
            <w:pPr>
              <w:pStyle w:val="13"/>
            </w:pPr>
            <w:r>
              <w:t>石财城【2024】17号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双代补贴户数</w:t>
            </w:r>
          </w:p>
        </w:tc>
        <w:tc>
          <w:tcPr>
            <w:tcW w:w="2268" w:type="dxa"/>
            <w:vAlign w:val="center"/>
          </w:tcPr>
          <w:p>
            <w:pPr>
              <w:pStyle w:val="13"/>
            </w:pPr>
            <w:r>
              <w:t>84948户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双代补贴户数</w:t>
            </w:r>
          </w:p>
        </w:tc>
        <w:tc>
          <w:tcPr>
            <w:tcW w:w="2268" w:type="dxa"/>
            <w:vAlign w:val="center"/>
          </w:tcPr>
          <w:p>
            <w:pPr>
              <w:pStyle w:val="13"/>
            </w:pPr>
            <w:r>
              <w:t>根据石财城【2024】17号</w:t>
            </w:r>
          </w:p>
          <w:p>
            <w:pPr>
              <w:pStyle w:val="13"/>
            </w:pPr>
            <w:r>
              <w:t>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43、下达农村地区双代任务改造（上年结转运行补贴）绩效目标表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13011025P00152610022B</w:t>
            </w:r>
          </w:p>
        </w:tc>
        <w:tc>
          <w:tcPr>
            <w:tcW w:w="2835" w:type="dxa"/>
            <w:vAlign w:val="center"/>
          </w:tcPr>
          <w:p>
            <w:pPr>
              <w:pStyle w:val="11"/>
            </w:pPr>
            <w:r>
              <w:t>项目名称</w:t>
            </w:r>
          </w:p>
        </w:tc>
        <w:tc>
          <w:tcPr>
            <w:tcW w:w="6095" w:type="dxa"/>
            <w:gridSpan w:val="3"/>
            <w:vAlign w:val="center"/>
          </w:tcPr>
          <w:p>
            <w:pPr>
              <w:pStyle w:val="13"/>
            </w:pPr>
            <w:r>
              <w:t>下达农村地区双代任务改造（上年结转运行补贴）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区级双代运行补贴户数</w:t>
            </w:r>
          </w:p>
        </w:tc>
        <w:tc>
          <w:tcPr>
            <w:tcW w:w="2268" w:type="dxa"/>
            <w:vAlign w:val="center"/>
          </w:tcPr>
          <w:p>
            <w:pPr>
              <w:pStyle w:val="13"/>
            </w:pPr>
            <w:r>
              <w:t>≤84948户</w:t>
            </w:r>
          </w:p>
        </w:tc>
        <w:tc>
          <w:tcPr>
            <w:tcW w:w="1276" w:type="dxa"/>
            <w:vAlign w:val="center"/>
          </w:tcPr>
          <w:p>
            <w:pPr>
              <w:pStyle w:val="13"/>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煤改气用户发放天然气用户均补贴标准</w:t>
            </w:r>
          </w:p>
        </w:tc>
        <w:tc>
          <w:tcPr>
            <w:tcW w:w="2268" w:type="dxa"/>
            <w:vAlign w:val="center"/>
          </w:tcPr>
          <w:p>
            <w:pPr>
              <w:pStyle w:val="13"/>
            </w:pPr>
            <w:r>
              <w:t>20.5元/户</w:t>
            </w:r>
          </w:p>
        </w:tc>
        <w:tc>
          <w:tcPr>
            <w:tcW w:w="1276" w:type="dxa"/>
            <w:vAlign w:val="center"/>
          </w:tcPr>
          <w:p>
            <w:pPr>
              <w:pStyle w:val="13"/>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煤改电用户发放煤改电用户均补贴标准</w:t>
            </w:r>
          </w:p>
        </w:tc>
        <w:tc>
          <w:tcPr>
            <w:tcW w:w="2268" w:type="dxa"/>
            <w:vAlign w:val="center"/>
          </w:tcPr>
          <w:p>
            <w:pPr>
              <w:pStyle w:val="13"/>
            </w:pPr>
            <w:r>
              <w:t>10元/户</w:t>
            </w:r>
          </w:p>
        </w:tc>
        <w:tc>
          <w:tcPr>
            <w:tcW w:w="1276" w:type="dxa"/>
            <w:vAlign w:val="center"/>
          </w:tcPr>
          <w:p>
            <w:pPr>
              <w:pStyle w:val="13"/>
            </w:pPr>
            <w:r>
              <w:t>石财建【2023】105号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双代补贴户数</w:t>
            </w:r>
          </w:p>
        </w:tc>
        <w:tc>
          <w:tcPr>
            <w:tcW w:w="2268" w:type="dxa"/>
            <w:vAlign w:val="center"/>
          </w:tcPr>
          <w:p>
            <w:pPr>
              <w:pStyle w:val="13"/>
            </w:pPr>
            <w:r>
              <w:t>84948户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双代补贴户数</w:t>
            </w:r>
          </w:p>
        </w:tc>
        <w:tc>
          <w:tcPr>
            <w:tcW w:w="2268" w:type="dxa"/>
            <w:vAlign w:val="center"/>
          </w:tcPr>
          <w:p>
            <w:pPr>
              <w:pStyle w:val="13"/>
            </w:pPr>
            <w:r>
              <w:t>根据石财建【2022】47号文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44、下达中央大气污染防治资金（上年结转运行补贴）绩效目标表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13011025P00152610023Y</w:t>
            </w:r>
          </w:p>
        </w:tc>
        <w:tc>
          <w:tcPr>
            <w:tcW w:w="2835" w:type="dxa"/>
            <w:vAlign w:val="center"/>
          </w:tcPr>
          <w:p>
            <w:pPr>
              <w:pStyle w:val="11"/>
            </w:pPr>
            <w:r>
              <w:t>项目名称</w:t>
            </w:r>
          </w:p>
        </w:tc>
        <w:tc>
          <w:tcPr>
            <w:tcW w:w="6095" w:type="dxa"/>
            <w:gridSpan w:val="3"/>
            <w:vAlign w:val="center"/>
          </w:tcPr>
          <w:p>
            <w:pPr>
              <w:pStyle w:val="13"/>
            </w:pPr>
            <w:r>
              <w:t>下达中央大气污染防治资金（上年结转运行补贴）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w:t>
            </w:r>
          </w:p>
        </w:tc>
        <w:tc>
          <w:tcPr>
            <w:tcW w:w="2835" w:type="dxa"/>
            <w:vAlign w:val="center"/>
          </w:tcPr>
          <w:p>
            <w:pPr>
              <w:pStyle w:val="11"/>
            </w:pPr>
            <w:r>
              <w:t>其中：财政    资金</w:t>
            </w:r>
          </w:p>
        </w:tc>
        <w:tc>
          <w:tcPr>
            <w:tcW w:w="2551" w:type="dxa"/>
            <w:vAlign w:val="center"/>
          </w:tcPr>
          <w:p>
            <w:pPr>
              <w:pStyle w:val="13"/>
            </w:pPr>
            <w:r>
              <w:t>47.00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采暖季结束后对农村双代用户84948户进行补贴，鼓励农户使用清洁能源取暖，减轻农户采暖费用，有效减少大气污染物排放。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双代运行补贴户数</w:t>
            </w:r>
          </w:p>
        </w:tc>
        <w:tc>
          <w:tcPr>
            <w:tcW w:w="5386" w:type="dxa"/>
            <w:vAlign w:val="center"/>
          </w:tcPr>
          <w:p>
            <w:pPr>
              <w:pStyle w:val="13"/>
            </w:pPr>
            <w:r>
              <w:t>区级双代运行补贴户数</w:t>
            </w:r>
          </w:p>
        </w:tc>
        <w:tc>
          <w:tcPr>
            <w:tcW w:w="2268" w:type="dxa"/>
            <w:vAlign w:val="center"/>
          </w:tcPr>
          <w:p>
            <w:pPr>
              <w:pStyle w:val="13"/>
            </w:pPr>
            <w:r>
              <w:t>≤84948户</w:t>
            </w:r>
          </w:p>
        </w:tc>
        <w:tc>
          <w:tcPr>
            <w:tcW w:w="1276" w:type="dxa"/>
            <w:vAlign w:val="center"/>
          </w:tcPr>
          <w:p>
            <w:pPr>
              <w:pStyle w:val="13"/>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双代补贴任务完成率</w:t>
            </w:r>
          </w:p>
        </w:tc>
        <w:tc>
          <w:tcPr>
            <w:tcW w:w="5386" w:type="dxa"/>
            <w:vAlign w:val="center"/>
          </w:tcPr>
          <w:p>
            <w:pPr>
              <w:pStyle w:val="13"/>
            </w:pPr>
            <w:r>
              <w:t>已发放双代运行补贴占应补贴完成率</w:t>
            </w:r>
          </w:p>
        </w:tc>
        <w:tc>
          <w:tcPr>
            <w:tcW w:w="2268" w:type="dxa"/>
            <w:vAlign w:val="center"/>
          </w:tcPr>
          <w:p>
            <w:pPr>
              <w:pStyle w:val="13"/>
            </w:pPr>
            <w:r>
              <w:t>100%</w:t>
            </w:r>
          </w:p>
        </w:tc>
        <w:tc>
          <w:tcPr>
            <w:tcW w:w="1276" w:type="dxa"/>
            <w:vAlign w:val="center"/>
          </w:tcPr>
          <w:p>
            <w:pPr>
              <w:pStyle w:val="13"/>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发放双代运行补贴时间</w:t>
            </w:r>
          </w:p>
        </w:tc>
        <w:tc>
          <w:tcPr>
            <w:tcW w:w="5386" w:type="dxa"/>
            <w:vAlign w:val="center"/>
          </w:tcPr>
          <w:p>
            <w:pPr>
              <w:pStyle w:val="13"/>
            </w:pPr>
            <w:r>
              <w:t>采暖季结束后督促相关燃气企业、供电公司发放天然气运行补贴</w:t>
            </w:r>
          </w:p>
        </w:tc>
        <w:tc>
          <w:tcPr>
            <w:tcW w:w="2268" w:type="dxa"/>
            <w:vAlign w:val="center"/>
          </w:tcPr>
          <w:p>
            <w:pPr>
              <w:pStyle w:val="13"/>
            </w:pPr>
            <w:r>
              <w:t>≤3月</w:t>
            </w:r>
          </w:p>
        </w:tc>
        <w:tc>
          <w:tcPr>
            <w:tcW w:w="1276" w:type="dxa"/>
            <w:vAlign w:val="center"/>
          </w:tcPr>
          <w:p>
            <w:pPr>
              <w:pStyle w:val="13"/>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天然气补贴标准</w:t>
            </w:r>
          </w:p>
        </w:tc>
        <w:tc>
          <w:tcPr>
            <w:tcW w:w="5386" w:type="dxa"/>
            <w:vAlign w:val="center"/>
          </w:tcPr>
          <w:p>
            <w:pPr>
              <w:pStyle w:val="13"/>
            </w:pPr>
            <w:r>
              <w:t>煤改气用户发放天然气用户均补贴标准</w:t>
            </w:r>
          </w:p>
        </w:tc>
        <w:tc>
          <w:tcPr>
            <w:tcW w:w="2268" w:type="dxa"/>
            <w:vAlign w:val="center"/>
          </w:tcPr>
          <w:p>
            <w:pPr>
              <w:pStyle w:val="13"/>
            </w:pPr>
            <w:r>
              <w:t>20.5元/户</w:t>
            </w:r>
          </w:p>
        </w:tc>
        <w:tc>
          <w:tcPr>
            <w:tcW w:w="1276" w:type="dxa"/>
            <w:vAlign w:val="center"/>
          </w:tcPr>
          <w:p>
            <w:pPr>
              <w:pStyle w:val="13"/>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煤改电补贴标准</w:t>
            </w:r>
          </w:p>
        </w:tc>
        <w:tc>
          <w:tcPr>
            <w:tcW w:w="5386" w:type="dxa"/>
            <w:vAlign w:val="center"/>
          </w:tcPr>
          <w:p>
            <w:pPr>
              <w:pStyle w:val="13"/>
            </w:pPr>
            <w:r>
              <w:t>煤改电用户发放煤改电用户均补贴标准</w:t>
            </w:r>
          </w:p>
        </w:tc>
        <w:tc>
          <w:tcPr>
            <w:tcW w:w="2268" w:type="dxa"/>
            <w:vAlign w:val="center"/>
          </w:tcPr>
          <w:p>
            <w:pPr>
              <w:pStyle w:val="13"/>
            </w:pPr>
            <w:r>
              <w:t>10元/户</w:t>
            </w:r>
          </w:p>
        </w:tc>
        <w:tc>
          <w:tcPr>
            <w:tcW w:w="1276" w:type="dxa"/>
            <w:vAlign w:val="center"/>
          </w:tcPr>
          <w:p>
            <w:pPr>
              <w:pStyle w:val="13"/>
            </w:pPr>
            <w:r>
              <w:t>石财建【2023】111号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双代补贴受益户数</w:t>
            </w:r>
          </w:p>
        </w:tc>
        <w:tc>
          <w:tcPr>
            <w:tcW w:w="5386" w:type="dxa"/>
            <w:vAlign w:val="center"/>
          </w:tcPr>
          <w:p>
            <w:pPr>
              <w:pStyle w:val="13"/>
            </w:pPr>
            <w:r>
              <w:t>双代补贴户数</w:t>
            </w:r>
          </w:p>
        </w:tc>
        <w:tc>
          <w:tcPr>
            <w:tcW w:w="2268" w:type="dxa"/>
            <w:vAlign w:val="center"/>
          </w:tcPr>
          <w:p>
            <w:pPr>
              <w:pStyle w:val="13"/>
            </w:pPr>
            <w:r>
              <w:t>84948户</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到期后，按实际制定政策</w:t>
            </w:r>
          </w:p>
        </w:tc>
        <w:tc>
          <w:tcPr>
            <w:tcW w:w="5386" w:type="dxa"/>
            <w:vAlign w:val="center"/>
          </w:tcPr>
          <w:p>
            <w:pPr>
              <w:pStyle w:val="13"/>
            </w:pPr>
            <w:r>
              <w:t>双代补贴户数</w:t>
            </w:r>
          </w:p>
        </w:tc>
        <w:tc>
          <w:tcPr>
            <w:tcW w:w="2268" w:type="dxa"/>
            <w:vAlign w:val="center"/>
          </w:tcPr>
          <w:p>
            <w:pPr>
              <w:pStyle w:val="13"/>
            </w:pPr>
            <w:r>
              <w:t>根据石财建【2022】47号文</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群众满意数量占别调查人数比例</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45、2025 建筑工程实体及原材料质量抽测及安全监督专项费绩效目标表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13011025P00156410069M</w:t>
            </w:r>
          </w:p>
        </w:tc>
        <w:tc>
          <w:tcPr>
            <w:tcW w:w="2835" w:type="dxa"/>
            <w:vAlign w:val="center"/>
          </w:tcPr>
          <w:p>
            <w:pPr>
              <w:pStyle w:val="11"/>
            </w:pPr>
            <w:r>
              <w:t>项目名称</w:t>
            </w:r>
          </w:p>
        </w:tc>
        <w:tc>
          <w:tcPr>
            <w:tcW w:w="6095" w:type="dxa"/>
            <w:gridSpan w:val="3"/>
            <w:vAlign w:val="center"/>
          </w:tcPr>
          <w:p>
            <w:pPr>
              <w:pStyle w:val="13"/>
            </w:pPr>
            <w:r>
              <w:t>2025 建筑工程实体及原材料质量抽测及安全监督专项费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对全区工程原材、实体不定期抽测，严格控制不合格材料进入施工现场，对全区项目进行监管，覆盖面到达百分百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1.减少工程安全隐患的发生</w:t>
            </w:r>
            <w:r>
              <w:tab/>
            </w:r>
            <w:r>
              <w:tab/>
            </w:r>
            <w:r>
              <w:tab/>
            </w:r>
            <w:r>
              <w:tab/>
            </w:r>
            <w:r>
              <w:tab/>
            </w:r>
            <w:r>
              <w:tab/>
            </w:r>
          </w:p>
          <w:p>
            <w:pPr>
              <w:pStyle w:val="13"/>
            </w:pPr>
          </w:p>
          <w:p>
            <w:pPr>
              <w:pStyle w:val="13"/>
            </w:pPr>
            <w:r>
              <w:t>2.对全区工程原材、实体不定期抽测，严格控制不合格材料进入施工现场，对全区项目进行监管，覆盖面到达百分百</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工程原材料抽检数量</w:t>
            </w:r>
          </w:p>
        </w:tc>
        <w:tc>
          <w:tcPr>
            <w:tcW w:w="5386" w:type="dxa"/>
            <w:vAlign w:val="center"/>
          </w:tcPr>
          <w:p>
            <w:pPr>
              <w:pStyle w:val="13"/>
            </w:pPr>
            <w:r>
              <w:t>对全区工程原材料抽检</w:t>
            </w:r>
          </w:p>
        </w:tc>
        <w:tc>
          <w:tcPr>
            <w:tcW w:w="2268" w:type="dxa"/>
            <w:vAlign w:val="center"/>
          </w:tcPr>
          <w:p>
            <w:pPr>
              <w:pStyle w:val="13"/>
            </w:pPr>
            <w:r>
              <w:t>150个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工程质量覆盖率</w:t>
            </w:r>
          </w:p>
        </w:tc>
        <w:tc>
          <w:tcPr>
            <w:tcW w:w="5386" w:type="dxa"/>
            <w:vAlign w:val="center"/>
          </w:tcPr>
          <w:p>
            <w:pPr>
              <w:pStyle w:val="13"/>
            </w:pPr>
            <w:r>
              <w:t>对工程质量实体、行为进行监督</w:t>
            </w:r>
          </w:p>
        </w:tc>
        <w:tc>
          <w:tcPr>
            <w:tcW w:w="2268" w:type="dxa"/>
            <w:vAlign w:val="center"/>
          </w:tcPr>
          <w:p>
            <w:pPr>
              <w:pStyle w:val="13"/>
            </w:pPr>
            <w:r>
              <w:t>100%</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专家排查隐患项目</w:t>
            </w:r>
          </w:p>
        </w:tc>
        <w:tc>
          <w:tcPr>
            <w:tcW w:w="5386" w:type="dxa"/>
            <w:vAlign w:val="center"/>
          </w:tcPr>
          <w:p>
            <w:pPr>
              <w:pStyle w:val="13"/>
            </w:pPr>
            <w:r>
              <w:t>专家排查施工现场安全隐患数量</w:t>
            </w:r>
          </w:p>
        </w:tc>
        <w:tc>
          <w:tcPr>
            <w:tcW w:w="2268" w:type="dxa"/>
            <w:vAlign w:val="center"/>
          </w:tcPr>
          <w:p>
            <w:pPr>
              <w:pStyle w:val="13"/>
            </w:pPr>
            <w:r>
              <w:t>150个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委托第三方所需要成本</w:t>
            </w:r>
          </w:p>
        </w:tc>
        <w:tc>
          <w:tcPr>
            <w:tcW w:w="5386" w:type="dxa"/>
            <w:vAlign w:val="center"/>
          </w:tcPr>
          <w:p>
            <w:pPr>
              <w:pStyle w:val="13"/>
            </w:pPr>
            <w:r>
              <w:t>委托第三方对原材、实体检测发生的成本</w:t>
            </w:r>
          </w:p>
        </w:tc>
        <w:tc>
          <w:tcPr>
            <w:tcW w:w="2268" w:type="dxa"/>
            <w:vAlign w:val="center"/>
          </w:tcPr>
          <w:p>
            <w:pPr>
              <w:pStyle w:val="13"/>
            </w:pPr>
            <w:r>
              <w:t>229.33万/年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w:t>
            </w:r>
          </w:p>
        </w:tc>
        <w:tc>
          <w:tcPr>
            <w:tcW w:w="5386" w:type="dxa"/>
            <w:vAlign w:val="center"/>
          </w:tcPr>
          <w:p>
            <w:pPr>
              <w:pStyle w:val="13"/>
            </w:pPr>
            <w:r>
              <w:t>排查治理施工现场质量和安全生产隐患，监督各方责任主体履行施工质量和安全生产职责，控制隐患数量</w:t>
            </w:r>
          </w:p>
        </w:tc>
        <w:tc>
          <w:tcPr>
            <w:tcW w:w="2268" w:type="dxa"/>
            <w:vAlign w:val="center"/>
          </w:tcPr>
          <w:p>
            <w:pPr>
              <w:pStyle w:val="13"/>
            </w:pPr>
            <w:r>
              <w:t>1个</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46、2025 聘请消防专家费用绩效目标表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13011025P001564100701</w:t>
            </w:r>
          </w:p>
        </w:tc>
        <w:tc>
          <w:tcPr>
            <w:tcW w:w="2835" w:type="dxa"/>
            <w:vAlign w:val="center"/>
          </w:tcPr>
          <w:p>
            <w:pPr>
              <w:pStyle w:val="11"/>
            </w:pPr>
            <w:r>
              <w:t>项目名称</w:t>
            </w:r>
          </w:p>
        </w:tc>
        <w:tc>
          <w:tcPr>
            <w:tcW w:w="6095" w:type="dxa"/>
            <w:gridSpan w:val="3"/>
            <w:vAlign w:val="center"/>
          </w:tcPr>
          <w:p>
            <w:pPr>
              <w:pStyle w:val="13"/>
            </w:pPr>
            <w:r>
              <w:t>2025 聘请消防专家费用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对全区竣工建设工程项目消防验收质量提供保证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第三方服务机构服务项数</w:t>
            </w:r>
          </w:p>
        </w:tc>
        <w:tc>
          <w:tcPr>
            <w:tcW w:w="5386" w:type="dxa"/>
            <w:vAlign w:val="center"/>
          </w:tcPr>
          <w:p>
            <w:pPr>
              <w:pStyle w:val="13"/>
            </w:pPr>
            <w:r>
              <w:t>计划聘请第三方服务机构对全区竣工建设工程项目消防验收</w:t>
            </w:r>
          </w:p>
        </w:tc>
        <w:tc>
          <w:tcPr>
            <w:tcW w:w="2268" w:type="dxa"/>
            <w:vAlign w:val="center"/>
          </w:tcPr>
          <w:p>
            <w:pPr>
              <w:pStyle w:val="13"/>
            </w:pPr>
            <w:r>
              <w:t>1项</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第三方服务机构消防验收工作保障率</w:t>
            </w:r>
          </w:p>
        </w:tc>
        <w:tc>
          <w:tcPr>
            <w:tcW w:w="5386" w:type="dxa"/>
            <w:vAlign w:val="center"/>
          </w:tcPr>
          <w:p>
            <w:pPr>
              <w:pStyle w:val="13"/>
            </w:pPr>
            <w:r>
              <w:t>对全区竣工建设工程项目消防验收工作保障率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消防验收时限</w:t>
            </w:r>
          </w:p>
        </w:tc>
        <w:tc>
          <w:tcPr>
            <w:tcW w:w="5386" w:type="dxa"/>
            <w:vAlign w:val="center"/>
          </w:tcPr>
          <w:p>
            <w:pPr>
              <w:pStyle w:val="13"/>
            </w:pPr>
            <w:r>
              <w:t>建设单位提交消防验收申请之日起到消防验收完毕的时间</w:t>
            </w:r>
          </w:p>
        </w:tc>
        <w:tc>
          <w:tcPr>
            <w:tcW w:w="2268" w:type="dxa"/>
            <w:vAlign w:val="center"/>
          </w:tcPr>
          <w:p>
            <w:pPr>
              <w:pStyle w:val="13"/>
            </w:pPr>
            <w:r>
              <w:t>≤10天</w:t>
            </w:r>
          </w:p>
        </w:tc>
        <w:tc>
          <w:tcPr>
            <w:tcW w:w="1276" w:type="dxa"/>
            <w:vAlign w:val="center"/>
          </w:tcPr>
          <w:p>
            <w:pPr>
              <w:pStyle w:val="13"/>
            </w:pPr>
            <w:r>
              <w:t>河北省建设工程消防设计审查验收管理暂行办法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消防验收所需要资金</w:t>
            </w:r>
          </w:p>
          <w:p>
            <w:pPr>
              <w:pStyle w:val="13"/>
            </w:pPr>
          </w:p>
        </w:tc>
        <w:tc>
          <w:tcPr>
            <w:tcW w:w="5386" w:type="dxa"/>
            <w:vAlign w:val="center"/>
          </w:tcPr>
          <w:p>
            <w:pPr>
              <w:pStyle w:val="13"/>
            </w:pPr>
            <w:r>
              <w:t>完成消防验收所需要资金</w:t>
            </w:r>
          </w:p>
          <w:p>
            <w:pPr>
              <w:pStyle w:val="13"/>
            </w:pPr>
            <w:r>
              <w:t>(含2022年就欠和2023年资金）</w:t>
            </w:r>
          </w:p>
        </w:tc>
        <w:tc>
          <w:tcPr>
            <w:tcW w:w="2268" w:type="dxa"/>
            <w:vAlign w:val="center"/>
          </w:tcPr>
          <w:p>
            <w:pPr>
              <w:pStyle w:val="13"/>
            </w:pPr>
            <w:r>
              <w:t>119.4万元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消防验收隐患整改率</w:t>
            </w:r>
          </w:p>
        </w:tc>
        <w:tc>
          <w:tcPr>
            <w:tcW w:w="5386" w:type="dxa"/>
            <w:vAlign w:val="center"/>
          </w:tcPr>
          <w:p>
            <w:pPr>
              <w:pStyle w:val="13"/>
            </w:pPr>
            <w:r>
              <w:t>对全区竣工建设工程项目消防验收存在问题隐患整改率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消防验收技术服务满意率</w:t>
            </w:r>
          </w:p>
        </w:tc>
        <w:tc>
          <w:tcPr>
            <w:tcW w:w="5386" w:type="dxa"/>
            <w:vAlign w:val="center"/>
          </w:tcPr>
          <w:p>
            <w:pPr>
              <w:pStyle w:val="13"/>
            </w:pPr>
            <w:r>
              <w:t>对全区竣工建设工程项目消防验收服务对象满意率</w:t>
            </w:r>
          </w:p>
        </w:tc>
        <w:tc>
          <w:tcPr>
            <w:tcW w:w="2268" w:type="dxa"/>
            <w:vAlign w:val="center"/>
          </w:tcPr>
          <w:p>
            <w:pPr>
              <w:pStyle w:val="13"/>
            </w:pPr>
            <w:r>
              <w:t>&lt;100%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47、2025涉军公益岗位工资（建筑业服务中心）绩效目标表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13011025P001540100143</w:t>
            </w:r>
          </w:p>
        </w:tc>
        <w:tc>
          <w:tcPr>
            <w:tcW w:w="2835" w:type="dxa"/>
            <w:vAlign w:val="center"/>
          </w:tcPr>
          <w:p>
            <w:pPr>
              <w:pStyle w:val="11"/>
            </w:pPr>
            <w:r>
              <w:t>项目名称</w:t>
            </w:r>
          </w:p>
        </w:tc>
        <w:tc>
          <w:tcPr>
            <w:tcW w:w="6095" w:type="dxa"/>
            <w:gridSpan w:val="3"/>
            <w:vAlign w:val="center"/>
          </w:tcPr>
          <w:p>
            <w:pPr>
              <w:pStyle w:val="13"/>
            </w:pPr>
            <w:r>
              <w:t>2025涉军公益岗位工资（建筑业服务中心）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107.42</w:t>
            </w:r>
          </w:p>
        </w:tc>
        <w:tc>
          <w:tcPr>
            <w:tcW w:w="2835" w:type="dxa"/>
            <w:vAlign w:val="center"/>
          </w:tcPr>
          <w:p>
            <w:pPr>
              <w:pStyle w:val="11"/>
            </w:pPr>
            <w:r>
              <w:t>其中：财政    资金</w:t>
            </w:r>
          </w:p>
        </w:tc>
        <w:tc>
          <w:tcPr>
            <w:tcW w:w="2551" w:type="dxa"/>
            <w:vAlign w:val="center"/>
          </w:tcPr>
          <w:p>
            <w:pPr>
              <w:pStyle w:val="13"/>
            </w:pPr>
            <w:r>
              <w:t>107.42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对符合条件的退役军人18人，实行公益岗位托管安置，帮扶到位，加大就业援助力度。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1.对符合条件的退役军人18人，实行公益岗位托管安置，帮扶到位，加大就业援助力度。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退役人数</w:t>
            </w:r>
          </w:p>
        </w:tc>
        <w:tc>
          <w:tcPr>
            <w:tcW w:w="5386" w:type="dxa"/>
            <w:vAlign w:val="center"/>
          </w:tcPr>
          <w:p>
            <w:pPr>
              <w:pStyle w:val="13"/>
            </w:pPr>
            <w:r>
              <w:t>单位退役实际人数</w:t>
            </w:r>
          </w:p>
        </w:tc>
        <w:tc>
          <w:tcPr>
            <w:tcW w:w="2268" w:type="dxa"/>
            <w:vAlign w:val="center"/>
          </w:tcPr>
          <w:p>
            <w:pPr>
              <w:pStyle w:val="13"/>
            </w:pPr>
            <w:r>
              <w:t>18人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退役人员资金发放标准</w:t>
            </w:r>
          </w:p>
        </w:tc>
        <w:tc>
          <w:tcPr>
            <w:tcW w:w="5386" w:type="dxa"/>
            <w:vAlign w:val="center"/>
          </w:tcPr>
          <w:p>
            <w:pPr>
              <w:pStyle w:val="13"/>
            </w:pPr>
            <w:r>
              <w:t>对符合条件的退役军人发放特金额</w:t>
            </w:r>
          </w:p>
        </w:tc>
        <w:tc>
          <w:tcPr>
            <w:tcW w:w="2268" w:type="dxa"/>
            <w:vAlign w:val="center"/>
          </w:tcPr>
          <w:p>
            <w:pPr>
              <w:pStyle w:val="13"/>
            </w:pPr>
            <w:r>
              <w:t>107.42万元</w:t>
            </w:r>
          </w:p>
        </w:tc>
        <w:tc>
          <w:tcPr>
            <w:tcW w:w="1276" w:type="dxa"/>
            <w:vAlign w:val="center"/>
          </w:tcPr>
          <w:p>
            <w:pPr>
              <w:pStyle w:val="13"/>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退役人员工资发放及时率</w:t>
            </w:r>
          </w:p>
        </w:tc>
        <w:tc>
          <w:tcPr>
            <w:tcW w:w="5386" w:type="dxa"/>
            <w:vAlign w:val="center"/>
          </w:tcPr>
          <w:p>
            <w:pPr>
              <w:pStyle w:val="13"/>
            </w:pPr>
            <w:r>
              <w:t>工资发放完成及时率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托管安置帮扶人数</w:t>
            </w:r>
          </w:p>
        </w:tc>
        <w:tc>
          <w:tcPr>
            <w:tcW w:w="5386" w:type="dxa"/>
            <w:vAlign w:val="center"/>
          </w:tcPr>
          <w:p>
            <w:pPr>
              <w:pStyle w:val="13"/>
            </w:pPr>
            <w:r>
              <w:t>对退役托管安置帮扶到位的人数</w:t>
            </w:r>
          </w:p>
        </w:tc>
        <w:tc>
          <w:tcPr>
            <w:tcW w:w="2268" w:type="dxa"/>
            <w:vAlign w:val="center"/>
          </w:tcPr>
          <w:p>
            <w:pPr>
              <w:pStyle w:val="13"/>
            </w:pPr>
            <w:r>
              <w:t>18人</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对退役安置满意程度</w:t>
            </w:r>
          </w:p>
        </w:tc>
        <w:tc>
          <w:tcPr>
            <w:tcW w:w="2268" w:type="dxa"/>
            <w:vAlign w:val="center"/>
          </w:tcPr>
          <w:p>
            <w:pPr>
              <w:pStyle w:val="13"/>
            </w:pPr>
            <w:r>
              <w:t>100%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48、2025西美金山湖设计费和房屋质量检测鉴定费绩效目标表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13011025P00156410073U</w:t>
            </w:r>
          </w:p>
        </w:tc>
        <w:tc>
          <w:tcPr>
            <w:tcW w:w="2835" w:type="dxa"/>
            <w:vAlign w:val="center"/>
          </w:tcPr>
          <w:p>
            <w:pPr>
              <w:pStyle w:val="11"/>
            </w:pPr>
            <w:r>
              <w:t>项目名称</w:t>
            </w:r>
          </w:p>
        </w:tc>
        <w:tc>
          <w:tcPr>
            <w:tcW w:w="6095" w:type="dxa"/>
            <w:gridSpan w:val="3"/>
            <w:vAlign w:val="center"/>
          </w:tcPr>
          <w:p>
            <w:pPr>
              <w:pStyle w:val="13"/>
            </w:pPr>
            <w:r>
              <w:t>2025西美金山湖设计费和房屋质量检测鉴定费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对西美金山湖项目134栋建筑物进行图纸复原设计和质量检测鉴定，掌握西美金山湖建筑物质量情况。</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1.对西美金山湖项目134栋建筑物进行图纸复原设计和质量检测鉴定，掌握西美金山湖建筑物质量情况。</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图纸复原量</w:t>
            </w:r>
          </w:p>
        </w:tc>
        <w:tc>
          <w:tcPr>
            <w:tcW w:w="5386" w:type="dxa"/>
            <w:vAlign w:val="center"/>
          </w:tcPr>
          <w:p>
            <w:pPr>
              <w:pStyle w:val="13"/>
            </w:pPr>
            <w:r>
              <w:t>建筑物图纸复原数量</w:t>
            </w:r>
          </w:p>
        </w:tc>
        <w:tc>
          <w:tcPr>
            <w:tcW w:w="2268" w:type="dxa"/>
            <w:vAlign w:val="center"/>
          </w:tcPr>
          <w:p>
            <w:pPr>
              <w:pStyle w:val="13"/>
            </w:pPr>
            <w:r>
              <w:t>124栋</w:t>
            </w:r>
          </w:p>
        </w:tc>
        <w:tc>
          <w:tcPr>
            <w:tcW w:w="1276" w:type="dxa"/>
            <w:vAlign w:val="center"/>
          </w:tcPr>
          <w:p>
            <w:pPr>
              <w:pStyle w:val="13"/>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图纸复原户型量</w:t>
            </w:r>
          </w:p>
        </w:tc>
        <w:tc>
          <w:tcPr>
            <w:tcW w:w="5386" w:type="dxa"/>
            <w:vAlign w:val="center"/>
          </w:tcPr>
          <w:p>
            <w:pPr>
              <w:pStyle w:val="13"/>
            </w:pPr>
            <w:r>
              <w:t>图纸复原户型数量</w:t>
            </w:r>
          </w:p>
        </w:tc>
        <w:tc>
          <w:tcPr>
            <w:tcW w:w="2268" w:type="dxa"/>
            <w:vAlign w:val="center"/>
          </w:tcPr>
          <w:p>
            <w:pPr>
              <w:pStyle w:val="13"/>
            </w:pPr>
            <w:r>
              <w:t>10种</w:t>
            </w:r>
          </w:p>
        </w:tc>
        <w:tc>
          <w:tcPr>
            <w:tcW w:w="1276" w:type="dxa"/>
            <w:vAlign w:val="center"/>
          </w:tcPr>
          <w:p>
            <w:pPr>
              <w:pStyle w:val="13"/>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鉴定房屋数量</w:t>
            </w:r>
          </w:p>
        </w:tc>
        <w:tc>
          <w:tcPr>
            <w:tcW w:w="5386" w:type="dxa"/>
            <w:vAlign w:val="center"/>
          </w:tcPr>
          <w:p>
            <w:pPr>
              <w:pStyle w:val="13"/>
            </w:pPr>
            <w:r>
              <w:t>鉴定房屋数量</w:t>
            </w:r>
          </w:p>
        </w:tc>
        <w:tc>
          <w:tcPr>
            <w:tcW w:w="2268" w:type="dxa"/>
            <w:vAlign w:val="center"/>
          </w:tcPr>
          <w:p>
            <w:pPr>
              <w:pStyle w:val="13"/>
            </w:pPr>
            <w:r>
              <w:t>134栋</w:t>
            </w:r>
          </w:p>
        </w:tc>
        <w:tc>
          <w:tcPr>
            <w:tcW w:w="1276" w:type="dxa"/>
            <w:vAlign w:val="center"/>
          </w:tcPr>
          <w:p>
            <w:pPr>
              <w:pStyle w:val="13"/>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鉴定房屋面积</w:t>
            </w:r>
          </w:p>
        </w:tc>
        <w:tc>
          <w:tcPr>
            <w:tcW w:w="5386" w:type="dxa"/>
            <w:vAlign w:val="center"/>
          </w:tcPr>
          <w:p>
            <w:pPr>
              <w:pStyle w:val="13"/>
            </w:pPr>
            <w:r>
              <w:t>鉴定房屋面积</w:t>
            </w:r>
          </w:p>
        </w:tc>
        <w:tc>
          <w:tcPr>
            <w:tcW w:w="2268" w:type="dxa"/>
            <w:vAlign w:val="center"/>
          </w:tcPr>
          <w:p>
            <w:pPr>
              <w:pStyle w:val="13"/>
            </w:pPr>
            <w:r>
              <w:t>13.47 万平方米</w:t>
            </w:r>
          </w:p>
        </w:tc>
        <w:tc>
          <w:tcPr>
            <w:tcW w:w="1276" w:type="dxa"/>
            <w:vAlign w:val="center"/>
          </w:tcPr>
          <w:p>
            <w:pPr>
              <w:pStyle w:val="13"/>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质量鉴定完成率</w:t>
            </w:r>
          </w:p>
        </w:tc>
        <w:tc>
          <w:tcPr>
            <w:tcW w:w="5386" w:type="dxa"/>
            <w:vAlign w:val="center"/>
          </w:tcPr>
          <w:p>
            <w:pPr>
              <w:pStyle w:val="13"/>
            </w:pPr>
            <w:r>
              <w:t>出具质量鉴定报告数量占应鉴定房屋数量的比例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鉴定完成时间</w:t>
            </w:r>
          </w:p>
        </w:tc>
        <w:tc>
          <w:tcPr>
            <w:tcW w:w="5386" w:type="dxa"/>
            <w:vAlign w:val="center"/>
          </w:tcPr>
          <w:p>
            <w:pPr>
              <w:pStyle w:val="13"/>
            </w:pPr>
            <w:r>
              <w:t>房屋质量检测鉴定完成时间</w:t>
            </w:r>
          </w:p>
        </w:tc>
        <w:tc>
          <w:tcPr>
            <w:tcW w:w="2268" w:type="dxa"/>
            <w:vAlign w:val="center"/>
          </w:tcPr>
          <w:p>
            <w:pPr>
              <w:pStyle w:val="13"/>
            </w:pPr>
            <w:r>
              <w:t>2020年6月完成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图纸复原设计费</w:t>
            </w:r>
          </w:p>
        </w:tc>
        <w:tc>
          <w:tcPr>
            <w:tcW w:w="5386" w:type="dxa"/>
            <w:vAlign w:val="center"/>
          </w:tcPr>
          <w:p>
            <w:pPr>
              <w:pStyle w:val="13"/>
            </w:pPr>
            <w:r>
              <w:t>图纸复原设计费</w:t>
            </w:r>
          </w:p>
        </w:tc>
        <w:tc>
          <w:tcPr>
            <w:tcW w:w="2268" w:type="dxa"/>
            <w:vAlign w:val="center"/>
          </w:tcPr>
          <w:p>
            <w:pPr>
              <w:pStyle w:val="13"/>
            </w:pPr>
            <w:r>
              <w:t>≤15323元/栋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质量检测鉴定费</w:t>
            </w:r>
          </w:p>
        </w:tc>
        <w:tc>
          <w:tcPr>
            <w:tcW w:w="5386" w:type="dxa"/>
            <w:vAlign w:val="center"/>
          </w:tcPr>
          <w:p>
            <w:pPr>
              <w:pStyle w:val="13"/>
            </w:pPr>
            <w:r>
              <w:t>房屋质量检测鉴定费</w:t>
            </w:r>
          </w:p>
        </w:tc>
        <w:tc>
          <w:tcPr>
            <w:tcW w:w="2268" w:type="dxa"/>
            <w:vAlign w:val="center"/>
          </w:tcPr>
          <w:p>
            <w:pPr>
              <w:pStyle w:val="13"/>
            </w:pPr>
            <w:r>
              <w:t>10元/平方米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掌握西美金山湖项目质量情况数量</w:t>
            </w:r>
          </w:p>
        </w:tc>
        <w:tc>
          <w:tcPr>
            <w:tcW w:w="5386" w:type="dxa"/>
            <w:vAlign w:val="center"/>
          </w:tcPr>
          <w:p>
            <w:pPr>
              <w:pStyle w:val="13"/>
            </w:pPr>
            <w:r>
              <w:t>掌握西美金山湖项目质量情况数量</w:t>
            </w:r>
          </w:p>
        </w:tc>
        <w:tc>
          <w:tcPr>
            <w:tcW w:w="2268" w:type="dxa"/>
            <w:vAlign w:val="center"/>
          </w:tcPr>
          <w:p>
            <w:pPr>
              <w:pStyle w:val="13"/>
            </w:pPr>
            <w:r>
              <w:t>134栋</w:t>
            </w:r>
          </w:p>
        </w:tc>
        <w:tc>
          <w:tcPr>
            <w:tcW w:w="1276" w:type="dxa"/>
            <w:vAlign w:val="center"/>
          </w:tcPr>
          <w:p>
            <w:pPr>
              <w:pStyle w:val="13"/>
            </w:pPr>
            <w:r>
              <w:t>鹿住呈【2019】46号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100%</w:t>
            </w:r>
          </w:p>
        </w:tc>
        <w:tc>
          <w:tcPr>
            <w:tcW w:w="1276" w:type="dxa"/>
            <w:vAlign w:val="center"/>
          </w:tcPr>
          <w:p>
            <w:pPr>
              <w:pStyle w:val="13"/>
            </w:pPr>
            <w:r>
              <w:t>历史依据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49、2025业务费绩效目标表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13011025P00156410071L</w:t>
            </w:r>
          </w:p>
        </w:tc>
        <w:tc>
          <w:tcPr>
            <w:tcW w:w="2835" w:type="dxa"/>
            <w:vAlign w:val="center"/>
          </w:tcPr>
          <w:p>
            <w:pPr>
              <w:pStyle w:val="11"/>
            </w:pPr>
            <w:r>
              <w:t>项目名称</w:t>
            </w:r>
          </w:p>
        </w:tc>
        <w:tc>
          <w:tcPr>
            <w:tcW w:w="6095" w:type="dxa"/>
            <w:gridSpan w:val="3"/>
            <w:vAlign w:val="center"/>
          </w:tcPr>
          <w:p>
            <w:pPr>
              <w:pStyle w:val="13"/>
            </w:pPr>
            <w:r>
              <w:t>2025业务费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负责工地工程质量安全管理、监督工程质量，提高合格率，达到百分百，减少工地工程质量安全隐患</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1.负责工地工程质量安全管理、监督工程质量，提高合格率，达到百分百，减少工地工程质量安全隐患</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监管全区工地整治</w:t>
            </w:r>
          </w:p>
        </w:tc>
        <w:tc>
          <w:tcPr>
            <w:tcW w:w="5386" w:type="dxa"/>
            <w:vAlign w:val="center"/>
          </w:tcPr>
          <w:p>
            <w:pPr>
              <w:pStyle w:val="13"/>
            </w:pPr>
            <w:r>
              <w:t>监管全区工地数量</w:t>
            </w:r>
          </w:p>
        </w:tc>
        <w:tc>
          <w:tcPr>
            <w:tcW w:w="2268" w:type="dxa"/>
            <w:vAlign w:val="center"/>
          </w:tcPr>
          <w:p>
            <w:pPr>
              <w:pStyle w:val="13"/>
            </w:pPr>
            <w:r>
              <w:t>≥150个</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建筑工程质量监管率</w:t>
            </w:r>
          </w:p>
        </w:tc>
        <w:tc>
          <w:tcPr>
            <w:tcW w:w="5386" w:type="dxa"/>
            <w:vAlign w:val="center"/>
          </w:tcPr>
          <w:p>
            <w:pPr>
              <w:pStyle w:val="13"/>
            </w:pPr>
            <w:r>
              <w:t>实际监管工程数量占全部工程数量的比率</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业务费使用及时保障</w:t>
            </w:r>
          </w:p>
        </w:tc>
        <w:tc>
          <w:tcPr>
            <w:tcW w:w="5386" w:type="dxa"/>
            <w:vAlign w:val="center"/>
          </w:tcPr>
          <w:p>
            <w:pPr>
              <w:pStyle w:val="13"/>
            </w:pPr>
            <w:r>
              <w:t>业务费使用及时保障</w:t>
            </w:r>
          </w:p>
        </w:tc>
        <w:tc>
          <w:tcPr>
            <w:tcW w:w="2268" w:type="dxa"/>
            <w:vAlign w:val="center"/>
          </w:tcPr>
          <w:p>
            <w:pPr>
              <w:pStyle w:val="13"/>
            </w:pPr>
            <w:r>
              <w:t>及时保障</w:t>
            </w:r>
          </w:p>
        </w:tc>
        <w:tc>
          <w:tcPr>
            <w:tcW w:w="1276" w:type="dxa"/>
            <w:vAlign w:val="center"/>
          </w:tcPr>
          <w:p>
            <w:pPr>
              <w:pStyle w:val="13"/>
            </w:pPr>
            <w:r>
              <w:t>工作经验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完成全区工程建设质量督查工作成本</w:t>
            </w:r>
          </w:p>
        </w:tc>
        <w:tc>
          <w:tcPr>
            <w:tcW w:w="5386" w:type="dxa"/>
            <w:vAlign w:val="center"/>
          </w:tcPr>
          <w:p>
            <w:pPr>
              <w:pStyle w:val="13"/>
            </w:pPr>
            <w:r>
              <w:t>完成全区工程建设质量督管工作成本</w:t>
            </w:r>
          </w:p>
        </w:tc>
        <w:tc>
          <w:tcPr>
            <w:tcW w:w="2268" w:type="dxa"/>
            <w:vAlign w:val="center"/>
          </w:tcPr>
          <w:p>
            <w:pPr>
              <w:pStyle w:val="13"/>
            </w:pPr>
            <w:r>
              <w:t>73万元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工程质量隐患率</w:t>
            </w:r>
          </w:p>
        </w:tc>
        <w:tc>
          <w:tcPr>
            <w:tcW w:w="5386" w:type="dxa"/>
            <w:vAlign w:val="center"/>
          </w:tcPr>
          <w:p>
            <w:pPr>
              <w:pStyle w:val="13"/>
            </w:pPr>
            <w:r>
              <w:t>实际产生的质量隐患数量占全部工程数量的比率</w:t>
            </w:r>
          </w:p>
        </w:tc>
        <w:tc>
          <w:tcPr>
            <w:tcW w:w="2268" w:type="dxa"/>
            <w:vAlign w:val="center"/>
          </w:tcPr>
          <w:p>
            <w:pPr>
              <w:pStyle w:val="13"/>
            </w:pPr>
            <w:r>
              <w:t>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群众对建筑市场的整体满意度</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50、2025年北斗路回迁楼不动产登记证遗留问题办证费绩效目标表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13011025P001564100657</w:t>
            </w:r>
          </w:p>
        </w:tc>
        <w:tc>
          <w:tcPr>
            <w:tcW w:w="2835" w:type="dxa"/>
            <w:vAlign w:val="center"/>
          </w:tcPr>
          <w:p>
            <w:pPr>
              <w:pStyle w:val="11"/>
            </w:pPr>
            <w:r>
              <w:t>项目名称</w:t>
            </w:r>
          </w:p>
        </w:tc>
        <w:tc>
          <w:tcPr>
            <w:tcW w:w="6095" w:type="dxa"/>
            <w:gridSpan w:val="3"/>
            <w:vAlign w:val="center"/>
          </w:tcPr>
          <w:p>
            <w:pPr>
              <w:pStyle w:val="13"/>
            </w:pPr>
            <w:r>
              <w:t>2025年北斗路回迁楼不动产登记证遗留问题办证费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解决北斗路拆迁改造工程涉及的一街、二街、八街和水务局回迁户办理不动产登记证遗留问题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退费人数</w:t>
            </w:r>
          </w:p>
        </w:tc>
        <w:tc>
          <w:tcPr>
            <w:tcW w:w="5386" w:type="dxa"/>
            <w:vAlign w:val="center"/>
          </w:tcPr>
          <w:p>
            <w:pPr>
              <w:pStyle w:val="13"/>
            </w:pPr>
            <w:r>
              <w:t>手续齐全可报销人数</w:t>
            </w:r>
          </w:p>
        </w:tc>
        <w:tc>
          <w:tcPr>
            <w:tcW w:w="2268" w:type="dxa"/>
            <w:vAlign w:val="center"/>
          </w:tcPr>
          <w:p>
            <w:pPr>
              <w:pStyle w:val="13"/>
            </w:pPr>
            <w:r>
              <w:t>按实际可报销人数为准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退费完成率</w:t>
            </w:r>
          </w:p>
        </w:tc>
        <w:tc>
          <w:tcPr>
            <w:tcW w:w="5386" w:type="dxa"/>
            <w:vAlign w:val="center"/>
          </w:tcPr>
          <w:p>
            <w:pPr>
              <w:pStyle w:val="13"/>
            </w:pPr>
            <w:r>
              <w:t>实际退费占手续齐全的回迁户比率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退费时间</w:t>
            </w:r>
          </w:p>
        </w:tc>
        <w:tc>
          <w:tcPr>
            <w:tcW w:w="5386" w:type="dxa"/>
            <w:vAlign w:val="center"/>
          </w:tcPr>
          <w:p>
            <w:pPr>
              <w:pStyle w:val="13"/>
            </w:pPr>
            <w:r>
              <w:t>手续齐全的回迁户提供报销手续及时退费</w:t>
            </w:r>
          </w:p>
        </w:tc>
        <w:tc>
          <w:tcPr>
            <w:tcW w:w="2268" w:type="dxa"/>
            <w:vAlign w:val="center"/>
          </w:tcPr>
          <w:p>
            <w:pPr>
              <w:pStyle w:val="13"/>
            </w:pPr>
            <w:r>
              <w:t>≤7工作日</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退费金额标准</w:t>
            </w:r>
          </w:p>
        </w:tc>
        <w:tc>
          <w:tcPr>
            <w:tcW w:w="5386" w:type="dxa"/>
            <w:vAlign w:val="center"/>
          </w:tcPr>
          <w:p>
            <w:pPr>
              <w:pStyle w:val="13"/>
            </w:pPr>
            <w:r>
              <w:t>以可报销税票上的金额为准</w:t>
            </w:r>
          </w:p>
        </w:tc>
        <w:tc>
          <w:tcPr>
            <w:tcW w:w="2268" w:type="dxa"/>
            <w:vAlign w:val="center"/>
          </w:tcPr>
          <w:p>
            <w:pPr>
              <w:pStyle w:val="13"/>
            </w:pPr>
            <w:r>
              <w:t>可报销税票上的金额为准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办理退费手续完成率</w:t>
            </w:r>
          </w:p>
        </w:tc>
        <w:tc>
          <w:tcPr>
            <w:tcW w:w="5386" w:type="dxa"/>
            <w:vAlign w:val="center"/>
          </w:tcPr>
          <w:p>
            <w:pPr>
              <w:pStyle w:val="13"/>
            </w:pPr>
            <w:r>
              <w:t>正常有序、及时办理退费手续率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回迁户满意度</w:t>
            </w:r>
          </w:p>
        </w:tc>
        <w:tc>
          <w:tcPr>
            <w:tcW w:w="5386" w:type="dxa"/>
            <w:vAlign w:val="center"/>
          </w:tcPr>
          <w:p>
            <w:pPr>
              <w:pStyle w:val="13"/>
            </w:pPr>
            <w:r>
              <w:t>北斗路拆迁改造工程涉及的一街、二街、八街和水务局回迁户满意度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51、2025年涉军劳务派遣工资（征收）绩效目标表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13011025P00154010012U</w:t>
            </w:r>
          </w:p>
        </w:tc>
        <w:tc>
          <w:tcPr>
            <w:tcW w:w="2835" w:type="dxa"/>
            <w:vAlign w:val="center"/>
          </w:tcPr>
          <w:p>
            <w:pPr>
              <w:pStyle w:val="11"/>
            </w:pPr>
            <w:r>
              <w:t>项目名称</w:t>
            </w:r>
          </w:p>
        </w:tc>
        <w:tc>
          <w:tcPr>
            <w:tcW w:w="6095" w:type="dxa"/>
            <w:gridSpan w:val="3"/>
            <w:vAlign w:val="center"/>
          </w:tcPr>
          <w:p>
            <w:pPr>
              <w:pStyle w:val="13"/>
            </w:pPr>
            <w:r>
              <w:t>2025年涉军劳务派遣工资（征收）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w:t>
            </w:r>
          </w:p>
        </w:tc>
        <w:tc>
          <w:tcPr>
            <w:tcW w:w="2835" w:type="dxa"/>
            <w:vAlign w:val="center"/>
          </w:tcPr>
          <w:p>
            <w:pPr>
              <w:pStyle w:val="11"/>
            </w:pPr>
            <w:r>
              <w:t>其中：财政    资金</w:t>
            </w:r>
          </w:p>
        </w:tc>
        <w:tc>
          <w:tcPr>
            <w:tcW w:w="2551" w:type="dxa"/>
            <w:vAlign w:val="center"/>
          </w:tcPr>
          <w:p>
            <w:pPr>
              <w:pStyle w:val="13"/>
            </w:pPr>
            <w:r>
              <w:t>5.80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"对符合条件的退役军人2人，实行托管安置，帮扶到位，加大就业援助力度"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1."对符合条件的退役军人2人，实行托管安置，帮扶到位，加大就业援助力度"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退役人数</w:t>
            </w:r>
          </w:p>
        </w:tc>
        <w:tc>
          <w:tcPr>
            <w:tcW w:w="5386" w:type="dxa"/>
            <w:vAlign w:val="center"/>
          </w:tcPr>
          <w:p>
            <w:pPr>
              <w:pStyle w:val="13"/>
            </w:pPr>
            <w:r>
              <w:t>单位退役实际人数</w:t>
            </w:r>
          </w:p>
        </w:tc>
        <w:tc>
          <w:tcPr>
            <w:tcW w:w="2268" w:type="dxa"/>
            <w:vAlign w:val="center"/>
          </w:tcPr>
          <w:p>
            <w:pPr>
              <w:pStyle w:val="13"/>
            </w:pPr>
            <w:r>
              <w:t>1人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及时发放时间</w:t>
            </w:r>
          </w:p>
        </w:tc>
        <w:tc>
          <w:tcPr>
            <w:tcW w:w="5386" w:type="dxa"/>
            <w:vAlign w:val="center"/>
          </w:tcPr>
          <w:p>
            <w:pPr>
              <w:pStyle w:val="13"/>
            </w:pPr>
            <w:r>
              <w:t>资金到位后及时发放</w:t>
            </w:r>
          </w:p>
        </w:tc>
        <w:tc>
          <w:tcPr>
            <w:tcW w:w="2268" w:type="dxa"/>
            <w:vAlign w:val="center"/>
          </w:tcPr>
          <w:p>
            <w:pPr>
              <w:pStyle w:val="13"/>
            </w:pPr>
            <w:r>
              <w:t>≤7工作日</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退役人员工资发放标准</w:t>
            </w:r>
          </w:p>
        </w:tc>
        <w:tc>
          <w:tcPr>
            <w:tcW w:w="5386" w:type="dxa"/>
            <w:vAlign w:val="center"/>
          </w:tcPr>
          <w:p>
            <w:pPr>
              <w:pStyle w:val="13"/>
            </w:pPr>
            <w:r>
              <w:t>对符合条件的退役人员发放工资标准</w:t>
            </w:r>
          </w:p>
        </w:tc>
        <w:tc>
          <w:tcPr>
            <w:tcW w:w="2268" w:type="dxa"/>
            <w:vAlign w:val="center"/>
          </w:tcPr>
          <w:p>
            <w:pPr>
              <w:pStyle w:val="13"/>
            </w:pPr>
            <w:r>
              <w:t>5.8万元</w:t>
            </w:r>
          </w:p>
        </w:tc>
        <w:tc>
          <w:tcPr>
            <w:tcW w:w="1276" w:type="dxa"/>
            <w:vAlign w:val="center"/>
          </w:tcPr>
          <w:p>
            <w:pPr>
              <w:pStyle w:val="13"/>
            </w:pPr>
            <w:r>
              <w:t>年初预收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托管安置帮扶人数</w:t>
            </w:r>
          </w:p>
        </w:tc>
        <w:tc>
          <w:tcPr>
            <w:tcW w:w="5386" w:type="dxa"/>
            <w:vAlign w:val="center"/>
          </w:tcPr>
          <w:p>
            <w:pPr>
              <w:pStyle w:val="13"/>
            </w:pPr>
            <w:r>
              <w:t>对退役帮扶安置人员到位的人数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对退役安置满意和较满意的人数</w:t>
            </w:r>
          </w:p>
        </w:tc>
        <w:tc>
          <w:tcPr>
            <w:tcW w:w="2268" w:type="dxa"/>
            <w:vAlign w:val="center"/>
          </w:tcPr>
          <w:p>
            <w:pPr>
              <w:pStyle w:val="13"/>
            </w:pPr>
            <w:r>
              <w:t>1人</w:t>
            </w:r>
          </w:p>
        </w:tc>
        <w:tc>
          <w:tcPr>
            <w:tcW w:w="1276" w:type="dxa"/>
            <w:vAlign w:val="center"/>
          </w:tcPr>
          <w:p>
            <w:pPr>
              <w:pStyle w:val="13"/>
            </w:pPr>
            <w:r>
              <w:t>鹿办文[2017]31号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52、2025年水泥厂房屋征收成本绩效目标表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13011025P00161710007U</w:t>
            </w:r>
          </w:p>
        </w:tc>
        <w:tc>
          <w:tcPr>
            <w:tcW w:w="2835" w:type="dxa"/>
            <w:vAlign w:val="center"/>
          </w:tcPr>
          <w:p>
            <w:pPr>
              <w:pStyle w:val="11"/>
            </w:pPr>
            <w:r>
              <w:t>项目名称</w:t>
            </w:r>
          </w:p>
        </w:tc>
        <w:tc>
          <w:tcPr>
            <w:tcW w:w="6095" w:type="dxa"/>
            <w:gridSpan w:val="3"/>
            <w:vAlign w:val="center"/>
          </w:tcPr>
          <w:p>
            <w:pPr>
              <w:pStyle w:val="13"/>
            </w:pPr>
            <w:r>
              <w:t>2025年水泥厂房屋征收成本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2800.00</w:t>
            </w:r>
          </w:p>
        </w:tc>
        <w:tc>
          <w:tcPr>
            <w:tcW w:w="2835" w:type="dxa"/>
            <w:vAlign w:val="center"/>
          </w:tcPr>
          <w:p>
            <w:pPr>
              <w:pStyle w:val="11"/>
            </w:pPr>
            <w:r>
              <w:t>其中：财政    资金</w:t>
            </w:r>
          </w:p>
        </w:tc>
        <w:tc>
          <w:tcPr>
            <w:tcW w:w="2551" w:type="dxa"/>
            <w:vAlign w:val="center"/>
          </w:tcPr>
          <w:p>
            <w:pPr>
              <w:pStyle w:val="13"/>
            </w:pPr>
            <w:r>
              <w:t>2800.00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主要用于房屋征收及回迁楼建安成本支出</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1.主要用于房屋征收及回迁楼建安成本支出</w:t>
            </w:r>
            <w:r>
              <w:tab/>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拆迁面积</w:t>
            </w:r>
          </w:p>
        </w:tc>
        <w:tc>
          <w:tcPr>
            <w:tcW w:w="5386" w:type="dxa"/>
            <w:vAlign w:val="center"/>
          </w:tcPr>
          <w:p>
            <w:pPr>
              <w:pStyle w:val="13"/>
            </w:pPr>
            <w:r>
              <w:t>项目拆迁面积</w:t>
            </w:r>
          </w:p>
        </w:tc>
        <w:tc>
          <w:tcPr>
            <w:tcW w:w="2268" w:type="dxa"/>
            <w:vAlign w:val="center"/>
          </w:tcPr>
          <w:p>
            <w:pPr>
              <w:pStyle w:val="13"/>
            </w:pPr>
            <w:r>
              <w:t>3.5万平米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回迁面积</w:t>
            </w:r>
          </w:p>
        </w:tc>
        <w:tc>
          <w:tcPr>
            <w:tcW w:w="5386" w:type="dxa"/>
            <w:vAlign w:val="center"/>
          </w:tcPr>
          <w:p>
            <w:pPr>
              <w:pStyle w:val="13"/>
            </w:pPr>
            <w:r>
              <w:t>回迁楼建筑面积</w:t>
            </w:r>
          </w:p>
        </w:tc>
        <w:tc>
          <w:tcPr>
            <w:tcW w:w="2268" w:type="dxa"/>
            <w:vAlign w:val="center"/>
          </w:tcPr>
          <w:p>
            <w:pPr>
              <w:pStyle w:val="13"/>
            </w:pPr>
            <w:r>
              <w:t>4535平方米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拆迁及回迁建设完成率</w:t>
            </w:r>
          </w:p>
        </w:tc>
        <w:tc>
          <w:tcPr>
            <w:tcW w:w="5386" w:type="dxa"/>
            <w:vAlign w:val="center"/>
          </w:tcPr>
          <w:p>
            <w:pPr>
              <w:pStyle w:val="13"/>
            </w:pPr>
            <w:r>
              <w:t>拆迁及回迁建设完成率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拆迁及回迁建设工作按时完成率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拆迁及回迁建设部分成本</w:t>
            </w:r>
          </w:p>
        </w:tc>
        <w:tc>
          <w:tcPr>
            <w:tcW w:w="2268" w:type="dxa"/>
            <w:vAlign w:val="center"/>
          </w:tcPr>
          <w:p>
            <w:pPr>
              <w:pStyle w:val="13"/>
            </w:pPr>
            <w:r>
              <w:t>6599万元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回迁楼户数</w:t>
            </w:r>
          </w:p>
        </w:tc>
        <w:tc>
          <w:tcPr>
            <w:tcW w:w="5386" w:type="dxa"/>
            <w:vAlign w:val="center"/>
          </w:tcPr>
          <w:p>
            <w:pPr>
              <w:pStyle w:val="13"/>
            </w:pPr>
            <w:r>
              <w:t>回迁楼可安置户数</w:t>
            </w:r>
          </w:p>
        </w:tc>
        <w:tc>
          <w:tcPr>
            <w:tcW w:w="2268" w:type="dxa"/>
            <w:vAlign w:val="center"/>
          </w:tcPr>
          <w:p>
            <w:pPr>
              <w:pStyle w:val="13"/>
            </w:pPr>
            <w:r>
              <w:t>440户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交房期限</w:t>
            </w:r>
          </w:p>
        </w:tc>
        <w:tc>
          <w:tcPr>
            <w:tcW w:w="5386" w:type="dxa"/>
            <w:vAlign w:val="center"/>
          </w:tcPr>
          <w:p>
            <w:pPr>
              <w:pStyle w:val="13"/>
            </w:pPr>
            <w:r>
              <w:t>回迁楼交房期限</w:t>
            </w:r>
          </w:p>
        </w:tc>
        <w:tc>
          <w:tcPr>
            <w:tcW w:w="2268" w:type="dxa"/>
            <w:vAlign w:val="center"/>
          </w:tcPr>
          <w:p>
            <w:pPr>
              <w:pStyle w:val="13"/>
            </w:pPr>
            <w:r>
              <w:t>≤2年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53、军队退役人员公益岗位工资（2025年）绩效目标表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13011025P00154010008M</w:t>
            </w:r>
          </w:p>
        </w:tc>
        <w:tc>
          <w:tcPr>
            <w:tcW w:w="2835" w:type="dxa"/>
            <w:vAlign w:val="center"/>
          </w:tcPr>
          <w:p>
            <w:pPr>
              <w:pStyle w:val="11"/>
            </w:pPr>
            <w:r>
              <w:t>项目名称</w:t>
            </w:r>
          </w:p>
        </w:tc>
        <w:tc>
          <w:tcPr>
            <w:tcW w:w="6095" w:type="dxa"/>
            <w:gridSpan w:val="3"/>
            <w:vAlign w:val="center"/>
          </w:tcPr>
          <w:p>
            <w:pPr>
              <w:pStyle w:val="13"/>
            </w:pPr>
            <w:r>
              <w:t>军队退役人员公益岗位工资（2025年）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47.47</w:t>
            </w:r>
          </w:p>
        </w:tc>
        <w:tc>
          <w:tcPr>
            <w:tcW w:w="2835" w:type="dxa"/>
            <w:vAlign w:val="center"/>
          </w:tcPr>
          <w:p>
            <w:pPr>
              <w:pStyle w:val="11"/>
            </w:pPr>
            <w:r>
              <w:t>其中：财政    资金</w:t>
            </w:r>
          </w:p>
        </w:tc>
        <w:tc>
          <w:tcPr>
            <w:tcW w:w="2551" w:type="dxa"/>
            <w:vAlign w:val="center"/>
          </w:tcPr>
          <w:p>
            <w:pPr>
              <w:pStyle w:val="13"/>
            </w:pPr>
            <w:r>
              <w:t>47.47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对符合政府安排工作条件的8名退役士兵，因下岗失业，生活困难的帮扶救助到位，加大就业援助工作力度，通过公益岗位予以托管安置。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1.对符合政府安排工作条件的8名退役士兵，因下岗失业，生活困难的帮扶救助到位，加大就业援助工作力度，通过公益岗位予以托管安置。</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退役军人公益岗位工资发放到位率</w:t>
            </w:r>
          </w:p>
        </w:tc>
        <w:tc>
          <w:tcPr>
            <w:tcW w:w="5386" w:type="dxa"/>
            <w:vAlign w:val="center"/>
          </w:tcPr>
          <w:p>
            <w:pPr>
              <w:pStyle w:val="13"/>
            </w:pPr>
            <w:r>
              <w:t>保障退役军人公益岗位工资按时足额发放人数占应发放人数的比例</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退役军人公益岗位工资的发放人数</w:t>
            </w:r>
          </w:p>
        </w:tc>
        <w:tc>
          <w:tcPr>
            <w:tcW w:w="5386" w:type="dxa"/>
            <w:vAlign w:val="center"/>
          </w:tcPr>
          <w:p>
            <w:pPr>
              <w:pStyle w:val="13"/>
            </w:pPr>
            <w:r>
              <w:t>单位安置退役军人公益岗位的实际人数</w:t>
            </w:r>
          </w:p>
        </w:tc>
        <w:tc>
          <w:tcPr>
            <w:tcW w:w="2268" w:type="dxa"/>
            <w:vAlign w:val="center"/>
          </w:tcPr>
          <w:p>
            <w:pPr>
              <w:pStyle w:val="13"/>
            </w:pPr>
            <w:r>
              <w:t>8个数</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退役军人公益岗位工资发放及时率</w:t>
            </w:r>
          </w:p>
        </w:tc>
        <w:tc>
          <w:tcPr>
            <w:tcW w:w="5386" w:type="dxa"/>
            <w:vAlign w:val="center"/>
          </w:tcPr>
          <w:p>
            <w:pPr>
              <w:pStyle w:val="13"/>
            </w:pPr>
            <w:r>
              <w:t>保障退役军人公益岗位工资发放及时发放的人数占应发放总人数的比率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退役军人公益岗位工资发放标准</w:t>
            </w:r>
          </w:p>
        </w:tc>
        <w:tc>
          <w:tcPr>
            <w:tcW w:w="5386" w:type="dxa"/>
            <w:vAlign w:val="center"/>
          </w:tcPr>
          <w:p>
            <w:pPr>
              <w:pStyle w:val="13"/>
            </w:pPr>
            <w:r>
              <w:t>对符合条件的退役军人公益岗位发放的金额。</w:t>
            </w:r>
          </w:p>
        </w:tc>
        <w:tc>
          <w:tcPr>
            <w:tcW w:w="2268" w:type="dxa"/>
            <w:vAlign w:val="center"/>
          </w:tcPr>
          <w:p>
            <w:pPr>
              <w:pStyle w:val="13"/>
            </w:pPr>
            <w:r>
              <w:t>统一按照规定执行</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托管安置帮扶到位率</w:t>
            </w:r>
          </w:p>
        </w:tc>
        <w:tc>
          <w:tcPr>
            <w:tcW w:w="5386" w:type="dxa"/>
            <w:vAlign w:val="center"/>
          </w:tcPr>
          <w:p>
            <w:pPr>
              <w:pStyle w:val="13"/>
            </w:pPr>
            <w:r>
              <w:t>对退役托管帮扶到位的人数比率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对退役安置满意和较满意的人数占总人数的比率</w:t>
            </w:r>
          </w:p>
        </w:tc>
        <w:tc>
          <w:tcPr>
            <w:tcW w:w="2268" w:type="dxa"/>
            <w:vAlign w:val="center"/>
          </w:tcPr>
          <w:p>
            <w:pPr>
              <w:pStyle w:val="13"/>
            </w:pPr>
            <w:r>
              <w:t>100%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54、执法业务费（2025年）绩效目标表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13011025P00156410026B</w:t>
            </w:r>
          </w:p>
        </w:tc>
        <w:tc>
          <w:tcPr>
            <w:tcW w:w="2835" w:type="dxa"/>
            <w:vAlign w:val="center"/>
          </w:tcPr>
          <w:p>
            <w:pPr>
              <w:pStyle w:val="11"/>
            </w:pPr>
            <w:r>
              <w:t>项目名称</w:t>
            </w:r>
          </w:p>
        </w:tc>
        <w:tc>
          <w:tcPr>
            <w:tcW w:w="6095" w:type="dxa"/>
            <w:gridSpan w:val="3"/>
            <w:vAlign w:val="center"/>
          </w:tcPr>
          <w:p>
            <w:pPr>
              <w:pStyle w:val="13"/>
            </w:pPr>
            <w:r>
              <w:t>执法业务费（2025年）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"确保28人的经费保障工作并通过对45个房地产销售项目、126个在建项目进行的执法检查，杜绝全区违规建设、销售行为，确保不发生违规建设及销售行为，保障房地产市场健康有序发展。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1."确保28人的经费保障工作并通过对45个房地产销售项目、126个在建项目进行的执法检查，杜绝全区违规建设、销售行为，确保不发生违规建设及销售行为，保障房地产市场健康有序发展。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28人</w:t>
            </w:r>
          </w:p>
        </w:tc>
        <w:tc>
          <w:tcPr>
            <w:tcW w:w="1276" w:type="dxa"/>
            <w:vAlign w:val="center"/>
          </w:tcPr>
          <w:p>
            <w:pPr>
              <w:pStyle w:val="13"/>
            </w:pPr>
            <w:r>
              <w:t>根据鹿政办[2012]1号文件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办公费、交通费、水电费、及其他公用经费的支出。</w:t>
            </w:r>
          </w:p>
        </w:tc>
        <w:tc>
          <w:tcPr>
            <w:tcW w:w="2268" w:type="dxa"/>
            <w:vAlign w:val="center"/>
          </w:tcPr>
          <w:p>
            <w:pPr>
              <w:pStyle w:val="13"/>
            </w:pPr>
            <w:r>
              <w:t>按统一规定执行</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行政检查项目的数量</w:t>
            </w:r>
          </w:p>
        </w:tc>
        <w:tc>
          <w:tcPr>
            <w:tcW w:w="5386" w:type="dxa"/>
            <w:vAlign w:val="center"/>
          </w:tcPr>
          <w:p>
            <w:pPr>
              <w:pStyle w:val="13"/>
            </w:pPr>
            <w:r>
              <w:t>实际检查房地产销售项目的个数。</w:t>
            </w:r>
          </w:p>
        </w:tc>
        <w:tc>
          <w:tcPr>
            <w:tcW w:w="2268" w:type="dxa"/>
            <w:vAlign w:val="center"/>
          </w:tcPr>
          <w:p>
            <w:pPr>
              <w:pStyle w:val="13"/>
            </w:pPr>
            <w:r>
              <w:t>45个数</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监督检查建立劳务实名制到位率</w:t>
            </w:r>
          </w:p>
        </w:tc>
        <w:tc>
          <w:tcPr>
            <w:tcW w:w="5386" w:type="dxa"/>
            <w:vAlign w:val="center"/>
          </w:tcPr>
          <w:p>
            <w:pPr>
              <w:pStyle w:val="13"/>
            </w:pPr>
            <w:r>
              <w:t>实际建立劳务实名制的项目数量占应建立劳务实名制项目数量的比例。</w:t>
            </w:r>
          </w:p>
        </w:tc>
        <w:tc>
          <w:tcPr>
            <w:tcW w:w="2268" w:type="dxa"/>
            <w:vAlign w:val="center"/>
          </w:tcPr>
          <w:p>
            <w:pPr>
              <w:pStyle w:val="13"/>
            </w:pPr>
            <w:r>
              <w:t>100%</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监督招标完成率</w:t>
            </w:r>
          </w:p>
        </w:tc>
        <w:tc>
          <w:tcPr>
            <w:tcW w:w="5386" w:type="dxa"/>
            <w:vAlign w:val="center"/>
          </w:tcPr>
          <w:p>
            <w:pPr>
              <w:pStyle w:val="13"/>
            </w:pPr>
            <w:r>
              <w:t>实际监管招标项目个数占招标项目个数的比例。</w:t>
            </w:r>
          </w:p>
        </w:tc>
        <w:tc>
          <w:tcPr>
            <w:tcW w:w="2268" w:type="dxa"/>
            <w:vAlign w:val="center"/>
          </w:tcPr>
          <w:p>
            <w:pPr>
              <w:pStyle w:val="13"/>
            </w:pPr>
            <w:r>
              <w:t>100%</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行政检查项目的及时率</w:t>
            </w:r>
          </w:p>
        </w:tc>
        <w:tc>
          <w:tcPr>
            <w:tcW w:w="5386" w:type="dxa"/>
            <w:vAlign w:val="center"/>
          </w:tcPr>
          <w:p>
            <w:pPr>
              <w:pStyle w:val="13"/>
            </w:pPr>
            <w:r>
              <w:t>实际行政检查在建项目个数占应执法检查在建项目个数的比例。</w:t>
            </w:r>
          </w:p>
        </w:tc>
        <w:tc>
          <w:tcPr>
            <w:tcW w:w="2268" w:type="dxa"/>
            <w:vAlign w:val="center"/>
          </w:tcPr>
          <w:p>
            <w:pPr>
              <w:pStyle w:val="13"/>
            </w:pPr>
            <w:r>
              <w:t>100%</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行政检查项目的数量</w:t>
            </w:r>
          </w:p>
        </w:tc>
        <w:tc>
          <w:tcPr>
            <w:tcW w:w="5386" w:type="dxa"/>
            <w:vAlign w:val="center"/>
          </w:tcPr>
          <w:p>
            <w:pPr>
              <w:pStyle w:val="13"/>
            </w:pPr>
            <w:r>
              <w:t>实际行政检查在建工程项目的个数。</w:t>
            </w:r>
          </w:p>
        </w:tc>
        <w:tc>
          <w:tcPr>
            <w:tcW w:w="2268" w:type="dxa"/>
            <w:vAlign w:val="center"/>
          </w:tcPr>
          <w:p>
            <w:pPr>
              <w:pStyle w:val="13"/>
            </w:pPr>
            <w:r>
              <w:t>126个数</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行政检查建设工程项目违规建设率</w:t>
            </w:r>
          </w:p>
        </w:tc>
        <w:tc>
          <w:tcPr>
            <w:tcW w:w="5386" w:type="dxa"/>
            <w:vAlign w:val="center"/>
          </w:tcPr>
          <w:p>
            <w:pPr>
              <w:pStyle w:val="13"/>
            </w:pPr>
            <w:r>
              <w:t>实际发生违规建设的数量占全部建设工程项目数量的比例。</w:t>
            </w:r>
          </w:p>
        </w:tc>
        <w:tc>
          <w:tcPr>
            <w:tcW w:w="2268" w:type="dxa"/>
            <w:vAlign w:val="center"/>
          </w:tcPr>
          <w:p>
            <w:pPr>
              <w:pStyle w:val="13"/>
            </w:pPr>
            <w:r>
              <w:t>1%</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行政检查房地产项目违规销售率</w:t>
            </w:r>
          </w:p>
        </w:tc>
        <w:tc>
          <w:tcPr>
            <w:tcW w:w="5386" w:type="dxa"/>
            <w:vAlign w:val="center"/>
          </w:tcPr>
          <w:p>
            <w:pPr>
              <w:pStyle w:val="13"/>
            </w:pPr>
            <w:r>
              <w:t>实际发生违规销售的数量占全部在售数量的比例。</w:t>
            </w:r>
          </w:p>
        </w:tc>
        <w:tc>
          <w:tcPr>
            <w:tcW w:w="2268" w:type="dxa"/>
            <w:vAlign w:val="center"/>
          </w:tcPr>
          <w:p>
            <w:pPr>
              <w:pStyle w:val="13"/>
            </w:pPr>
            <w:r>
              <w:t>1%</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产生拖欠农民工工资的发生率</w:t>
            </w:r>
          </w:p>
        </w:tc>
        <w:tc>
          <w:tcPr>
            <w:tcW w:w="5386" w:type="dxa"/>
            <w:vAlign w:val="center"/>
          </w:tcPr>
          <w:p>
            <w:pPr>
              <w:pStyle w:val="13"/>
            </w:pPr>
            <w:r>
              <w:t>实际产生拖欠农民工工资现象的数量占全部建设工程项目数量的比例。</w:t>
            </w:r>
          </w:p>
        </w:tc>
        <w:tc>
          <w:tcPr>
            <w:tcW w:w="2268" w:type="dxa"/>
            <w:vAlign w:val="center"/>
          </w:tcPr>
          <w:p>
            <w:pPr>
              <w:pStyle w:val="13"/>
            </w:pPr>
            <w:r>
              <w:t>1%</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保障日常办公需要，维持单位正常运转</w:t>
            </w:r>
          </w:p>
        </w:tc>
        <w:tc>
          <w:tcPr>
            <w:tcW w:w="5386" w:type="dxa"/>
            <w:vAlign w:val="center"/>
          </w:tcPr>
          <w:p>
            <w:pPr>
              <w:pStyle w:val="13"/>
            </w:pPr>
            <w:r>
              <w:t>保障日常办公需要，维持单位正常运转。</w:t>
            </w:r>
          </w:p>
        </w:tc>
        <w:tc>
          <w:tcPr>
            <w:tcW w:w="2268" w:type="dxa"/>
            <w:vAlign w:val="center"/>
          </w:tcPr>
          <w:p>
            <w:pPr>
              <w:pStyle w:val="13"/>
            </w:pPr>
            <w:r>
              <w:t>100%</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监督检查招标程序不合格、不规范率</w:t>
            </w:r>
          </w:p>
        </w:tc>
        <w:tc>
          <w:tcPr>
            <w:tcW w:w="5386" w:type="dxa"/>
            <w:vAlign w:val="center"/>
          </w:tcPr>
          <w:p>
            <w:pPr>
              <w:pStyle w:val="13"/>
            </w:pPr>
            <w:r>
              <w:t>实际产生招标项目不规范的数量占全部应招标项目数量的比例。</w:t>
            </w:r>
          </w:p>
        </w:tc>
        <w:tc>
          <w:tcPr>
            <w:tcW w:w="2268" w:type="dxa"/>
            <w:vAlign w:val="center"/>
          </w:tcPr>
          <w:p>
            <w:pPr>
              <w:pStyle w:val="13"/>
            </w:pPr>
            <w:r>
              <w:t>1%</w:t>
            </w:r>
          </w:p>
        </w:tc>
        <w:tc>
          <w:tcPr>
            <w:tcW w:w="1276" w:type="dxa"/>
            <w:vAlign w:val="center"/>
          </w:tcPr>
          <w:p>
            <w:pPr>
              <w:pStyle w:val="13"/>
            </w:pPr>
            <w:r>
              <w:t>根据鹿政办[2012]1号文件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群众对建筑和房地产市场管理的满意度。</w:t>
            </w:r>
          </w:p>
        </w:tc>
        <w:tc>
          <w:tcPr>
            <w:tcW w:w="2268" w:type="dxa"/>
            <w:vAlign w:val="center"/>
          </w:tcPr>
          <w:p>
            <w:pPr>
              <w:pStyle w:val="13"/>
            </w:pPr>
            <w:r>
              <w:t>100%</w:t>
            </w:r>
          </w:p>
        </w:tc>
        <w:tc>
          <w:tcPr>
            <w:tcW w:w="1276" w:type="dxa"/>
            <w:vAlign w:val="center"/>
          </w:tcPr>
          <w:p>
            <w:pPr>
              <w:pStyle w:val="13"/>
            </w:pPr>
            <w:r>
              <w:t>根据鹿政办[2012]1号文件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55、2025年入管网企业检测费绩效目标表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13011025P001564100605</w:t>
            </w:r>
          </w:p>
        </w:tc>
        <w:tc>
          <w:tcPr>
            <w:tcW w:w="2835" w:type="dxa"/>
            <w:vAlign w:val="center"/>
          </w:tcPr>
          <w:p>
            <w:pPr>
              <w:pStyle w:val="11"/>
            </w:pPr>
            <w:r>
              <w:t>项目名称</w:t>
            </w:r>
          </w:p>
        </w:tc>
        <w:tc>
          <w:tcPr>
            <w:tcW w:w="6095" w:type="dxa"/>
            <w:gridSpan w:val="3"/>
            <w:vAlign w:val="center"/>
          </w:tcPr>
          <w:p>
            <w:pPr>
              <w:pStyle w:val="13"/>
            </w:pPr>
            <w:r>
              <w:t>2025年入管网企业检测费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聘请第三方对65家企业进行水质检测，确保检测后入管网企业排水达标排放，污水处理厂进水水质达标。</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1.聘请第三方对65家企业进行水质检测，确保检测后入管网企业排水达标排放，污水处理厂进水水质达标。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污水检测雇佣人数</w:t>
            </w:r>
          </w:p>
        </w:tc>
        <w:tc>
          <w:tcPr>
            <w:tcW w:w="5386" w:type="dxa"/>
            <w:vAlign w:val="center"/>
          </w:tcPr>
          <w:p>
            <w:pPr>
              <w:pStyle w:val="13"/>
            </w:pPr>
            <w:r>
              <w:t>污水排放检测人员</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污水检测数量</w:t>
            </w:r>
          </w:p>
        </w:tc>
        <w:tc>
          <w:tcPr>
            <w:tcW w:w="5386" w:type="dxa"/>
            <w:vAlign w:val="center"/>
          </w:tcPr>
          <w:p>
            <w:pPr>
              <w:pStyle w:val="13"/>
            </w:pPr>
            <w:r>
              <w:t>检测接入污水管网单位数量</w:t>
            </w:r>
          </w:p>
        </w:tc>
        <w:tc>
          <w:tcPr>
            <w:tcW w:w="2268" w:type="dxa"/>
            <w:vAlign w:val="center"/>
          </w:tcPr>
          <w:p>
            <w:pPr>
              <w:pStyle w:val="13"/>
            </w:pPr>
            <w:r>
              <w:t>≥65家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检测准确率</w:t>
            </w:r>
          </w:p>
        </w:tc>
        <w:tc>
          <w:tcPr>
            <w:tcW w:w="5386" w:type="dxa"/>
            <w:vAlign w:val="center"/>
          </w:tcPr>
          <w:p>
            <w:pPr>
              <w:pStyle w:val="13"/>
            </w:pPr>
            <w:r>
              <w:t>检测水质数据准确率达到百分比</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污水检测成本</w:t>
            </w:r>
          </w:p>
        </w:tc>
        <w:tc>
          <w:tcPr>
            <w:tcW w:w="5386" w:type="dxa"/>
            <w:vAlign w:val="center"/>
          </w:tcPr>
          <w:p>
            <w:pPr>
              <w:pStyle w:val="13"/>
            </w:pPr>
            <w:r>
              <w:t>用于对入管网企业污水排放主要指标检测费用</w:t>
            </w:r>
          </w:p>
        </w:tc>
        <w:tc>
          <w:tcPr>
            <w:tcW w:w="2268" w:type="dxa"/>
            <w:vAlign w:val="center"/>
          </w:tcPr>
          <w:p>
            <w:pPr>
              <w:pStyle w:val="13"/>
            </w:pPr>
            <w:r>
              <w:t>≤32万元</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检测及时率</w:t>
            </w:r>
          </w:p>
        </w:tc>
        <w:tc>
          <w:tcPr>
            <w:tcW w:w="5386" w:type="dxa"/>
            <w:vAlign w:val="center"/>
          </w:tcPr>
          <w:p>
            <w:pPr>
              <w:pStyle w:val="13"/>
            </w:pPr>
            <w:r>
              <w:t>每年对入管网单位抽检率达到百分比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入管网单位排水达标</w:t>
            </w:r>
          </w:p>
        </w:tc>
        <w:tc>
          <w:tcPr>
            <w:tcW w:w="5386" w:type="dxa"/>
            <w:vAlign w:val="center"/>
          </w:tcPr>
          <w:p>
            <w:pPr>
              <w:pStyle w:val="13"/>
            </w:pPr>
            <w:r>
              <w:t>确保入管网单位排水达到污水处理厂进水标准</w:t>
            </w:r>
          </w:p>
        </w:tc>
        <w:tc>
          <w:tcPr>
            <w:tcW w:w="2268" w:type="dxa"/>
            <w:vAlign w:val="center"/>
          </w:tcPr>
          <w:p>
            <w:pPr>
              <w:pStyle w:val="13"/>
            </w:pPr>
            <w:r>
              <w:t>达标排放</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检测对象满意度</w:t>
            </w:r>
          </w:p>
        </w:tc>
        <w:tc>
          <w:tcPr>
            <w:tcW w:w="5386" w:type="dxa"/>
            <w:vAlign w:val="center"/>
          </w:tcPr>
          <w:p>
            <w:pPr>
              <w:pStyle w:val="13"/>
            </w:pPr>
            <w:r>
              <w:t>对入管网企业检测服务对象满意度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56、2025年山尹村镇提升泵站运行费绩效目标表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13011025P00156410062C</w:t>
            </w:r>
          </w:p>
        </w:tc>
        <w:tc>
          <w:tcPr>
            <w:tcW w:w="2835" w:type="dxa"/>
            <w:vAlign w:val="center"/>
          </w:tcPr>
          <w:p>
            <w:pPr>
              <w:pStyle w:val="11"/>
            </w:pPr>
            <w:r>
              <w:t>项目名称</w:t>
            </w:r>
          </w:p>
        </w:tc>
        <w:tc>
          <w:tcPr>
            <w:tcW w:w="6095" w:type="dxa"/>
            <w:gridSpan w:val="3"/>
            <w:vAlign w:val="center"/>
          </w:tcPr>
          <w:p>
            <w:pPr>
              <w:pStyle w:val="13"/>
            </w:pPr>
            <w:r>
              <w:t>2025年山尹村镇提升泵站运行费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"共雇佣3人对泵站设备进行维护和管理，保障山尹村泵站、配套设施正常运站。</w:t>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雇佣人数</w:t>
            </w:r>
          </w:p>
        </w:tc>
        <w:tc>
          <w:tcPr>
            <w:tcW w:w="5386" w:type="dxa"/>
            <w:vAlign w:val="center"/>
          </w:tcPr>
          <w:p>
            <w:pPr>
              <w:pStyle w:val="13"/>
            </w:pPr>
            <w:r>
              <w:t>每天派专人24小时对泵站进行管理运行</w:t>
            </w:r>
          </w:p>
        </w:tc>
        <w:tc>
          <w:tcPr>
            <w:tcW w:w="2268" w:type="dxa"/>
            <w:vAlign w:val="center"/>
          </w:tcPr>
          <w:p>
            <w:pPr>
              <w:pStyle w:val="13"/>
            </w:pPr>
            <w:r>
              <w:t>≥3人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维护泵站设备完成率</w:t>
            </w:r>
          </w:p>
        </w:tc>
        <w:tc>
          <w:tcPr>
            <w:tcW w:w="5386" w:type="dxa"/>
            <w:vAlign w:val="center"/>
          </w:tcPr>
          <w:p>
            <w:pPr>
              <w:pStyle w:val="13"/>
            </w:pPr>
            <w:r>
              <w:t>维护泵站设备正常运行维护全年合格率达到百分比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维护泵站设备及时率</w:t>
            </w:r>
          </w:p>
        </w:tc>
        <w:tc>
          <w:tcPr>
            <w:tcW w:w="5386" w:type="dxa"/>
            <w:vAlign w:val="center"/>
          </w:tcPr>
          <w:p>
            <w:pPr>
              <w:pStyle w:val="13"/>
            </w:pPr>
            <w:r>
              <w:t>维护泵站提升设备损坏、维修修复及时率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维护泵站管网成本</w:t>
            </w:r>
          </w:p>
        </w:tc>
        <w:tc>
          <w:tcPr>
            <w:tcW w:w="5386" w:type="dxa"/>
            <w:vAlign w:val="center"/>
          </w:tcPr>
          <w:p>
            <w:pPr>
              <w:pStyle w:val="13"/>
            </w:pPr>
            <w:r>
              <w:t>维护泵站日常运行、维修、管护、工资、电费等</w:t>
            </w:r>
          </w:p>
        </w:tc>
        <w:tc>
          <w:tcPr>
            <w:tcW w:w="2268" w:type="dxa"/>
            <w:vAlign w:val="center"/>
          </w:tcPr>
          <w:p>
            <w:pPr>
              <w:pStyle w:val="13"/>
            </w:pPr>
            <w:r>
              <w:t>63.36万元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解决周边企业居民污水收集处理</w:t>
            </w:r>
          </w:p>
        </w:tc>
        <w:tc>
          <w:tcPr>
            <w:tcW w:w="5386" w:type="dxa"/>
            <w:vAlign w:val="center"/>
          </w:tcPr>
          <w:p>
            <w:pPr>
              <w:pStyle w:val="13"/>
            </w:pPr>
            <w:r>
              <w:t>解决山尹村周边小区居民生活污水集中收集处理问题</w:t>
            </w:r>
          </w:p>
        </w:tc>
        <w:tc>
          <w:tcPr>
            <w:tcW w:w="2268" w:type="dxa"/>
            <w:vAlign w:val="center"/>
          </w:tcPr>
          <w:p>
            <w:pPr>
              <w:pStyle w:val="13"/>
            </w:pPr>
            <w:r>
              <w:t>确保泵站正常运行</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杜绝污水污染环境</w:t>
            </w:r>
          </w:p>
        </w:tc>
        <w:tc>
          <w:tcPr>
            <w:tcW w:w="5386" w:type="dxa"/>
            <w:vAlign w:val="center"/>
          </w:tcPr>
          <w:p>
            <w:pPr>
              <w:pStyle w:val="13"/>
            </w:pPr>
            <w:r>
              <w:t>确保污水收集处理设施正常运行，杜绝水环境污染，改善水环境</w:t>
            </w:r>
          </w:p>
        </w:tc>
        <w:tc>
          <w:tcPr>
            <w:tcW w:w="2268" w:type="dxa"/>
            <w:vAlign w:val="center"/>
          </w:tcPr>
          <w:p>
            <w:pPr>
              <w:pStyle w:val="13"/>
            </w:pPr>
            <w:r>
              <w:t>泵站设备正常运行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收水范围内收益群众满意度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57、2025年涉军劳务派遣工资（城建中心）绩效目标表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13011025P00154010032K</w:t>
            </w:r>
          </w:p>
        </w:tc>
        <w:tc>
          <w:tcPr>
            <w:tcW w:w="2835" w:type="dxa"/>
            <w:vAlign w:val="center"/>
          </w:tcPr>
          <w:p>
            <w:pPr>
              <w:pStyle w:val="11"/>
            </w:pPr>
            <w:r>
              <w:t>项目名称</w:t>
            </w:r>
          </w:p>
        </w:tc>
        <w:tc>
          <w:tcPr>
            <w:tcW w:w="6095" w:type="dxa"/>
            <w:gridSpan w:val="3"/>
            <w:vAlign w:val="center"/>
          </w:tcPr>
          <w:p>
            <w:pPr>
              <w:pStyle w:val="13"/>
            </w:pPr>
            <w:r>
              <w:t>2025年涉军劳务派遣工资（城建中心）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52.83</w:t>
            </w:r>
          </w:p>
        </w:tc>
        <w:tc>
          <w:tcPr>
            <w:tcW w:w="2835" w:type="dxa"/>
            <w:vAlign w:val="center"/>
          </w:tcPr>
          <w:p>
            <w:pPr>
              <w:pStyle w:val="11"/>
            </w:pPr>
            <w:r>
              <w:t>其中：财政    资金</w:t>
            </w:r>
          </w:p>
        </w:tc>
        <w:tc>
          <w:tcPr>
            <w:tcW w:w="2551" w:type="dxa"/>
            <w:vAlign w:val="center"/>
          </w:tcPr>
          <w:p>
            <w:pPr>
              <w:pStyle w:val="13"/>
            </w:pPr>
            <w:r>
              <w:t>52.83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58、2025年污水管网及泵站管护费绩效目标表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13011025P00156410061Q</w:t>
            </w:r>
          </w:p>
        </w:tc>
        <w:tc>
          <w:tcPr>
            <w:tcW w:w="2835" w:type="dxa"/>
            <w:vAlign w:val="center"/>
          </w:tcPr>
          <w:p>
            <w:pPr>
              <w:pStyle w:val="11"/>
            </w:pPr>
            <w:r>
              <w:t>项目名称</w:t>
            </w:r>
          </w:p>
        </w:tc>
        <w:tc>
          <w:tcPr>
            <w:tcW w:w="6095" w:type="dxa"/>
            <w:gridSpan w:val="3"/>
            <w:vAlign w:val="center"/>
          </w:tcPr>
          <w:p>
            <w:pPr>
              <w:pStyle w:val="13"/>
            </w:pPr>
            <w:r>
              <w:t>2025年污水管网及泵站管护费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共雇佣30人对50公里的管网和泵站进行巡护和维护疏通管理，保障寺家庄、拾里洋房、东北片区及中途泵站、污水厂管护、城外污水厂管护和配套设施正常运站。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雇佣人数</w:t>
            </w:r>
          </w:p>
        </w:tc>
        <w:tc>
          <w:tcPr>
            <w:tcW w:w="5386" w:type="dxa"/>
            <w:vAlign w:val="center"/>
          </w:tcPr>
          <w:p>
            <w:pPr>
              <w:pStyle w:val="13"/>
            </w:pPr>
            <w:r>
              <w:t>维护泵站管网运行人员</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维护管网长度</w:t>
            </w:r>
          </w:p>
        </w:tc>
        <w:tc>
          <w:tcPr>
            <w:tcW w:w="5386" w:type="dxa"/>
            <w:vAlign w:val="center"/>
          </w:tcPr>
          <w:p>
            <w:pPr>
              <w:pStyle w:val="13"/>
            </w:pPr>
            <w:r>
              <w:t>维护泵站污水管网管护长度</w:t>
            </w:r>
          </w:p>
        </w:tc>
        <w:tc>
          <w:tcPr>
            <w:tcW w:w="2268" w:type="dxa"/>
            <w:vAlign w:val="center"/>
          </w:tcPr>
          <w:p>
            <w:pPr>
              <w:pStyle w:val="13"/>
            </w:pPr>
            <w:r>
              <w:t>≥50公里</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维护污水管网及时率</w:t>
            </w:r>
          </w:p>
        </w:tc>
        <w:tc>
          <w:tcPr>
            <w:tcW w:w="5386" w:type="dxa"/>
            <w:vAlign w:val="center"/>
          </w:tcPr>
          <w:p>
            <w:pPr>
              <w:pStyle w:val="13"/>
            </w:pPr>
            <w:r>
              <w:t>维护污水管道损坏及修复及时率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维护泵站管网成本</w:t>
            </w:r>
          </w:p>
        </w:tc>
        <w:tc>
          <w:tcPr>
            <w:tcW w:w="5386" w:type="dxa"/>
            <w:vAlign w:val="center"/>
          </w:tcPr>
          <w:p>
            <w:pPr>
              <w:pStyle w:val="13"/>
            </w:pPr>
            <w:r>
              <w:t>维护泵站、管网日常运行、维修、管护、工资、电费等</w:t>
            </w:r>
          </w:p>
        </w:tc>
        <w:tc>
          <w:tcPr>
            <w:tcW w:w="2268" w:type="dxa"/>
            <w:vAlign w:val="center"/>
          </w:tcPr>
          <w:p>
            <w:pPr>
              <w:pStyle w:val="13"/>
            </w:pPr>
            <w:r>
              <w:t>371.37万元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维护泵站管网完成率</w:t>
            </w:r>
          </w:p>
        </w:tc>
        <w:tc>
          <w:tcPr>
            <w:tcW w:w="5386" w:type="dxa"/>
            <w:vAlign w:val="center"/>
          </w:tcPr>
          <w:p>
            <w:pPr>
              <w:pStyle w:val="13"/>
            </w:pPr>
            <w:r>
              <w:t>维护泵站管网全年合格率达到百分比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解决周边企业居民污水收集处理</w:t>
            </w:r>
          </w:p>
        </w:tc>
        <w:tc>
          <w:tcPr>
            <w:tcW w:w="5386" w:type="dxa"/>
            <w:vAlign w:val="center"/>
          </w:tcPr>
          <w:p>
            <w:pPr>
              <w:pStyle w:val="13"/>
            </w:pPr>
            <w:r>
              <w:t>解决主管网周边居民生活污水集中收集处理问题</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收水范围内收益群众满意度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59、西北物流污水管网管护绩效目标表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13011025P000001104695</w:t>
            </w:r>
          </w:p>
        </w:tc>
        <w:tc>
          <w:tcPr>
            <w:tcW w:w="2835" w:type="dxa"/>
            <w:vAlign w:val="center"/>
          </w:tcPr>
          <w:p>
            <w:pPr>
              <w:pStyle w:val="11"/>
            </w:pPr>
            <w:r>
              <w:t>项目名称</w:t>
            </w:r>
          </w:p>
        </w:tc>
        <w:tc>
          <w:tcPr>
            <w:tcW w:w="6095" w:type="dxa"/>
            <w:gridSpan w:val="3"/>
            <w:vAlign w:val="center"/>
          </w:tcPr>
          <w:p>
            <w:pPr>
              <w:pStyle w:val="13"/>
            </w:pPr>
            <w:r>
              <w:t>西北物流污水管网管护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新增西北物流污水管网管护，其中运行人员20人、工人工资及养老保险、工伤保险、管理费、电费、设备维护、维修等费用共计150万元</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1.新增西北物流污水管网管护，其中运行人员20人、工人工资及养老保险、工伤保险、管理费、电费、设备维护、维修等费用共计150万元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雇佣人数</w:t>
            </w:r>
          </w:p>
        </w:tc>
        <w:tc>
          <w:tcPr>
            <w:tcW w:w="5386" w:type="dxa"/>
            <w:vAlign w:val="center"/>
          </w:tcPr>
          <w:p>
            <w:pPr>
              <w:pStyle w:val="13"/>
            </w:pPr>
            <w:r>
              <w:t>每天派专人24小时对泵站进行管理运行</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维护泵站设备完成率</w:t>
            </w:r>
          </w:p>
        </w:tc>
        <w:tc>
          <w:tcPr>
            <w:tcW w:w="5386" w:type="dxa"/>
            <w:vAlign w:val="center"/>
          </w:tcPr>
          <w:p>
            <w:pPr>
              <w:pStyle w:val="13"/>
            </w:pPr>
            <w:r>
              <w:t>维护设备正常运行维护全年合格率达到百分比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维护泵站设备及时率</w:t>
            </w:r>
          </w:p>
        </w:tc>
        <w:tc>
          <w:tcPr>
            <w:tcW w:w="5386" w:type="dxa"/>
            <w:vAlign w:val="center"/>
          </w:tcPr>
          <w:p>
            <w:pPr>
              <w:pStyle w:val="13"/>
            </w:pPr>
            <w:r>
              <w:t>维护泵站提升设备损坏、维修修复及时率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维护泵站管网成本</w:t>
            </w:r>
          </w:p>
        </w:tc>
        <w:tc>
          <w:tcPr>
            <w:tcW w:w="5386" w:type="dxa"/>
            <w:vAlign w:val="center"/>
          </w:tcPr>
          <w:p>
            <w:pPr>
              <w:pStyle w:val="13"/>
            </w:pPr>
            <w:r>
              <w:t>维护泵站日常运行、维修、管护、工资、电费等</w:t>
            </w:r>
          </w:p>
        </w:tc>
        <w:tc>
          <w:tcPr>
            <w:tcW w:w="2268" w:type="dxa"/>
            <w:vAlign w:val="center"/>
          </w:tcPr>
          <w:p>
            <w:pPr>
              <w:pStyle w:val="13"/>
            </w:pPr>
            <w:r>
              <w:t>150万元</w:t>
            </w:r>
          </w:p>
        </w:tc>
        <w:tc>
          <w:tcPr>
            <w:tcW w:w="1276" w:type="dxa"/>
            <w:vAlign w:val="center"/>
          </w:tcPr>
          <w:p>
            <w:pPr>
              <w:pStyle w:val="13"/>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解决周边企业居民污水收集处理</w:t>
            </w:r>
          </w:p>
        </w:tc>
        <w:tc>
          <w:tcPr>
            <w:tcW w:w="5386" w:type="dxa"/>
            <w:vAlign w:val="center"/>
          </w:tcPr>
          <w:p>
            <w:pPr>
              <w:pStyle w:val="13"/>
            </w:pPr>
            <w:r>
              <w:t>维护泵站管网全年合格率达到百分比</w:t>
            </w:r>
          </w:p>
        </w:tc>
        <w:tc>
          <w:tcPr>
            <w:tcW w:w="2268" w:type="dxa"/>
            <w:vAlign w:val="center"/>
          </w:tcPr>
          <w:p>
            <w:pPr>
              <w:pStyle w:val="13"/>
            </w:pPr>
            <w:r>
              <w:t>100%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杜绝污水污染环境</w:t>
            </w:r>
          </w:p>
        </w:tc>
        <w:tc>
          <w:tcPr>
            <w:tcW w:w="5386" w:type="dxa"/>
            <w:vAlign w:val="center"/>
          </w:tcPr>
          <w:p>
            <w:pPr>
              <w:pStyle w:val="13"/>
            </w:pPr>
            <w:r>
              <w:t>解决主管网周边居民生活污水集中收集处理问题</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收水范围内收益群众满意度</w:t>
            </w:r>
          </w:p>
        </w:tc>
        <w:tc>
          <w:tcPr>
            <w:tcW w:w="2268" w:type="dxa"/>
            <w:vAlign w:val="center"/>
          </w:tcPr>
          <w:p>
            <w:pPr>
              <w:pStyle w:val="13"/>
            </w:pPr>
            <w:r>
              <w:t>≥95%</w:t>
            </w:r>
          </w:p>
        </w:tc>
        <w:tc>
          <w:tcPr>
            <w:tcW w:w="1276" w:type="dxa"/>
            <w:vAlign w:val="center"/>
          </w:tcPr>
          <w:p>
            <w:pPr>
              <w:pStyle w:val="13"/>
            </w:pPr>
            <w:r>
              <w:t>计划标准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60、2025年房产军队退役人员公益岗位工资绩效目标表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13011025P001540100099</w:t>
            </w:r>
          </w:p>
        </w:tc>
        <w:tc>
          <w:tcPr>
            <w:tcW w:w="2835" w:type="dxa"/>
            <w:vAlign w:val="center"/>
          </w:tcPr>
          <w:p>
            <w:pPr>
              <w:pStyle w:val="11"/>
            </w:pPr>
            <w:r>
              <w:t>项目名称</w:t>
            </w:r>
          </w:p>
        </w:tc>
        <w:tc>
          <w:tcPr>
            <w:tcW w:w="6095" w:type="dxa"/>
            <w:gridSpan w:val="3"/>
            <w:vAlign w:val="center"/>
          </w:tcPr>
          <w:p>
            <w:pPr>
              <w:pStyle w:val="13"/>
            </w:pPr>
            <w:r>
              <w:t>2025年房产军队退役人员公益岗位工资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17.40</w:t>
            </w:r>
          </w:p>
        </w:tc>
        <w:tc>
          <w:tcPr>
            <w:tcW w:w="2835" w:type="dxa"/>
            <w:vAlign w:val="center"/>
          </w:tcPr>
          <w:p>
            <w:pPr>
              <w:pStyle w:val="11"/>
            </w:pPr>
            <w:r>
              <w:t>其中：财政    资金</w:t>
            </w:r>
          </w:p>
        </w:tc>
        <w:tc>
          <w:tcPr>
            <w:tcW w:w="2551" w:type="dxa"/>
            <w:vAlign w:val="center"/>
          </w:tcPr>
          <w:p>
            <w:pPr>
              <w:pStyle w:val="13"/>
            </w:pPr>
            <w:r>
              <w:t>17.40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对符合政府安排工作条件的退役士兵，因下岗失业，生活困难的帮扶救助到位，加大就业援助工作力度，通过公益岗位予以托管安置。</w:t>
            </w:r>
            <w:r>
              <w:tab/>
            </w:r>
            <w:r>
              <w:tab/>
            </w:r>
            <w:r>
              <w:tab/>
            </w:r>
            <w:r>
              <w:tab/>
            </w:r>
            <w:r>
              <w:tab/>
            </w:r>
            <w:r>
              <w:tab/>
            </w:r>
          </w:p>
          <w:p>
            <w:pPr>
              <w:pStyle w:val="13"/>
            </w:pP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1.对符合政府安排工作条件的退役士兵，因下岗失业，生活困难的帮扶救助到位，加大就业援助工作力度，通过公益岗位予以托管安置。</w:t>
            </w:r>
            <w:r>
              <w:tab/>
            </w:r>
            <w:r>
              <w:tab/>
            </w:r>
            <w:r>
              <w:tab/>
            </w:r>
            <w:r>
              <w:tab/>
            </w:r>
            <w:r>
              <w:tab/>
            </w:r>
            <w:r>
              <w:tab/>
            </w:r>
          </w:p>
          <w:p>
            <w:pPr>
              <w:pStyle w:val="13"/>
            </w:pP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退役军人公益岗位工资资金发放到位率</w:t>
            </w:r>
          </w:p>
        </w:tc>
        <w:tc>
          <w:tcPr>
            <w:tcW w:w="5386" w:type="dxa"/>
            <w:vAlign w:val="center"/>
          </w:tcPr>
          <w:p>
            <w:pPr>
              <w:pStyle w:val="13"/>
            </w:pPr>
            <w:r>
              <w:t>保障退役军人公益岗位工资按时足额发放人数占实际发放人数的比例</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安置退役军人公益岗位人数</w:t>
            </w:r>
          </w:p>
        </w:tc>
        <w:tc>
          <w:tcPr>
            <w:tcW w:w="5386" w:type="dxa"/>
            <w:vAlign w:val="center"/>
          </w:tcPr>
          <w:p>
            <w:pPr>
              <w:pStyle w:val="13"/>
            </w:pPr>
            <w:r>
              <w:t>单位安置退役军人公益岗位的实际人数</w:t>
            </w:r>
          </w:p>
        </w:tc>
        <w:tc>
          <w:tcPr>
            <w:tcW w:w="2268" w:type="dxa"/>
            <w:vAlign w:val="center"/>
          </w:tcPr>
          <w:p>
            <w:pPr>
              <w:pStyle w:val="13"/>
            </w:pPr>
            <w:r>
              <w:t>3个</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退役军人公益岗位工资发放及时率</w:t>
            </w:r>
          </w:p>
        </w:tc>
        <w:tc>
          <w:tcPr>
            <w:tcW w:w="5386" w:type="dxa"/>
            <w:vAlign w:val="center"/>
          </w:tcPr>
          <w:p>
            <w:pPr>
              <w:pStyle w:val="13"/>
            </w:pPr>
            <w:r>
              <w:t>保障退役军人公益岗位工资发放及时的人数占应发放总人数的比率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退役军人公益岗位资金发放标准</w:t>
            </w:r>
          </w:p>
        </w:tc>
        <w:tc>
          <w:tcPr>
            <w:tcW w:w="5386" w:type="dxa"/>
            <w:vAlign w:val="center"/>
          </w:tcPr>
          <w:p>
            <w:pPr>
              <w:pStyle w:val="13"/>
            </w:pPr>
            <w:r>
              <w:t>对符合条件的退役军人公益岗位发放的工资金额</w:t>
            </w:r>
          </w:p>
        </w:tc>
        <w:tc>
          <w:tcPr>
            <w:tcW w:w="2268" w:type="dxa"/>
            <w:vAlign w:val="center"/>
          </w:tcPr>
          <w:p>
            <w:pPr>
              <w:pStyle w:val="13"/>
            </w:pPr>
            <w:r>
              <w:t>17.4万元</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托管安置帮扶到位率</w:t>
            </w:r>
          </w:p>
        </w:tc>
        <w:tc>
          <w:tcPr>
            <w:tcW w:w="5386" w:type="dxa"/>
            <w:vAlign w:val="center"/>
          </w:tcPr>
          <w:p>
            <w:pPr>
              <w:pStyle w:val="13"/>
            </w:pPr>
            <w:r>
              <w:t>对退役托管安置帮扶到位人数比率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退役军人安置满意度</w:t>
            </w:r>
          </w:p>
        </w:tc>
        <w:tc>
          <w:tcPr>
            <w:tcW w:w="5386" w:type="dxa"/>
            <w:vAlign w:val="center"/>
          </w:tcPr>
          <w:p>
            <w:pPr>
              <w:pStyle w:val="13"/>
            </w:pPr>
            <w:r>
              <w:t>对退役军人安置满意和较满意的人数占总人数的比率</w:t>
            </w:r>
          </w:p>
        </w:tc>
        <w:tc>
          <w:tcPr>
            <w:tcW w:w="2268" w:type="dxa"/>
            <w:vAlign w:val="center"/>
          </w:tcPr>
          <w:p>
            <w:pPr>
              <w:pStyle w:val="13"/>
            </w:pPr>
            <w:r>
              <w:t>100%</w:t>
            </w:r>
          </w:p>
        </w:tc>
        <w:tc>
          <w:tcPr>
            <w:tcW w:w="1276" w:type="dxa"/>
            <w:vAlign w:val="center"/>
          </w:tcPr>
          <w:p>
            <w:pPr>
              <w:pStyle w:val="13"/>
            </w:pPr>
            <w:r>
              <w:t>鹿办文【2017】31号文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61、2025年房屋鉴定中心办公经费绩效目标表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13011025P00156410055B</w:t>
            </w:r>
          </w:p>
        </w:tc>
        <w:tc>
          <w:tcPr>
            <w:tcW w:w="2835" w:type="dxa"/>
            <w:vAlign w:val="center"/>
          </w:tcPr>
          <w:p>
            <w:pPr>
              <w:pStyle w:val="11"/>
            </w:pPr>
            <w:r>
              <w:t>项目名称</w:t>
            </w:r>
          </w:p>
        </w:tc>
        <w:tc>
          <w:tcPr>
            <w:tcW w:w="6095" w:type="dxa"/>
            <w:gridSpan w:val="3"/>
            <w:vAlign w:val="center"/>
          </w:tcPr>
          <w:p>
            <w:pPr>
              <w:pStyle w:val="13"/>
            </w:pPr>
            <w:r>
              <w:t>2025年房屋鉴定中心办公经费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夏季汛期保障危旧房屋隐患排查，冬季防冻减灾保障危旧房屋隐患排查和日常巡查，隐患治理，保障住房安全，避免房屋安全事故发生。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1.夏季汛期保障危旧房屋隐患排查，冬季防冻减灾保障危旧房屋隐患排查和日常巡查，隐患治理，保障住房安全，避免房屋安全事故发生。</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巡查危房栋数</w:t>
            </w:r>
          </w:p>
        </w:tc>
        <w:tc>
          <w:tcPr>
            <w:tcW w:w="5386" w:type="dxa"/>
            <w:vAlign w:val="center"/>
          </w:tcPr>
          <w:p>
            <w:pPr>
              <w:pStyle w:val="13"/>
            </w:pPr>
            <w:r>
              <w:t>未按时完成审计项目数量</w:t>
            </w:r>
          </w:p>
        </w:tc>
        <w:tc>
          <w:tcPr>
            <w:tcW w:w="2268" w:type="dxa"/>
            <w:vAlign w:val="center"/>
          </w:tcPr>
          <w:p>
            <w:pPr>
              <w:pStyle w:val="13"/>
            </w:pPr>
            <w:r>
              <w:t>16栋</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巡查危房按时完成率</w:t>
            </w:r>
          </w:p>
        </w:tc>
        <w:tc>
          <w:tcPr>
            <w:tcW w:w="5386" w:type="dxa"/>
            <w:vAlign w:val="center"/>
          </w:tcPr>
          <w:p>
            <w:pPr>
              <w:pStyle w:val="13"/>
            </w:pPr>
            <w:r>
              <w:t>按时完成安全排查任务数占总排查任务的比例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成本控制，办公消耗，车辆使用，宣传牌、条幅制作费用</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楼栋隐患排查率</w:t>
            </w:r>
          </w:p>
        </w:tc>
        <w:tc>
          <w:tcPr>
            <w:tcW w:w="5386" w:type="dxa"/>
            <w:vAlign w:val="center"/>
          </w:tcPr>
          <w:p>
            <w:pPr>
              <w:pStyle w:val="13"/>
            </w:pPr>
            <w:r>
              <w:t>已完成鉴定的排除隐患危房数量占全部危房数量的占比</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受益户数</w:t>
            </w:r>
          </w:p>
        </w:tc>
        <w:tc>
          <w:tcPr>
            <w:tcW w:w="5386" w:type="dxa"/>
            <w:vAlign w:val="center"/>
          </w:tcPr>
          <w:p>
            <w:pPr>
              <w:pStyle w:val="13"/>
            </w:pPr>
            <w:r>
              <w:t>已完成鉴定的危房现居住户</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房屋安全事故发生事故</w:t>
            </w:r>
          </w:p>
        </w:tc>
        <w:tc>
          <w:tcPr>
            <w:tcW w:w="5386" w:type="dxa"/>
            <w:vAlign w:val="center"/>
          </w:tcPr>
          <w:p>
            <w:pPr>
              <w:pStyle w:val="13"/>
            </w:pPr>
            <w:r>
              <w:t>通过排查对隐患部位的处理，避免房屋安全事故的发生</w:t>
            </w:r>
          </w:p>
        </w:tc>
        <w:tc>
          <w:tcPr>
            <w:tcW w:w="2268" w:type="dxa"/>
            <w:vAlign w:val="center"/>
          </w:tcPr>
          <w:p>
            <w:pPr>
              <w:pStyle w:val="13"/>
            </w:pPr>
            <w:r>
              <w:t>0次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保障办公需要，维持单位运转</w:t>
            </w:r>
          </w:p>
        </w:tc>
        <w:tc>
          <w:tcPr>
            <w:tcW w:w="5386" w:type="dxa"/>
            <w:vAlign w:val="center"/>
          </w:tcPr>
          <w:p>
            <w:pPr>
              <w:pStyle w:val="13"/>
            </w:pPr>
            <w:r>
              <w:t>保障日常办公需要，维持单位正常运转</w:t>
            </w:r>
          </w:p>
        </w:tc>
        <w:tc>
          <w:tcPr>
            <w:tcW w:w="2268" w:type="dxa"/>
            <w:vAlign w:val="center"/>
          </w:tcPr>
          <w:p>
            <w:pPr>
              <w:pStyle w:val="13"/>
            </w:pPr>
            <w:r>
              <w:t>维持单位运转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危旧房屋现居住户的满意度</w:t>
            </w:r>
          </w:p>
        </w:tc>
        <w:tc>
          <w:tcPr>
            <w:tcW w:w="5386" w:type="dxa"/>
            <w:vAlign w:val="center"/>
          </w:tcPr>
          <w:p>
            <w:pPr>
              <w:pStyle w:val="13"/>
            </w:pPr>
            <w:r>
              <w:t>危旧房屋现居住户的满意度占居住户的比例</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62、2025年维修资金信息专网绩效目标表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13011025P00156410057J</w:t>
            </w:r>
          </w:p>
        </w:tc>
        <w:tc>
          <w:tcPr>
            <w:tcW w:w="2835" w:type="dxa"/>
            <w:vAlign w:val="center"/>
          </w:tcPr>
          <w:p>
            <w:pPr>
              <w:pStyle w:val="11"/>
            </w:pPr>
            <w:r>
              <w:t>项目名称</w:t>
            </w:r>
          </w:p>
        </w:tc>
        <w:tc>
          <w:tcPr>
            <w:tcW w:w="6095" w:type="dxa"/>
            <w:gridSpan w:val="3"/>
            <w:vAlign w:val="center"/>
          </w:tcPr>
          <w:p>
            <w:pPr>
              <w:pStyle w:val="13"/>
            </w:pPr>
            <w:r>
              <w:t>2025年维修资金信息专网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w:t>
            </w:r>
          </w:p>
        </w:tc>
        <w:tc>
          <w:tcPr>
            <w:tcW w:w="2835" w:type="dxa"/>
            <w:vAlign w:val="center"/>
          </w:tcPr>
          <w:p>
            <w:pPr>
              <w:pStyle w:val="11"/>
            </w:pPr>
            <w:r>
              <w:t>其中：财政    资金</w:t>
            </w:r>
          </w:p>
        </w:tc>
        <w:tc>
          <w:tcPr>
            <w:tcW w:w="2551" w:type="dxa"/>
            <w:vAlign w:val="center"/>
          </w:tcPr>
          <w:p>
            <w:pPr>
              <w:pStyle w:val="13"/>
            </w:pPr>
            <w:r>
              <w:t>3.20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维修资金窗口每年受理案件数约14余万件，此项费用是为了确保维修资金1个模块的正常运行，保持网络稳定，保障业务正常办理、工作正常运转。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1.维修资金窗口每年受理案件数约14余万件，此项费用是为了确保维修资金1个模块的正常运行，保持网络稳定，保障业务正常办理、工作正常运转。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电子票据系统维护</w:t>
            </w:r>
          </w:p>
        </w:tc>
        <w:tc>
          <w:tcPr>
            <w:tcW w:w="5386" w:type="dxa"/>
            <w:vAlign w:val="center"/>
          </w:tcPr>
          <w:p>
            <w:pPr>
              <w:pStyle w:val="13"/>
            </w:pPr>
            <w:r>
              <w:t>维修资金信息系统中电子票据系统维护费</w:t>
            </w:r>
          </w:p>
        </w:tc>
        <w:tc>
          <w:tcPr>
            <w:tcW w:w="2268" w:type="dxa"/>
            <w:vAlign w:val="center"/>
          </w:tcPr>
          <w:p>
            <w:pPr>
              <w:pStyle w:val="13"/>
            </w:pPr>
            <w:r>
              <w:t>3.2万元/年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涉及业务模块数量</w:t>
            </w:r>
          </w:p>
        </w:tc>
        <w:tc>
          <w:tcPr>
            <w:tcW w:w="5386" w:type="dxa"/>
            <w:vAlign w:val="center"/>
          </w:tcPr>
          <w:p>
            <w:pPr>
              <w:pStyle w:val="13"/>
            </w:pPr>
            <w:r>
              <w:t>电子票据模块</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维修资金业务处理及时性</w:t>
            </w:r>
          </w:p>
        </w:tc>
        <w:tc>
          <w:tcPr>
            <w:tcW w:w="5386" w:type="dxa"/>
            <w:vAlign w:val="center"/>
          </w:tcPr>
          <w:p>
            <w:pPr>
              <w:pStyle w:val="13"/>
            </w:pPr>
            <w:r>
              <w:t>及时处理业务数占总处理数的比率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系统使用合格率</w:t>
            </w:r>
          </w:p>
        </w:tc>
        <w:tc>
          <w:tcPr>
            <w:tcW w:w="5386" w:type="dxa"/>
            <w:vAlign w:val="center"/>
          </w:tcPr>
          <w:p>
            <w:pPr>
              <w:pStyle w:val="13"/>
            </w:pPr>
            <w:r>
              <w:t>系统模块维护按时完成的数量占需要维护系统模块的比例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硬件设备和系统均可正常使用</w:t>
            </w:r>
          </w:p>
        </w:tc>
        <w:tc>
          <w:tcPr>
            <w:tcW w:w="5386" w:type="dxa"/>
            <w:vAlign w:val="center"/>
          </w:tcPr>
          <w:p>
            <w:pPr>
              <w:pStyle w:val="13"/>
            </w:pPr>
            <w:r>
              <w:t>保障维修资金缴存相关业务全天24小时正常进行</w:t>
            </w:r>
          </w:p>
        </w:tc>
        <w:tc>
          <w:tcPr>
            <w:tcW w:w="2268" w:type="dxa"/>
            <w:vAlign w:val="center"/>
          </w:tcPr>
          <w:p>
            <w:pPr>
              <w:pStyle w:val="13"/>
            </w:pPr>
            <w:r>
              <w:t>24小时/天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保障网络和数据安全的时间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提高业务办事效率，让群众等待时间短、跑腿次数少</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63、2025年信息维护费绩效目标表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13011025P00156410056Y</w:t>
            </w:r>
          </w:p>
        </w:tc>
        <w:tc>
          <w:tcPr>
            <w:tcW w:w="2835" w:type="dxa"/>
            <w:vAlign w:val="center"/>
          </w:tcPr>
          <w:p>
            <w:pPr>
              <w:pStyle w:val="11"/>
            </w:pPr>
            <w:r>
              <w:t>项目名称</w:t>
            </w:r>
          </w:p>
        </w:tc>
        <w:tc>
          <w:tcPr>
            <w:tcW w:w="6095" w:type="dxa"/>
            <w:gridSpan w:val="3"/>
            <w:vAlign w:val="center"/>
          </w:tcPr>
          <w:p>
            <w:pPr>
              <w:pStyle w:val="13"/>
            </w:pPr>
            <w:r>
              <w:t>2025年信息维护费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3.84</w:t>
            </w:r>
          </w:p>
        </w:tc>
        <w:tc>
          <w:tcPr>
            <w:tcW w:w="2835" w:type="dxa"/>
            <w:vAlign w:val="center"/>
          </w:tcPr>
          <w:p>
            <w:pPr>
              <w:pStyle w:val="11"/>
            </w:pPr>
            <w:r>
              <w:t>其中：财政    资金</w:t>
            </w:r>
          </w:p>
        </w:tc>
        <w:tc>
          <w:tcPr>
            <w:tcW w:w="2551" w:type="dxa"/>
            <w:vAlign w:val="center"/>
          </w:tcPr>
          <w:p>
            <w:pPr>
              <w:pStyle w:val="13"/>
            </w:pPr>
            <w:r>
              <w:t>3.84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为了保障存量房过户、房产抵押业务、房产交易备案等相关业务全天24小时正常进行，确保与不动产对接数据信息畅通，准确，保障业务正常办理，工作正常运转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1.为了保障存量房过户、房产抵押业务、房产交易备案等相关业务全天24小时正常进行，确保与不动产对接数据信息畅通，准确，保障业务正常办理，工作正常运转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系统数据维护达标标准</w:t>
            </w:r>
          </w:p>
        </w:tc>
        <w:tc>
          <w:tcPr>
            <w:tcW w:w="5386" w:type="dxa"/>
            <w:vAlign w:val="center"/>
          </w:tcPr>
          <w:p>
            <w:pPr>
              <w:pStyle w:val="13"/>
            </w:pPr>
            <w:r>
              <w:t>符合相关技术标准和数据管理规范，控制维护进度和质量</w:t>
            </w:r>
          </w:p>
        </w:tc>
        <w:tc>
          <w:tcPr>
            <w:tcW w:w="2268" w:type="dxa"/>
            <w:vAlign w:val="center"/>
          </w:tcPr>
          <w:p>
            <w:pPr>
              <w:pStyle w:val="13"/>
            </w:pPr>
            <w:r>
              <w:t>符合数据库管理相关规定及国家标准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系统维护办结案件的数量</w:t>
            </w:r>
          </w:p>
        </w:tc>
        <w:tc>
          <w:tcPr>
            <w:tcW w:w="5386" w:type="dxa"/>
            <w:vAlign w:val="center"/>
          </w:tcPr>
          <w:p>
            <w:pPr>
              <w:pStyle w:val="13"/>
            </w:pPr>
            <w:r>
              <w:t>接收案件数量占所有办结案件数量的比例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系统维护按时完成率</w:t>
            </w:r>
          </w:p>
        </w:tc>
        <w:tc>
          <w:tcPr>
            <w:tcW w:w="5386" w:type="dxa"/>
            <w:vAlign w:val="center"/>
          </w:tcPr>
          <w:p>
            <w:pPr>
              <w:pStyle w:val="13"/>
            </w:pPr>
            <w:r>
              <w:t>系统维护数据按时完成的数量占需要维护系统数据的比例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系统维护成本</w:t>
            </w:r>
          </w:p>
        </w:tc>
        <w:tc>
          <w:tcPr>
            <w:tcW w:w="5386" w:type="dxa"/>
            <w:vAlign w:val="center"/>
          </w:tcPr>
          <w:p>
            <w:pPr>
              <w:pStyle w:val="13"/>
            </w:pPr>
            <w:r>
              <w:t>与不动产对接中间库系统、数据维护费用</w:t>
            </w:r>
          </w:p>
        </w:tc>
        <w:tc>
          <w:tcPr>
            <w:tcW w:w="2268" w:type="dxa"/>
            <w:vAlign w:val="center"/>
          </w:tcPr>
          <w:p>
            <w:pPr>
              <w:pStyle w:val="13"/>
            </w:pPr>
            <w:r>
              <w:t>3.84万元/年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业务正常进行时间</w:t>
            </w:r>
          </w:p>
        </w:tc>
        <w:tc>
          <w:tcPr>
            <w:tcW w:w="5386" w:type="dxa"/>
            <w:vAlign w:val="center"/>
          </w:tcPr>
          <w:p>
            <w:pPr>
              <w:pStyle w:val="13"/>
            </w:pPr>
            <w:r>
              <w:t>保障存量房过户、房产抵押业务、房产交易备案等相关业务全天24小时正常进行</w:t>
            </w:r>
          </w:p>
        </w:tc>
        <w:tc>
          <w:tcPr>
            <w:tcW w:w="2268" w:type="dxa"/>
            <w:vAlign w:val="center"/>
          </w:tcPr>
          <w:p>
            <w:pPr>
              <w:pStyle w:val="13"/>
            </w:pPr>
            <w:r>
              <w:t>24小时/天</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系统故障恢复时限</w:t>
            </w:r>
          </w:p>
        </w:tc>
        <w:tc>
          <w:tcPr>
            <w:tcW w:w="5386" w:type="dxa"/>
            <w:vAlign w:val="center"/>
          </w:tcPr>
          <w:p>
            <w:pPr>
              <w:pStyle w:val="13"/>
            </w:pPr>
            <w:r>
              <w:t>系统出现故障后及时修复的时间</w:t>
            </w:r>
          </w:p>
        </w:tc>
        <w:tc>
          <w:tcPr>
            <w:tcW w:w="2268" w:type="dxa"/>
            <w:vAlign w:val="center"/>
          </w:tcPr>
          <w:p>
            <w:pPr>
              <w:pStyle w:val="13"/>
            </w:pPr>
            <w:r>
              <w:t>≤24小时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保障网络和数据安全的时间</w:t>
            </w:r>
          </w:p>
        </w:tc>
        <w:tc>
          <w:tcPr>
            <w:tcW w:w="2268" w:type="dxa"/>
            <w:vAlign w:val="center"/>
          </w:tcPr>
          <w:p>
            <w:pPr>
              <w:pStyle w:val="13"/>
            </w:pPr>
            <w:r>
              <w:t>长期</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提高业务办事效率，让群众等待时间短、跑腿次数少</w:t>
            </w:r>
          </w:p>
        </w:tc>
        <w:tc>
          <w:tcPr>
            <w:tcW w:w="2268" w:type="dxa"/>
            <w:vAlign w:val="center"/>
          </w:tcPr>
          <w:p>
            <w:pPr>
              <w:pStyle w:val="13"/>
            </w:pPr>
            <w:r>
              <w:t>100%</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64、2025年租赁中心办公经费绩效目标表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13011025P00156410054P</w:t>
            </w:r>
          </w:p>
        </w:tc>
        <w:tc>
          <w:tcPr>
            <w:tcW w:w="2835" w:type="dxa"/>
            <w:vAlign w:val="center"/>
          </w:tcPr>
          <w:p>
            <w:pPr>
              <w:pStyle w:val="11"/>
            </w:pPr>
            <w:r>
              <w:t>项目名称</w:t>
            </w:r>
          </w:p>
        </w:tc>
        <w:tc>
          <w:tcPr>
            <w:tcW w:w="6095" w:type="dxa"/>
            <w:gridSpan w:val="3"/>
            <w:vAlign w:val="center"/>
          </w:tcPr>
          <w:p>
            <w:pPr>
              <w:pStyle w:val="13"/>
            </w:pPr>
            <w:r>
              <w:t>2025年租赁中心办公经费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保障15人办公经费正常运转，对租赁房源日常监管、抽查、普及试点政策，促进租赁市场正常开展工作，保证工作有效进行。</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1.保障15人办公经费正常运转，对租赁房源日常监管、抽查、普及试点政策，促进租赁市场正常开展工作，保证工作有效进行。</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办公费、水电费、交通费、会议费、工会经费、招待费及其他公用经费的支出</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保障办公人数</w:t>
            </w:r>
          </w:p>
        </w:tc>
        <w:tc>
          <w:tcPr>
            <w:tcW w:w="5386" w:type="dxa"/>
            <w:vAlign w:val="center"/>
          </w:tcPr>
          <w:p>
            <w:pPr>
              <w:pStyle w:val="13"/>
            </w:pPr>
            <w:r>
              <w:t>保障办公人数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w:t>
            </w:r>
          </w:p>
        </w:tc>
        <w:tc>
          <w:tcPr>
            <w:tcW w:w="5386" w:type="dxa"/>
            <w:vAlign w:val="center"/>
          </w:tcPr>
          <w:p>
            <w:pPr>
              <w:pStyle w:val="13"/>
            </w:pPr>
            <w:r>
              <w:t>及时保障各项日常办公需要</w:t>
            </w:r>
          </w:p>
        </w:tc>
        <w:tc>
          <w:tcPr>
            <w:tcW w:w="2268" w:type="dxa"/>
            <w:vAlign w:val="center"/>
          </w:tcPr>
          <w:p>
            <w:pPr>
              <w:pStyle w:val="13"/>
            </w:pPr>
            <w:r>
              <w:t>及时保障</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保障日常办公需要，维持单位正常运啊转</w:t>
            </w:r>
          </w:p>
        </w:tc>
        <w:tc>
          <w:tcPr>
            <w:tcW w:w="5386" w:type="dxa"/>
            <w:vAlign w:val="center"/>
          </w:tcPr>
          <w:p>
            <w:pPr>
              <w:pStyle w:val="13"/>
            </w:pPr>
            <w:r>
              <w:t>保障日常办公需要，维持单位正常运转</w:t>
            </w:r>
          </w:p>
        </w:tc>
        <w:tc>
          <w:tcPr>
            <w:tcW w:w="2268" w:type="dxa"/>
            <w:vAlign w:val="center"/>
          </w:tcPr>
          <w:p>
            <w:pPr>
              <w:pStyle w:val="13"/>
            </w:pPr>
            <w:r>
              <w:t>维持单位正常运转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使用和服务对象满意度</w:t>
            </w:r>
          </w:p>
        </w:tc>
        <w:tc>
          <w:tcPr>
            <w:tcW w:w="5386" w:type="dxa"/>
            <w:vAlign w:val="center"/>
          </w:tcPr>
          <w:p>
            <w:pPr>
              <w:pStyle w:val="13"/>
            </w:pPr>
            <w:r>
              <w:t>使用和服务对象满意度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65、2025网络专线（新）绩效目标表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13011025P00000110463F</w:t>
            </w:r>
          </w:p>
        </w:tc>
        <w:tc>
          <w:tcPr>
            <w:tcW w:w="2835" w:type="dxa"/>
            <w:vAlign w:val="center"/>
          </w:tcPr>
          <w:p>
            <w:pPr>
              <w:pStyle w:val="11"/>
            </w:pPr>
            <w:r>
              <w:t>项目名称</w:t>
            </w:r>
          </w:p>
        </w:tc>
        <w:tc>
          <w:tcPr>
            <w:tcW w:w="6095" w:type="dxa"/>
            <w:gridSpan w:val="3"/>
            <w:vAlign w:val="center"/>
          </w:tcPr>
          <w:p>
            <w:pPr>
              <w:pStyle w:val="13"/>
            </w:pPr>
            <w:r>
              <w:t>2025网络专线（新）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5.88</w:t>
            </w:r>
          </w:p>
        </w:tc>
        <w:tc>
          <w:tcPr>
            <w:tcW w:w="2835" w:type="dxa"/>
            <w:vAlign w:val="center"/>
          </w:tcPr>
          <w:p>
            <w:pPr>
              <w:pStyle w:val="11"/>
            </w:pPr>
            <w:r>
              <w:t>其中：财政    资金</w:t>
            </w:r>
          </w:p>
        </w:tc>
        <w:tc>
          <w:tcPr>
            <w:tcW w:w="2551" w:type="dxa"/>
            <w:vAlign w:val="center"/>
          </w:tcPr>
          <w:p>
            <w:pPr>
              <w:pStyle w:val="13"/>
            </w:pPr>
            <w:r>
              <w:t>5.88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"租用通信专网，确保我单位与不动产登记中心联合办公正常传输房屋信息数据</w:t>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1.租用通信专网，确保我单位与不动产登记中心联合办公正常传输房屋信息数据</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专网费用</w:t>
            </w:r>
          </w:p>
        </w:tc>
        <w:tc>
          <w:tcPr>
            <w:tcW w:w="5386" w:type="dxa"/>
            <w:vAlign w:val="center"/>
          </w:tcPr>
          <w:p>
            <w:pPr>
              <w:pStyle w:val="13"/>
            </w:pPr>
            <w:r>
              <w:t>市房管局系统专线费用</w:t>
            </w:r>
          </w:p>
        </w:tc>
        <w:tc>
          <w:tcPr>
            <w:tcW w:w="2268" w:type="dxa"/>
            <w:vAlign w:val="center"/>
          </w:tcPr>
          <w:p>
            <w:pPr>
              <w:pStyle w:val="13"/>
            </w:pPr>
            <w:r>
              <w:t>2.4万元/年</w:t>
            </w:r>
          </w:p>
        </w:tc>
        <w:tc>
          <w:tcPr>
            <w:tcW w:w="1276" w:type="dxa"/>
            <w:vAlign w:val="center"/>
          </w:tcPr>
          <w:p>
            <w:pPr>
              <w:pStyle w:val="13"/>
            </w:pPr>
            <w:r>
              <w:t>网络资费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专网费用</w:t>
            </w:r>
          </w:p>
        </w:tc>
        <w:tc>
          <w:tcPr>
            <w:tcW w:w="5386" w:type="dxa"/>
            <w:vAlign w:val="center"/>
          </w:tcPr>
          <w:p>
            <w:pPr>
              <w:pStyle w:val="13"/>
            </w:pPr>
            <w:r>
              <w:t>智慧广场不动产信息共享专线费</w:t>
            </w:r>
          </w:p>
        </w:tc>
        <w:tc>
          <w:tcPr>
            <w:tcW w:w="2268" w:type="dxa"/>
            <w:vAlign w:val="center"/>
          </w:tcPr>
          <w:p>
            <w:pPr>
              <w:pStyle w:val="13"/>
            </w:pPr>
            <w:r>
              <w:t>2.4万元/年</w:t>
            </w:r>
          </w:p>
        </w:tc>
        <w:tc>
          <w:tcPr>
            <w:tcW w:w="1276" w:type="dxa"/>
            <w:vAlign w:val="center"/>
          </w:tcPr>
          <w:p>
            <w:pPr>
              <w:pStyle w:val="13"/>
            </w:pPr>
            <w:r>
              <w:t>网络资费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专网费用</w:t>
            </w:r>
          </w:p>
        </w:tc>
        <w:tc>
          <w:tcPr>
            <w:tcW w:w="5386" w:type="dxa"/>
            <w:vAlign w:val="center"/>
          </w:tcPr>
          <w:p>
            <w:pPr>
              <w:pStyle w:val="13"/>
            </w:pPr>
            <w:r>
              <w:t>审批局专线费用</w:t>
            </w:r>
          </w:p>
        </w:tc>
        <w:tc>
          <w:tcPr>
            <w:tcW w:w="2268" w:type="dxa"/>
            <w:vAlign w:val="center"/>
          </w:tcPr>
          <w:p>
            <w:pPr>
              <w:pStyle w:val="13"/>
            </w:pPr>
            <w:r>
              <w:t>1.08万元/年</w:t>
            </w:r>
          </w:p>
        </w:tc>
        <w:tc>
          <w:tcPr>
            <w:tcW w:w="1276" w:type="dxa"/>
            <w:vAlign w:val="center"/>
          </w:tcPr>
          <w:p>
            <w:pPr>
              <w:pStyle w:val="13"/>
            </w:pPr>
            <w:r>
              <w:t>网络资费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专网数量</w:t>
            </w:r>
          </w:p>
        </w:tc>
        <w:tc>
          <w:tcPr>
            <w:tcW w:w="5386" w:type="dxa"/>
            <w:vAlign w:val="center"/>
          </w:tcPr>
          <w:p>
            <w:pPr>
              <w:pStyle w:val="13"/>
            </w:pPr>
            <w:r>
              <w:t>联通两条、电信一条</w:t>
            </w:r>
          </w:p>
        </w:tc>
        <w:tc>
          <w:tcPr>
            <w:tcW w:w="2268" w:type="dxa"/>
            <w:vAlign w:val="center"/>
          </w:tcPr>
          <w:p>
            <w:pPr>
              <w:pStyle w:val="13"/>
            </w:pPr>
            <w:r>
              <w:t>3条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网络专线出现故障时间与总运行时间的比例</w:t>
            </w:r>
          </w:p>
        </w:tc>
        <w:tc>
          <w:tcPr>
            <w:tcW w:w="2268" w:type="dxa"/>
            <w:vAlign w:val="center"/>
          </w:tcPr>
          <w:p>
            <w:pPr>
              <w:pStyle w:val="13"/>
            </w:pPr>
            <w:r>
              <w:t>≤1%</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系统运行维护响应时间</w:t>
            </w:r>
          </w:p>
        </w:tc>
        <w:tc>
          <w:tcPr>
            <w:tcW w:w="5386" w:type="dxa"/>
            <w:vAlign w:val="center"/>
          </w:tcPr>
          <w:p>
            <w:pPr>
              <w:pStyle w:val="13"/>
            </w:pPr>
            <w:r>
              <w:t>保障24小时专线网络畅通</w:t>
            </w:r>
          </w:p>
        </w:tc>
        <w:tc>
          <w:tcPr>
            <w:tcW w:w="2268" w:type="dxa"/>
            <w:vAlign w:val="center"/>
          </w:tcPr>
          <w:p>
            <w:pPr>
              <w:pStyle w:val="13"/>
            </w:pPr>
            <w:r>
              <w:t>24小时/天</w:t>
            </w:r>
          </w:p>
        </w:tc>
        <w:tc>
          <w:tcPr>
            <w:tcW w:w="1276" w:type="dxa"/>
            <w:vAlign w:val="center"/>
          </w:tcPr>
          <w:p>
            <w:pPr>
              <w:pStyle w:val="13"/>
            </w:pPr>
            <w:r>
              <w:t>通信公司服务标准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确保我单位与不动产登记中心联合办公正常进行并且数据互通，业务及时、有效地办理</w:t>
            </w:r>
          </w:p>
        </w:tc>
        <w:tc>
          <w:tcPr>
            <w:tcW w:w="2268" w:type="dxa"/>
            <w:vAlign w:val="center"/>
          </w:tcPr>
          <w:p>
            <w:pPr>
              <w:pStyle w:val="13"/>
            </w:pPr>
            <w:r>
              <w:t>确保我单位与不动产登记中心联合办公正常进行并且数据互通，业务及时有效地办理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满意和较满意人数占被调查人数的比例</w:t>
            </w:r>
          </w:p>
        </w:tc>
        <w:tc>
          <w:tcPr>
            <w:tcW w:w="2268" w:type="dxa"/>
            <w:vAlign w:val="center"/>
          </w:tcPr>
          <w:p>
            <w:pPr>
              <w:pStyle w:val="13"/>
            </w:pPr>
            <w:r>
              <w:t>100%</w:t>
            </w:r>
          </w:p>
        </w:tc>
        <w:tc>
          <w:tcPr>
            <w:tcW w:w="1276" w:type="dxa"/>
            <w:vAlign w:val="center"/>
          </w:tcPr>
          <w:p>
            <w:pPr>
              <w:pStyle w:val="13"/>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66、2025年保障性住房维修绩效目标表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13011025P00161910001H</w:t>
            </w:r>
          </w:p>
        </w:tc>
        <w:tc>
          <w:tcPr>
            <w:tcW w:w="2835" w:type="dxa"/>
            <w:vAlign w:val="center"/>
          </w:tcPr>
          <w:p>
            <w:pPr>
              <w:pStyle w:val="11"/>
            </w:pPr>
            <w:r>
              <w:t>项目名称</w:t>
            </w:r>
          </w:p>
        </w:tc>
        <w:tc>
          <w:tcPr>
            <w:tcW w:w="6095" w:type="dxa"/>
            <w:gridSpan w:val="3"/>
            <w:vAlign w:val="center"/>
          </w:tcPr>
          <w:p>
            <w:pPr>
              <w:pStyle w:val="13"/>
            </w:pPr>
            <w:r>
              <w:t>2025年保障性住房维修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根据冀财综【2008】60号文，为更快建设成为保障房智能化小区，日常维修等费用。  </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1.根据冀财综【2008】60号文，为更快建设成为保障房智能化小区，日常维修等费用。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日常维护维修</w:t>
            </w:r>
          </w:p>
        </w:tc>
        <w:tc>
          <w:tcPr>
            <w:tcW w:w="5386" w:type="dxa"/>
            <w:vAlign w:val="center"/>
          </w:tcPr>
          <w:p>
            <w:pPr>
              <w:pStyle w:val="13"/>
            </w:pPr>
            <w:r>
              <w:t>日常管理维修维护户数</w:t>
            </w:r>
          </w:p>
        </w:tc>
        <w:tc>
          <w:tcPr>
            <w:tcW w:w="2268" w:type="dxa"/>
            <w:vAlign w:val="center"/>
          </w:tcPr>
          <w:p>
            <w:pPr>
              <w:pStyle w:val="13"/>
            </w:pPr>
            <w:r>
              <w:t>452套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维修维护覆盖率</w:t>
            </w:r>
          </w:p>
        </w:tc>
        <w:tc>
          <w:tcPr>
            <w:tcW w:w="5386" w:type="dxa"/>
            <w:vAlign w:val="center"/>
          </w:tcPr>
          <w:p>
            <w:pPr>
              <w:pStyle w:val="13"/>
            </w:pPr>
            <w:r>
              <w:t>维修维护覆盖率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房屋维修维护费</w:t>
            </w:r>
          </w:p>
        </w:tc>
        <w:tc>
          <w:tcPr>
            <w:tcW w:w="5386" w:type="dxa"/>
            <w:vAlign w:val="center"/>
          </w:tcPr>
          <w:p>
            <w:pPr>
              <w:pStyle w:val="13"/>
            </w:pPr>
            <w:r>
              <w:t>房屋维修维护费</w:t>
            </w:r>
          </w:p>
        </w:tc>
        <w:tc>
          <w:tcPr>
            <w:tcW w:w="2268" w:type="dxa"/>
            <w:vAlign w:val="center"/>
          </w:tcPr>
          <w:p>
            <w:pPr>
              <w:pStyle w:val="13"/>
            </w:pPr>
            <w:r>
              <w:t>100万元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工作完成的时效</w:t>
            </w:r>
          </w:p>
        </w:tc>
        <w:tc>
          <w:tcPr>
            <w:tcW w:w="5386" w:type="dxa"/>
            <w:vAlign w:val="center"/>
          </w:tcPr>
          <w:p>
            <w:pPr>
              <w:pStyle w:val="13"/>
            </w:pPr>
            <w:r>
              <w:t>工作完成所用的时间情况</w:t>
            </w:r>
          </w:p>
        </w:tc>
        <w:tc>
          <w:tcPr>
            <w:tcW w:w="2268" w:type="dxa"/>
            <w:vAlign w:val="center"/>
          </w:tcPr>
          <w:p>
            <w:pPr>
              <w:pStyle w:val="13"/>
            </w:pPr>
            <w:r>
              <w:t>按要求完成</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保障户人群生活水平提高程度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67、2025年公共租赁住房租金返还绩效目标表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13011025P001617100041</w:t>
            </w:r>
          </w:p>
        </w:tc>
        <w:tc>
          <w:tcPr>
            <w:tcW w:w="2835" w:type="dxa"/>
            <w:vAlign w:val="center"/>
          </w:tcPr>
          <w:p>
            <w:pPr>
              <w:pStyle w:val="11"/>
            </w:pPr>
            <w:r>
              <w:t>项目名称</w:t>
            </w:r>
          </w:p>
        </w:tc>
        <w:tc>
          <w:tcPr>
            <w:tcW w:w="6095" w:type="dxa"/>
            <w:gridSpan w:val="3"/>
            <w:vAlign w:val="center"/>
          </w:tcPr>
          <w:p>
            <w:pPr>
              <w:pStyle w:val="13"/>
            </w:pPr>
            <w:r>
              <w:t>2025年公共租赁住房租金返还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1125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p>
          <w:p>
            <w:pPr>
              <w:pStyle w:val="13"/>
            </w:pP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1.1125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3"/>
            </w:pPr>
          </w:p>
          <w:p>
            <w:pPr>
              <w:pStyle w:val="13"/>
            </w:pP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补贴户数</w:t>
            </w:r>
          </w:p>
        </w:tc>
        <w:tc>
          <w:tcPr>
            <w:tcW w:w="5386" w:type="dxa"/>
            <w:vAlign w:val="center"/>
          </w:tcPr>
          <w:p>
            <w:pPr>
              <w:pStyle w:val="13"/>
            </w:pPr>
            <w:r>
              <w:t>发放租金补贴户数</w:t>
            </w:r>
          </w:p>
        </w:tc>
        <w:tc>
          <w:tcPr>
            <w:tcW w:w="2268" w:type="dxa"/>
            <w:vAlign w:val="center"/>
          </w:tcPr>
          <w:p>
            <w:pPr>
              <w:pStyle w:val="13"/>
            </w:pPr>
            <w:r>
              <w:t>≥1125户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廉租住房和公共租赁住房补贴标准</w:t>
            </w:r>
          </w:p>
          <w:p>
            <w:pPr>
              <w:pStyle w:val="13"/>
            </w:pPr>
          </w:p>
        </w:tc>
        <w:tc>
          <w:tcPr>
            <w:tcW w:w="5386" w:type="dxa"/>
            <w:vAlign w:val="center"/>
          </w:tcPr>
          <w:p>
            <w:pPr>
              <w:pStyle w:val="13"/>
            </w:pPr>
            <w:r>
              <w:t>补贴发放标准</w:t>
            </w:r>
          </w:p>
          <w:p>
            <w:pPr>
              <w:pStyle w:val="13"/>
            </w:pPr>
          </w:p>
        </w:tc>
        <w:tc>
          <w:tcPr>
            <w:tcW w:w="2268" w:type="dxa"/>
            <w:vAlign w:val="center"/>
          </w:tcPr>
          <w:p>
            <w:pPr>
              <w:pStyle w:val="13"/>
            </w:pPr>
            <w:r>
              <w:t>廉租补助和公租补助发放标准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w:t>
            </w:r>
          </w:p>
        </w:tc>
        <w:tc>
          <w:tcPr>
            <w:tcW w:w="5386" w:type="dxa"/>
            <w:vAlign w:val="center"/>
          </w:tcPr>
          <w:p>
            <w:pPr>
              <w:pStyle w:val="13"/>
            </w:pPr>
            <w:r>
              <w:t>补贴发放时间</w:t>
            </w:r>
          </w:p>
        </w:tc>
        <w:tc>
          <w:tcPr>
            <w:tcW w:w="2268" w:type="dxa"/>
            <w:vAlign w:val="center"/>
          </w:tcPr>
          <w:p>
            <w:pPr>
              <w:pStyle w:val="13"/>
            </w:pPr>
            <w:r>
              <w:t>按规定时间及时发放</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生活水平提高</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补贴人员满意程度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68、2025年提取廉租房住房保障资金绩效目标表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13011025P001617100068</w:t>
            </w:r>
          </w:p>
        </w:tc>
        <w:tc>
          <w:tcPr>
            <w:tcW w:w="2835" w:type="dxa"/>
            <w:vAlign w:val="center"/>
          </w:tcPr>
          <w:p>
            <w:pPr>
              <w:pStyle w:val="11"/>
            </w:pPr>
            <w:r>
              <w:t>项目名称</w:t>
            </w:r>
          </w:p>
        </w:tc>
        <w:tc>
          <w:tcPr>
            <w:tcW w:w="6095" w:type="dxa"/>
            <w:gridSpan w:val="3"/>
            <w:vAlign w:val="center"/>
          </w:tcPr>
          <w:p>
            <w:pPr>
              <w:pStyle w:val="13"/>
            </w:pPr>
            <w:r>
              <w:t>2025年提取廉租房住房保障资金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购买保障性租赁住房约126套，未解决新市民和新青年居住问题，减轻新市民及新青年生活负担，提高生活质量。</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房屋达到竣工验收合格</w:t>
            </w:r>
          </w:p>
        </w:tc>
        <w:tc>
          <w:tcPr>
            <w:tcW w:w="5386" w:type="dxa"/>
            <w:vAlign w:val="center"/>
          </w:tcPr>
          <w:p>
            <w:pPr>
              <w:pStyle w:val="13"/>
            </w:pPr>
            <w:r>
              <w:t>房屋达到竣工验收合格</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保障性租赁住房套数</w:t>
            </w:r>
          </w:p>
        </w:tc>
        <w:tc>
          <w:tcPr>
            <w:tcW w:w="5386" w:type="dxa"/>
            <w:vAlign w:val="center"/>
          </w:tcPr>
          <w:p>
            <w:pPr>
              <w:pStyle w:val="13"/>
            </w:pPr>
            <w:r>
              <w:t>保障性租赁住房套数</w:t>
            </w:r>
          </w:p>
        </w:tc>
        <w:tc>
          <w:tcPr>
            <w:tcW w:w="2268" w:type="dxa"/>
            <w:vAlign w:val="center"/>
          </w:tcPr>
          <w:p>
            <w:pPr>
              <w:pStyle w:val="13"/>
            </w:pPr>
            <w:r>
              <w:t>≤126套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购买保障性租赁住房标准</w:t>
            </w:r>
          </w:p>
        </w:tc>
        <w:tc>
          <w:tcPr>
            <w:tcW w:w="5386" w:type="dxa"/>
            <w:vAlign w:val="center"/>
          </w:tcPr>
          <w:p>
            <w:pPr>
              <w:pStyle w:val="13"/>
            </w:pPr>
            <w:r>
              <w:t>购买保障性租赁住房标准</w:t>
            </w:r>
          </w:p>
        </w:tc>
        <w:tc>
          <w:tcPr>
            <w:tcW w:w="2268" w:type="dxa"/>
            <w:vAlign w:val="center"/>
          </w:tcPr>
          <w:p>
            <w:pPr>
              <w:pStyle w:val="13"/>
            </w:pPr>
            <w:r>
              <w:t>≤1000万元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购买时间</w:t>
            </w:r>
          </w:p>
        </w:tc>
        <w:tc>
          <w:tcPr>
            <w:tcW w:w="5386" w:type="dxa"/>
            <w:vAlign w:val="center"/>
          </w:tcPr>
          <w:p>
            <w:pPr>
              <w:pStyle w:val="13"/>
            </w:pPr>
            <w:r>
              <w:t>购买时间</w:t>
            </w:r>
          </w:p>
        </w:tc>
        <w:tc>
          <w:tcPr>
            <w:tcW w:w="2268" w:type="dxa"/>
            <w:vAlign w:val="center"/>
          </w:tcPr>
          <w:p>
            <w:pPr>
              <w:pStyle w:val="13"/>
            </w:pPr>
            <w:r>
              <w:t>准备4月份购买</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解决新市民新青年居住问题</w:t>
            </w:r>
          </w:p>
        </w:tc>
        <w:tc>
          <w:tcPr>
            <w:tcW w:w="5386" w:type="dxa"/>
            <w:vAlign w:val="center"/>
          </w:tcPr>
          <w:p>
            <w:pPr>
              <w:pStyle w:val="13"/>
            </w:pPr>
            <w:r>
              <w:t>解决新市民新青年居住问题</w:t>
            </w:r>
          </w:p>
        </w:tc>
        <w:tc>
          <w:tcPr>
            <w:tcW w:w="2268" w:type="dxa"/>
            <w:vAlign w:val="center"/>
          </w:tcPr>
          <w:p>
            <w:pPr>
              <w:pStyle w:val="13"/>
            </w:pPr>
            <w:r>
              <w:t>减轻生活负担，提高生活质量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租户满意度</w:t>
            </w:r>
          </w:p>
        </w:tc>
        <w:tc>
          <w:tcPr>
            <w:tcW w:w="5386" w:type="dxa"/>
            <w:vAlign w:val="center"/>
          </w:tcPr>
          <w:p>
            <w:pPr>
              <w:pStyle w:val="13"/>
            </w:pPr>
            <w:r>
              <w:t>租户对保障性租赁住房满意程度</w:t>
            </w:r>
          </w:p>
        </w:tc>
        <w:tc>
          <w:tcPr>
            <w:tcW w:w="2268" w:type="dxa"/>
            <w:vAlign w:val="center"/>
          </w:tcPr>
          <w:p>
            <w:pPr>
              <w:pStyle w:val="13"/>
            </w:pPr>
            <w:r>
              <w:t>≥95%</w:t>
            </w:r>
          </w:p>
        </w:tc>
        <w:tc>
          <w:tcPr>
            <w:tcW w:w="1276" w:type="dxa"/>
            <w:vAlign w:val="center"/>
          </w:tcPr>
          <w:p>
            <w:pPr>
              <w:pStyle w:val="13"/>
            </w:pPr>
            <w:r>
              <w:t>历史数据</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69、2025年悦麓兰庭和翠屏龙苑人才公寓家具家电附属设施绩效目标表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13011025P00161710005L</w:t>
            </w:r>
          </w:p>
        </w:tc>
        <w:tc>
          <w:tcPr>
            <w:tcW w:w="2835" w:type="dxa"/>
            <w:vAlign w:val="center"/>
          </w:tcPr>
          <w:p>
            <w:pPr>
              <w:pStyle w:val="11"/>
            </w:pPr>
            <w:r>
              <w:t>项目名称</w:t>
            </w:r>
          </w:p>
        </w:tc>
        <w:tc>
          <w:tcPr>
            <w:tcW w:w="6095" w:type="dxa"/>
            <w:gridSpan w:val="3"/>
            <w:vAlign w:val="center"/>
          </w:tcPr>
          <w:p>
            <w:pPr>
              <w:pStyle w:val="13"/>
            </w:pPr>
            <w:r>
              <w:t>2025年悦麓兰庭和翠屏龙苑人才公寓家具家电附属设施</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申请241.24万用于装修64套人才公寓家具家电等附属设施，装修完成后分配使用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1.申请241.24万用于装修64套人才公寓家具家电等附属设施，装修完成后分配使用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人才公寓附属设备验收合格率</w:t>
            </w:r>
          </w:p>
        </w:tc>
        <w:tc>
          <w:tcPr>
            <w:tcW w:w="5386" w:type="dxa"/>
            <w:vAlign w:val="center"/>
          </w:tcPr>
          <w:p>
            <w:pPr>
              <w:pStyle w:val="13"/>
            </w:pPr>
            <w:r>
              <w:t>人才公寓内部公共设施装修</w:t>
            </w:r>
          </w:p>
        </w:tc>
        <w:tc>
          <w:tcPr>
            <w:tcW w:w="2268" w:type="dxa"/>
            <w:vAlign w:val="center"/>
          </w:tcPr>
          <w:p>
            <w:pPr>
              <w:pStyle w:val="13"/>
            </w:pPr>
            <w:r>
              <w:t>100%</w:t>
            </w:r>
          </w:p>
        </w:tc>
        <w:tc>
          <w:tcPr>
            <w:tcW w:w="1276" w:type="dxa"/>
            <w:vAlign w:val="center"/>
          </w:tcPr>
          <w:p>
            <w:pPr>
              <w:pStyle w:val="13"/>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人才公寓装修数量</w:t>
            </w:r>
          </w:p>
        </w:tc>
        <w:tc>
          <w:tcPr>
            <w:tcW w:w="5386" w:type="dxa"/>
            <w:vAlign w:val="center"/>
          </w:tcPr>
          <w:p>
            <w:pPr>
              <w:pStyle w:val="13"/>
            </w:pPr>
            <w:r>
              <w:t>人才公寓装修数量</w:t>
            </w:r>
          </w:p>
        </w:tc>
        <w:tc>
          <w:tcPr>
            <w:tcW w:w="2268" w:type="dxa"/>
            <w:vAlign w:val="center"/>
          </w:tcPr>
          <w:p>
            <w:pPr>
              <w:pStyle w:val="13"/>
            </w:pPr>
            <w:r>
              <w:t>64套</w:t>
            </w:r>
          </w:p>
        </w:tc>
        <w:tc>
          <w:tcPr>
            <w:tcW w:w="1276" w:type="dxa"/>
            <w:vAlign w:val="center"/>
          </w:tcPr>
          <w:p>
            <w:pPr>
              <w:pStyle w:val="13"/>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人才公寓装修成本</w:t>
            </w:r>
          </w:p>
        </w:tc>
        <w:tc>
          <w:tcPr>
            <w:tcW w:w="5386" w:type="dxa"/>
            <w:vAlign w:val="center"/>
          </w:tcPr>
          <w:p>
            <w:pPr>
              <w:pStyle w:val="13"/>
            </w:pPr>
            <w:r>
              <w:t>人才公寓装修成本</w:t>
            </w:r>
          </w:p>
        </w:tc>
        <w:tc>
          <w:tcPr>
            <w:tcW w:w="2268" w:type="dxa"/>
            <w:vAlign w:val="center"/>
          </w:tcPr>
          <w:p>
            <w:pPr>
              <w:pStyle w:val="13"/>
            </w:pPr>
            <w:r>
              <w:t>241.24万元</w:t>
            </w:r>
          </w:p>
        </w:tc>
        <w:tc>
          <w:tcPr>
            <w:tcW w:w="1276" w:type="dxa"/>
            <w:vAlign w:val="center"/>
          </w:tcPr>
          <w:p>
            <w:pPr>
              <w:pStyle w:val="13"/>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人才公寓装修完成及时率</w:t>
            </w:r>
          </w:p>
        </w:tc>
        <w:tc>
          <w:tcPr>
            <w:tcW w:w="2268" w:type="dxa"/>
            <w:vAlign w:val="center"/>
          </w:tcPr>
          <w:p>
            <w:pPr>
              <w:pStyle w:val="13"/>
            </w:pPr>
            <w:r>
              <w:t>100%</w:t>
            </w:r>
          </w:p>
        </w:tc>
        <w:tc>
          <w:tcPr>
            <w:tcW w:w="1276" w:type="dxa"/>
            <w:vAlign w:val="center"/>
          </w:tcPr>
          <w:p>
            <w:pPr>
              <w:pStyle w:val="13"/>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长期使用性</w:t>
            </w:r>
          </w:p>
        </w:tc>
        <w:tc>
          <w:tcPr>
            <w:tcW w:w="5386" w:type="dxa"/>
            <w:vAlign w:val="center"/>
          </w:tcPr>
          <w:p>
            <w:pPr>
              <w:pStyle w:val="13"/>
            </w:pPr>
            <w:r>
              <w:t>能够长期较好地满足人民群众的需求</w:t>
            </w:r>
          </w:p>
        </w:tc>
        <w:tc>
          <w:tcPr>
            <w:tcW w:w="2268" w:type="dxa"/>
            <w:vAlign w:val="center"/>
          </w:tcPr>
          <w:p>
            <w:pPr>
              <w:pStyle w:val="13"/>
            </w:pPr>
            <w:r>
              <w:t>长期保持</w:t>
            </w:r>
          </w:p>
        </w:tc>
        <w:tc>
          <w:tcPr>
            <w:tcW w:w="1276" w:type="dxa"/>
            <w:vAlign w:val="center"/>
          </w:tcPr>
          <w:p>
            <w:pPr>
              <w:pStyle w:val="13"/>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改善公寓住房条件</w:t>
            </w:r>
          </w:p>
        </w:tc>
        <w:tc>
          <w:tcPr>
            <w:tcW w:w="5386" w:type="dxa"/>
            <w:vAlign w:val="center"/>
          </w:tcPr>
          <w:p>
            <w:pPr>
              <w:pStyle w:val="13"/>
            </w:pPr>
            <w:r>
              <w:t>改善住房条件</w:t>
            </w:r>
          </w:p>
        </w:tc>
        <w:tc>
          <w:tcPr>
            <w:tcW w:w="2268" w:type="dxa"/>
            <w:vAlign w:val="center"/>
          </w:tcPr>
          <w:p>
            <w:pPr>
              <w:pStyle w:val="13"/>
            </w:pPr>
            <w:r>
              <w:t>装修设施达到全部完工</w:t>
            </w:r>
          </w:p>
        </w:tc>
        <w:tc>
          <w:tcPr>
            <w:tcW w:w="1276" w:type="dxa"/>
            <w:vAlign w:val="center"/>
          </w:tcPr>
          <w:p>
            <w:pPr>
              <w:pStyle w:val="13"/>
            </w:pPr>
            <w:r>
              <w:t>石住建办【2019】54号文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群众对各种配套实施设备器材的满意度</w:t>
            </w:r>
          </w:p>
        </w:tc>
        <w:tc>
          <w:tcPr>
            <w:tcW w:w="5386" w:type="dxa"/>
            <w:vAlign w:val="center"/>
          </w:tcPr>
          <w:p>
            <w:pPr>
              <w:pStyle w:val="13"/>
            </w:pPr>
            <w:r>
              <w:t>对附属设施及硬件设施的满意度</w:t>
            </w:r>
          </w:p>
        </w:tc>
        <w:tc>
          <w:tcPr>
            <w:tcW w:w="2268" w:type="dxa"/>
            <w:vAlign w:val="center"/>
          </w:tcPr>
          <w:p>
            <w:pPr>
              <w:pStyle w:val="13"/>
            </w:pPr>
            <w:r>
              <w:t>100%</w:t>
            </w:r>
          </w:p>
        </w:tc>
        <w:tc>
          <w:tcPr>
            <w:tcW w:w="1276" w:type="dxa"/>
            <w:vAlign w:val="center"/>
          </w:tcPr>
          <w:p>
            <w:pPr>
              <w:pStyle w:val="13"/>
            </w:pPr>
            <w:r>
              <w:t>石住建办【2019】54号文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hint="eastAsia" w:ascii="黑体" w:hAnsi="黑体" w:eastAsia="黑体" w:cs="黑体"/>
          <w:color w:val="000000"/>
          <w:sz w:val="32"/>
          <w:lang w:val="en-US" w:eastAsia="zh-CN"/>
        </w:rPr>
        <w:t>七</w:t>
      </w:r>
      <w:r>
        <w:rPr>
          <w:rFonts w:ascii="黑体" w:hAnsi="黑体" w:eastAsia="黑体" w:cs="黑体"/>
          <w:color w:val="000000"/>
          <w:sz w:val="32"/>
        </w:rPr>
        <w:t>、政府采购预算情况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198.36</w:t>
            </w:r>
          </w:p>
        </w:tc>
        <w:tc>
          <w:tcPr>
            <w:tcW w:w="964" w:type="dxa"/>
            <w:vAlign w:val="center"/>
          </w:tcPr>
          <w:p>
            <w:pPr>
              <w:pStyle w:val="16"/>
            </w:pPr>
            <w:r>
              <w:t>113.59</w:t>
            </w:r>
          </w:p>
        </w:tc>
        <w:tc>
          <w:tcPr>
            <w:tcW w:w="964" w:type="dxa"/>
            <w:vAlign w:val="center"/>
          </w:tcPr>
          <w:p>
            <w:pPr>
              <w:pStyle w:val="16"/>
            </w:pPr>
            <w:r>
              <w:t>84.77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198.36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石家庄市鹿泉区住房和城乡建设局本级小计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10.36</w:t>
            </w:r>
          </w:p>
        </w:tc>
        <w:tc>
          <w:tcPr>
            <w:tcW w:w="964" w:type="dxa"/>
            <w:vAlign w:val="center"/>
          </w:tcPr>
          <w:p>
            <w:pPr>
              <w:pStyle w:val="16"/>
            </w:pPr>
            <w:r>
              <w:t>10.36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128.78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128.78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1.88</w:t>
            </w:r>
          </w:p>
        </w:tc>
        <w:tc>
          <w:tcPr>
            <w:tcW w:w="964" w:type="dxa"/>
            <w:vAlign w:val="center"/>
          </w:tcPr>
          <w:p>
            <w:pPr>
              <w:pStyle w:val="12"/>
            </w:pPr>
            <w:r>
              <w:t>3.76</w:t>
            </w:r>
          </w:p>
        </w:tc>
        <w:tc>
          <w:tcPr>
            <w:tcW w:w="964" w:type="dxa"/>
            <w:vAlign w:val="center"/>
          </w:tcPr>
          <w:p>
            <w:pPr>
              <w:pStyle w:val="12"/>
            </w:pPr>
            <w:r>
              <w:t>3.76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128.78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1300</w:t>
            </w:r>
          </w:p>
        </w:tc>
        <w:tc>
          <w:tcPr>
            <w:tcW w:w="850" w:type="dxa"/>
            <w:vAlign w:val="center"/>
          </w:tcPr>
          <w:p>
            <w:pPr>
              <w:pStyle w:val="12"/>
            </w:pPr>
            <w:r>
              <w:t>0.00</w:t>
            </w:r>
          </w:p>
        </w:tc>
        <w:tc>
          <w:tcPr>
            <w:tcW w:w="964" w:type="dxa"/>
            <w:vAlign w:val="center"/>
          </w:tcPr>
          <w:p>
            <w:pPr>
              <w:pStyle w:val="12"/>
            </w:pPr>
            <w:r>
              <w:t>1.04</w:t>
            </w:r>
          </w:p>
        </w:tc>
        <w:tc>
          <w:tcPr>
            <w:tcW w:w="964" w:type="dxa"/>
            <w:vAlign w:val="center"/>
          </w:tcPr>
          <w:p>
            <w:pPr>
              <w:pStyle w:val="12"/>
            </w:pPr>
            <w:r>
              <w:t>1.04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1100</w:t>
            </w:r>
          </w:p>
        </w:tc>
        <w:tc>
          <w:tcPr>
            <w:tcW w:w="850" w:type="dxa"/>
            <w:vAlign w:val="center"/>
          </w:tcPr>
          <w:p>
            <w:pPr>
              <w:pStyle w:val="12"/>
            </w:pPr>
            <w:r>
              <w:t>0.00</w:t>
            </w:r>
          </w:p>
        </w:tc>
        <w:tc>
          <w:tcPr>
            <w:tcW w:w="964" w:type="dxa"/>
            <w:vAlign w:val="center"/>
          </w:tcPr>
          <w:p>
            <w:pPr>
              <w:pStyle w:val="12"/>
            </w:pPr>
            <w:r>
              <w:t>3.30</w:t>
            </w:r>
          </w:p>
        </w:tc>
        <w:tc>
          <w:tcPr>
            <w:tcW w:w="964" w:type="dxa"/>
            <w:vAlign w:val="center"/>
          </w:tcPr>
          <w:p>
            <w:pPr>
              <w:pStyle w:val="12"/>
            </w:pPr>
            <w:r>
              <w:t>3.30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条</w:t>
            </w:r>
          </w:p>
        </w:tc>
        <w:tc>
          <w:tcPr>
            <w:tcW w:w="850" w:type="dxa"/>
            <w:vAlign w:val="center"/>
          </w:tcPr>
          <w:p>
            <w:pPr>
              <w:pStyle w:val="12"/>
            </w:pPr>
            <w:r>
              <w:t>1</w:t>
            </w:r>
          </w:p>
        </w:tc>
        <w:tc>
          <w:tcPr>
            <w:tcW w:w="850" w:type="dxa"/>
            <w:vAlign w:val="center"/>
          </w:tcPr>
          <w:p>
            <w:pPr>
              <w:pStyle w:val="12"/>
            </w:pPr>
            <w:r>
              <w:t>1.56</w:t>
            </w:r>
          </w:p>
        </w:tc>
        <w:tc>
          <w:tcPr>
            <w:tcW w:w="964" w:type="dxa"/>
            <w:vAlign w:val="center"/>
          </w:tcPr>
          <w:p>
            <w:pPr>
              <w:pStyle w:val="12"/>
            </w:pPr>
            <w:r>
              <w:t>1.56</w:t>
            </w:r>
          </w:p>
        </w:tc>
        <w:tc>
          <w:tcPr>
            <w:tcW w:w="964" w:type="dxa"/>
            <w:vAlign w:val="center"/>
          </w:tcPr>
          <w:p>
            <w:pPr>
              <w:pStyle w:val="12"/>
            </w:pPr>
            <w:r>
              <w:t>1.56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8.40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石家庄市鹿泉区建筑业服务中心小计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40.53</w:t>
            </w:r>
          </w:p>
        </w:tc>
        <w:tc>
          <w:tcPr>
            <w:tcW w:w="964" w:type="dxa"/>
            <w:vAlign w:val="center"/>
          </w:tcPr>
          <w:p>
            <w:pPr>
              <w:pStyle w:val="16"/>
            </w:pPr>
            <w:r>
              <w:t>40.53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 聘请消防专家费用</w:t>
            </w:r>
          </w:p>
        </w:tc>
        <w:tc>
          <w:tcPr>
            <w:tcW w:w="964" w:type="dxa"/>
            <w:vAlign w:val="center"/>
          </w:tcPr>
          <w:p>
            <w:pPr>
              <w:pStyle w:val="12"/>
            </w:pPr>
            <w:r>
              <w:t>30.00</w:t>
            </w:r>
          </w:p>
        </w:tc>
        <w:tc>
          <w:tcPr>
            <w:tcW w:w="1134" w:type="dxa"/>
            <w:vAlign w:val="center"/>
          </w:tcPr>
          <w:p>
            <w:pPr>
              <w:pStyle w:val="13"/>
            </w:pPr>
            <w:r>
              <w:t>其他专业技术服务</w:t>
            </w:r>
          </w:p>
        </w:tc>
        <w:tc>
          <w:tcPr>
            <w:tcW w:w="1134" w:type="dxa"/>
            <w:vAlign w:val="center"/>
          </w:tcPr>
          <w:p>
            <w:pPr>
              <w:pStyle w:val="13"/>
            </w:pPr>
            <w:r>
              <w:t>C19990000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2025业务费</w:t>
            </w:r>
          </w:p>
        </w:tc>
        <w:tc>
          <w:tcPr>
            <w:tcW w:w="964" w:type="dxa"/>
            <w:vAlign w:val="center"/>
          </w:tcPr>
          <w:p>
            <w:pPr>
              <w:pStyle w:val="12"/>
            </w:pPr>
            <w:r>
              <w:t>30.00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500</w:t>
            </w:r>
          </w:p>
        </w:tc>
        <w:tc>
          <w:tcPr>
            <w:tcW w:w="850" w:type="dxa"/>
            <w:vAlign w:val="center"/>
          </w:tcPr>
          <w:p>
            <w:pPr>
              <w:pStyle w:val="12"/>
            </w:pPr>
            <w:r>
              <w:t>0.00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2025业务费</w:t>
            </w:r>
          </w:p>
        </w:tc>
        <w:tc>
          <w:tcPr>
            <w:tcW w:w="964" w:type="dxa"/>
            <w:vAlign w:val="center"/>
          </w:tcPr>
          <w:p>
            <w:pPr>
              <w:pStyle w:val="12"/>
            </w:pPr>
            <w:r>
              <w:t>30.00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0.23</w:t>
            </w:r>
          </w:p>
        </w:tc>
        <w:tc>
          <w:tcPr>
            <w:tcW w:w="964" w:type="dxa"/>
            <w:vAlign w:val="center"/>
          </w:tcPr>
          <w:p>
            <w:pPr>
              <w:pStyle w:val="12"/>
            </w:pPr>
            <w:r>
              <w:t>0.23</w:t>
            </w:r>
          </w:p>
        </w:tc>
        <w:tc>
          <w:tcPr>
            <w:tcW w:w="964" w:type="dxa"/>
            <w:vAlign w:val="center"/>
          </w:tcPr>
          <w:p>
            <w:pPr>
              <w:pStyle w:val="12"/>
            </w:pPr>
            <w:r>
              <w:t>0.23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2025业务费</w:t>
            </w:r>
          </w:p>
        </w:tc>
        <w:tc>
          <w:tcPr>
            <w:tcW w:w="964" w:type="dxa"/>
            <w:vAlign w:val="center"/>
          </w:tcPr>
          <w:p>
            <w:pPr>
              <w:pStyle w:val="12"/>
            </w:pPr>
            <w:r>
              <w:t>30.00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70</w:t>
            </w:r>
          </w:p>
        </w:tc>
        <w:tc>
          <w:tcPr>
            <w:tcW w:w="850" w:type="dxa"/>
            <w:vAlign w:val="center"/>
          </w:tcPr>
          <w:p>
            <w:pPr>
              <w:pStyle w:val="12"/>
            </w:pPr>
            <w:r>
              <w:t>0.10</w:t>
            </w:r>
          </w:p>
        </w:tc>
        <w:tc>
          <w:tcPr>
            <w:tcW w:w="964" w:type="dxa"/>
            <w:vAlign w:val="center"/>
          </w:tcPr>
          <w:p>
            <w:pPr>
              <w:pStyle w:val="12"/>
            </w:pPr>
            <w:r>
              <w:t>7.00</w:t>
            </w:r>
          </w:p>
        </w:tc>
        <w:tc>
          <w:tcPr>
            <w:tcW w:w="964" w:type="dxa"/>
            <w:vAlign w:val="center"/>
          </w:tcPr>
          <w:p>
            <w:pPr>
              <w:pStyle w:val="12"/>
            </w:pPr>
            <w:r>
              <w:t>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2025业务费</w:t>
            </w:r>
          </w:p>
        </w:tc>
        <w:tc>
          <w:tcPr>
            <w:tcW w:w="964" w:type="dxa"/>
            <w:vAlign w:val="center"/>
          </w:tcPr>
          <w:p>
            <w:pPr>
              <w:pStyle w:val="12"/>
            </w:pPr>
            <w:r>
              <w:t>30.00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2025业务费</w:t>
            </w:r>
          </w:p>
        </w:tc>
        <w:tc>
          <w:tcPr>
            <w:tcW w:w="964" w:type="dxa"/>
            <w:vAlign w:val="center"/>
          </w:tcPr>
          <w:p>
            <w:pPr>
              <w:pStyle w:val="12"/>
            </w:pPr>
            <w:r>
              <w:t>30.00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1000</w:t>
            </w:r>
          </w:p>
        </w:tc>
        <w:tc>
          <w:tcPr>
            <w:tcW w:w="850" w:type="dxa"/>
            <w:vAlign w:val="center"/>
          </w:tcPr>
          <w:p>
            <w:pPr>
              <w:pStyle w:val="12"/>
            </w:pPr>
            <w:r>
              <w:t>0.00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石家庄市鹿泉区房屋征收中心小计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1.89</w:t>
            </w:r>
          </w:p>
        </w:tc>
        <w:tc>
          <w:tcPr>
            <w:tcW w:w="964" w:type="dxa"/>
            <w:vAlign w:val="center"/>
          </w:tcPr>
          <w:p>
            <w:pPr>
              <w:pStyle w:val="16"/>
            </w:pPr>
            <w:r>
              <w:t>1.89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109.66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0.34</w:t>
            </w:r>
          </w:p>
        </w:tc>
        <w:tc>
          <w:tcPr>
            <w:tcW w:w="964" w:type="dxa"/>
            <w:vAlign w:val="center"/>
          </w:tcPr>
          <w:p>
            <w:pPr>
              <w:pStyle w:val="12"/>
            </w:pPr>
            <w:r>
              <w:t>0.34</w:t>
            </w:r>
          </w:p>
        </w:tc>
        <w:tc>
          <w:tcPr>
            <w:tcW w:w="964" w:type="dxa"/>
            <w:vAlign w:val="center"/>
          </w:tcPr>
          <w:p>
            <w:pPr>
              <w:pStyle w:val="12"/>
            </w:pPr>
            <w:r>
              <w:t>0.34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109.66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0.55</w:t>
            </w:r>
          </w:p>
        </w:tc>
        <w:tc>
          <w:tcPr>
            <w:tcW w:w="964" w:type="dxa"/>
            <w:vAlign w:val="center"/>
          </w:tcPr>
          <w:p>
            <w:pPr>
              <w:pStyle w:val="12"/>
            </w:pPr>
            <w:r>
              <w:t>0.55</w:t>
            </w:r>
          </w:p>
        </w:tc>
        <w:tc>
          <w:tcPr>
            <w:tcW w:w="964" w:type="dxa"/>
            <w:vAlign w:val="center"/>
          </w:tcPr>
          <w:p>
            <w:pPr>
              <w:pStyle w:val="12"/>
            </w:pPr>
            <w:r>
              <w:t>0.55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109.66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625</w:t>
            </w:r>
          </w:p>
        </w:tc>
        <w:tc>
          <w:tcPr>
            <w:tcW w:w="850" w:type="dxa"/>
            <w:vAlign w:val="center"/>
          </w:tcPr>
          <w:p>
            <w:pPr>
              <w:pStyle w:val="12"/>
            </w:pPr>
            <w:r>
              <w:t>0.00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7.20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200</w:t>
            </w:r>
          </w:p>
        </w:tc>
        <w:tc>
          <w:tcPr>
            <w:tcW w:w="850" w:type="dxa"/>
            <w:vAlign w:val="center"/>
          </w:tcPr>
          <w:p>
            <w:pPr>
              <w:pStyle w:val="12"/>
            </w:pPr>
            <w:r>
              <w:t>0.00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石家庄市鹿泉区住房和建设监管综合服务中心小计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40.08</w:t>
            </w:r>
          </w:p>
        </w:tc>
        <w:tc>
          <w:tcPr>
            <w:tcW w:w="964" w:type="dxa"/>
            <w:vAlign w:val="center"/>
          </w:tcPr>
          <w:p>
            <w:pPr>
              <w:pStyle w:val="16"/>
            </w:pPr>
            <w:r>
              <w:t>40.08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1400</w:t>
            </w:r>
          </w:p>
        </w:tc>
        <w:tc>
          <w:tcPr>
            <w:tcW w:w="850" w:type="dxa"/>
            <w:vAlign w:val="center"/>
          </w:tcPr>
          <w:p>
            <w:pPr>
              <w:pStyle w:val="12"/>
            </w:pPr>
            <w:r>
              <w:t>0.00</w:t>
            </w:r>
          </w:p>
        </w:tc>
        <w:tc>
          <w:tcPr>
            <w:tcW w:w="964" w:type="dxa"/>
            <w:vAlign w:val="center"/>
          </w:tcPr>
          <w:p>
            <w:pPr>
              <w:pStyle w:val="12"/>
            </w:pPr>
            <w:r>
              <w:t>4.20</w:t>
            </w:r>
          </w:p>
        </w:tc>
        <w:tc>
          <w:tcPr>
            <w:tcW w:w="964" w:type="dxa"/>
            <w:vAlign w:val="center"/>
          </w:tcPr>
          <w:p>
            <w:pPr>
              <w:pStyle w:val="12"/>
            </w:pPr>
            <w:r>
              <w:t>4.20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保安服务</w:t>
            </w:r>
          </w:p>
        </w:tc>
        <w:tc>
          <w:tcPr>
            <w:tcW w:w="1134" w:type="dxa"/>
            <w:vAlign w:val="center"/>
          </w:tcPr>
          <w:p>
            <w:pPr>
              <w:pStyle w:val="13"/>
            </w:pPr>
            <w:r>
              <w:t>C05040300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10.08</w:t>
            </w:r>
          </w:p>
        </w:tc>
        <w:tc>
          <w:tcPr>
            <w:tcW w:w="964" w:type="dxa"/>
            <w:vAlign w:val="center"/>
          </w:tcPr>
          <w:p>
            <w:pPr>
              <w:pStyle w:val="12"/>
            </w:pPr>
            <w:r>
              <w:t>10.08</w:t>
            </w:r>
          </w:p>
        </w:tc>
        <w:tc>
          <w:tcPr>
            <w:tcW w:w="964" w:type="dxa"/>
            <w:vAlign w:val="center"/>
          </w:tcPr>
          <w:p>
            <w:pPr>
              <w:pStyle w:val="12"/>
            </w:pPr>
            <w:r>
              <w:t>10.08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条</w:t>
            </w:r>
          </w:p>
        </w:tc>
        <w:tc>
          <w:tcPr>
            <w:tcW w:w="850" w:type="dxa"/>
            <w:vAlign w:val="center"/>
          </w:tcPr>
          <w:p>
            <w:pPr>
              <w:pStyle w:val="12"/>
            </w:pPr>
            <w:r>
              <w:t>2</w:t>
            </w:r>
          </w:p>
        </w:tc>
        <w:tc>
          <w:tcPr>
            <w:tcW w:w="850" w:type="dxa"/>
            <w:vAlign w:val="center"/>
          </w:tcPr>
          <w:p>
            <w:pPr>
              <w:pStyle w:val="12"/>
            </w:pPr>
            <w:r>
              <w:t>1.41</w:t>
            </w:r>
          </w:p>
        </w:tc>
        <w:tc>
          <w:tcPr>
            <w:tcW w:w="964" w:type="dxa"/>
            <w:vAlign w:val="center"/>
          </w:tcPr>
          <w:p>
            <w:pPr>
              <w:pStyle w:val="12"/>
            </w:pPr>
            <w:r>
              <w:t>2.82</w:t>
            </w:r>
          </w:p>
        </w:tc>
        <w:tc>
          <w:tcPr>
            <w:tcW w:w="964" w:type="dxa"/>
            <w:vAlign w:val="center"/>
          </w:tcPr>
          <w:p>
            <w:pPr>
              <w:pStyle w:val="12"/>
            </w:pPr>
            <w:r>
              <w:t>2.82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6.48</w:t>
            </w:r>
          </w:p>
        </w:tc>
        <w:tc>
          <w:tcPr>
            <w:tcW w:w="964" w:type="dxa"/>
            <w:vAlign w:val="center"/>
          </w:tcPr>
          <w:p>
            <w:pPr>
              <w:pStyle w:val="12"/>
            </w:pPr>
            <w:r>
              <w:t>6.48</w:t>
            </w:r>
          </w:p>
        </w:tc>
        <w:tc>
          <w:tcPr>
            <w:tcW w:w="964" w:type="dxa"/>
            <w:vAlign w:val="center"/>
          </w:tcPr>
          <w:p>
            <w:pPr>
              <w:pStyle w:val="12"/>
            </w:pPr>
            <w:r>
              <w:t>6.48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140</w:t>
            </w:r>
          </w:p>
        </w:tc>
        <w:tc>
          <w:tcPr>
            <w:tcW w:w="850" w:type="dxa"/>
            <w:vAlign w:val="center"/>
          </w:tcPr>
          <w:p>
            <w:pPr>
              <w:pStyle w:val="12"/>
            </w:pPr>
            <w:r>
              <w:t>0.10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执法业务费（2025年）</w:t>
            </w:r>
          </w:p>
        </w:tc>
        <w:tc>
          <w:tcPr>
            <w:tcW w:w="964" w:type="dxa"/>
            <w:vAlign w:val="center"/>
          </w:tcPr>
          <w:p>
            <w:pPr>
              <w:pStyle w:val="12"/>
            </w:pPr>
            <w:r>
              <w:t>95.00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1000</w:t>
            </w:r>
          </w:p>
        </w:tc>
        <w:tc>
          <w:tcPr>
            <w:tcW w:w="850" w:type="dxa"/>
            <w:vAlign w:val="center"/>
          </w:tcPr>
          <w:p>
            <w:pPr>
              <w:pStyle w:val="12"/>
            </w:pPr>
            <w:r>
              <w:t>0.00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石家庄市鹿泉区城市建设服务中心小计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2.06</w:t>
            </w:r>
          </w:p>
        </w:tc>
        <w:tc>
          <w:tcPr>
            <w:tcW w:w="964" w:type="dxa"/>
            <w:vAlign w:val="center"/>
          </w:tcPr>
          <w:p>
            <w:pPr>
              <w:pStyle w:val="16"/>
            </w:pPr>
            <w:r>
              <w:t>2.06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10.20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585</w:t>
            </w:r>
          </w:p>
        </w:tc>
        <w:tc>
          <w:tcPr>
            <w:tcW w:w="850" w:type="dxa"/>
            <w:vAlign w:val="center"/>
          </w:tcPr>
          <w:p>
            <w:pPr>
              <w:pStyle w:val="12"/>
            </w:pPr>
            <w:r>
              <w:t>0.00</w:t>
            </w:r>
          </w:p>
        </w:tc>
        <w:tc>
          <w:tcPr>
            <w:tcW w:w="964" w:type="dxa"/>
            <w:vAlign w:val="center"/>
          </w:tcPr>
          <w:p>
            <w:pPr>
              <w:pStyle w:val="12"/>
            </w:pPr>
            <w:r>
              <w:t>1.76</w:t>
            </w:r>
          </w:p>
        </w:tc>
        <w:tc>
          <w:tcPr>
            <w:tcW w:w="964" w:type="dxa"/>
            <w:vAlign w:val="center"/>
          </w:tcPr>
          <w:p>
            <w:pPr>
              <w:pStyle w:val="12"/>
            </w:pPr>
            <w:r>
              <w:t>1.76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10.20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300</w:t>
            </w:r>
          </w:p>
        </w:tc>
        <w:tc>
          <w:tcPr>
            <w:tcW w:w="850" w:type="dxa"/>
            <w:vAlign w:val="center"/>
          </w:tcPr>
          <w:p>
            <w:pPr>
              <w:pStyle w:val="12"/>
            </w:pPr>
            <w:r>
              <w:t>0.00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石家庄市鹿泉区住房保障和房地产服务中心小计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11.31</w:t>
            </w:r>
          </w:p>
        </w:tc>
        <w:tc>
          <w:tcPr>
            <w:tcW w:w="964" w:type="dxa"/>
            <w:vAlign w:val="center"/>
          </w:tcPr>
          <w:p>
            <w:pPr>
              <w:pStyle w:val="16"/>
            </w:pPr>
            <w:r>
              <w:t>11.31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148.06</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0.25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148.06</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2</w:t>
            </w:r>
          </w:p>
        </w:tc>
        <w:tc>
          <w:tcPr>
            <w:tcW w:w="850" w:type="dxa"/>
            <w:vAlign w:val="center"/>
          </w:tcPr>
          <w:p>
            <w:pPr>
              <w:pStyle w:val="12"/>
            </w:pPr>
            <w:r>
              <w:t>1.65</w:t>
            </w:r>
          </w:p>
        </w:tc>
        <w:tc>
          <w:tcPr>
            <w:tcW w:w="964" w:type="dxa"/>
            <w:vAlign w:val="center"/>
          </w:tcPr>
          <w:p>
            <w:pPr>
              <w:pStyle w:val="12"/>
            </w:pPr>
            <w:r>
              <w:t>3.30</w:t>
            </w:r>
          </w:p>
        </w:tc>
        <w:tc>
          <w:tcPr>
            <w:tcW w:w="964" w:type="dxa"/>
            <w:vAlign w:val="center"/>
          </w:tcPr>
          <w:p>
            <w:pPr>
              <w:pStyle w:val="12"/>
            </w:pPr>
            <w:r>
              <w:t>3.30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148.06</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2000</w:t>
            </w:r>
          </w:p>
        </w:tc>
        <w:tc>
          <w:tcPr>
            <w:tcW w:w="850" w:type="dxa"/>
            <w:vAlign w:val="center"/>
          </w:tcPr>
          <w:p>
            <w:pPr>
              <w:pStyle w:val="12"/>
            </w:pPr>
            <w:r>
              <w:t>0.00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16.20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700</w:t>
            </w:r>
          </w:p>
        </w:tc>
        <w:tc>
          <w:tcPr>
            <w:tcW w:w="850" w:type="dxa"/>
            <w:vAlign w:val="center"/>
          </w:tcPr>
          <w:p>
            <w:pPr>
              <w:pStyle w:val="12"/>
            </w:pPr>
            <w:r>
              <w:t>0.00</w:t>
            </w:r>
          </w:p>
        </w:tc>
        <w:tc>
          <w:tcPr>
            <w:tcW w:w="964" w:type="dxa"/>
            <w:vAlign w:val="center"/>
          </w:tcPr>
          <w:p>
            <w:pPr>
              <w:pStyle w:val="12"/>
            </w:pPr>
            <w:r>
              <w:t>1.75</w:t>
            </w:r>
          </w:p>
        </w:tc>
        <w:tc>
          <w:tcPr>
            <w:tcW w:w="964" w:type="dxa"/>
            <w:vAlign w:val="center"/>
          </w:tcPr>
          <w:p>
            <w:pPr>
              <w:pStyle w:val="12"/>
            </w:pPr>
            <w:r>
              <w:t>1.75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16.20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4.16</w:t>
            </w:r>
          </w:p>
        </w:tc>
        <w:tc>
          <w:tcPr>
            <w:tcW w:w="964" w:type="dxa"/>
            <w:vAlign w:val="center"/>
          </w:tcPr>
          <w:p>
            <w:pPr>
              <w:pStyle w:val="12"/>
            </w:pPr>
            <w:r>
              <w:t>4.16</w:t>
            </w:r>
          </w:p>
        </w:tc>
        <w:tc>
          <w:tcPr>
            <w:tcW w:w="964" w:type="dxa"/>
            <w:vAlign w:val="center"/>
          </w:tcPr>
          <w:p>
            <w:pPr>
              <w:pStyle w:val="12"/>
            </w:pPr>
            <w:r>
              <w:t>4.16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石家庄市鹿泉区廉租住房和经济适用住房管理中心小计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92.13</w:t>
            </w:r>
          </w:p>
        </w:tc>
        <w:tc>
          <w:tcPr>
            <w:tcW w:w="964" w:type="dxa"/>
            <w:vAlign w:val="center"/>
          </w:tcPr>
          <w:p>
            <w:pPr>
              <w:pStyle w:val="16"/>
            </w:pPr>
            <w:r>
              <w:t>7.36</w:t>
            </w:r>
          </w:p>
        </w:tc>
        <w:tc>
          <w:tcPr>
            <w:tcW w:w="964" w:type="dxa"/>
            <w:vAlign w:val="center"/>
          </w:tcPr>
          <w:p>
            <w:pPr>
              <w:pStyle w:val="16"/>
            </w:pPr>
            <w:r>
              <w:t>84.77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92.13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37.44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37.44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辆</w:t>
            </w:r>
          </w:p>
        </w:tc>
        <w:tc>
          <w:tcPr>
            <w:tcW w:w="850" w:type="dxa"/>
            <w:vAlign w:val="center"/>
          </w:tcPr>
          <w:p>
            <w:pPr>
              <w:pStyle w:val="12"/>
            </w:pPr>
            <w:r>
              <w:t>1</w:t>
            </w:r>
          </w:p>
        </w:tc>
        <w:tc>
          <w:tcPr>
            <w:tcW w:w="850" w:type="dxa"/>
            <w:vAlign w:val="center"/>
          </w:tcPr>
          <w:p>
            <w:pPr>
              <w:pStyle w:val="12"/>
            </w:pPr>
            <w:r>
              <w:t>1.60</w:t>
            </w:r>
          </w:p>
        </w:tc>
        <w:tc>
          <w:tcPr>
            <w:tcW w:w="964" w:type="dxa"/>
            <w:vAlign w:val="center"/>
          </w:tcPr>
          <w:p>
            <w:pPr>
              <w:pStyle w:val="12"/>
            </w:pPr>
            <w:r>
              <w:t>1.60</w:t>
            </w:r>
          </w:p>
        </w:tc>
        <w:tc>
          <w:tcPr>
            <w:tcW w:w="964" w:type="dxa"/>
            <w:vAlign w:val="center"/>
          </w:tcPr>
          <w:p>
            <w:pPr>
              <w:pStyle w:val="12"/>
            </w:pPr>
            <w:r>
              <w:t>1.60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37.44</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升</w:t>
            </w:r>
          </w:p>
        </w:tc>
        <w:tc>
          <w:tcPr>
            <w:tcW w:w="850" w:type="dxa"/>
            <w:vAlign w:val="center"/>
          </w:tcPr>
          <w:p>
            <w:pPr>
              <w:pStyle w:val="12"/>
            </w:pPr>
            <w:r>
              <w:t>1000</w:t>
            </w:r>
          </w:p>
        </w:tc>
        <w:tc>
          <w:tcPr>
            <w:tcW w:w="850" w:type="dxa"/>
            <w:vAlign w:val="center"/>
          </w:tcPr>
          <w:p>
            <w:pPr>
              <w:pStyle w:val="12"/>
            </w:pPr>
            <w:r>
              <w:t>0.00</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7.20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200</w:t>
            </w:r>
          </w:p>
        </w:tc>
        <w:tc>
          <w:tcPr>
            <w:tcW w:w="850" w:type="dxa"/>
            <w:vAlign w:val="center"/>
          </w:tcPr>
          <w:p>
            <w:pPr>
              <w:pStyle w:val="12"/>
            </w:pPr>
            <w:r>
              <w:t>0.00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7.20</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4.16</w:t>
            </w:r>
          </w:p>
        </w:tc>
        <w:tc>
          <w:tcPr>
            <w:tcW w:w="964" w:type="dxa"/>
            <w:vAlign w:val="center"/>
          </w:tcPr>
          <w:p>
            <w:pPr>
              <w:pStyle w:val="12"/>
            </w:pPr>
            <w:r>
              <w:t>4.16</w:t>
            </w:r>
          </w:p>
        </w:tc>
        <w:tc>
          <w:tcPr>
            <w:tcW w:w="964" w:type="dxa"/>
            <w:vAlign w:val="center"/>
          </w:tcPr>
          <w:p>
            <w:pPr>
              <w:pStyle w:val="12"/>
            </w:pPr>
            <w:r>
              <w:t>4.16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2025年悦麓兰庭和翠屏龙苑人才公寓家具家电附属设施</w:t>
            </w:r>
          </w:p>
        </w:tc>
        <w:tc>
          <w:tcPr>
            <w:tcW w:w="964" w:type="dxa"/>
            <w:vAlign w:val="center"/>
          </w:tcPr>
          <w:p>
            <w:pPr>
              <w:pStyle w:val="12"/>
            </w:pPr>
            <w:r>
              <w:t>100.00</w:t>
            </w:r>
          </w:p>
        </w:tc>
        <w:tc>
          <w:tcPr>
            <w:tcW w:w="1134" w:type="dxa"/>
            <w:vAlign w:val="center"/>
          </w:tcPr>
          <w:p>
            <w:pPr>
              <w:pStyle w:val="13"/>
            </w:pPr>
            <w:r>
              <w:t>其他生活用电器</w:t>
            </w:r>
          </w:p>
        </w:tc>
        <w:tc>
          <w:tcPr>
            <w:tcW w:w="1134" w:type="dxa"/>
            <w:vAlign w:val="center"/>
          </w:tcPr>
          <w:p>
            <w:pPr>
              <w:pStyle w:val="13"/>
            </w:pPr>
            <w:r>
              <w:t>A02061899</w:t>
            </w:r>
          </w:p>
        </w:tc>
        <w:tc>
          <w:tcPr>
            <w:tcW w:w="709" w:type="dxa"/>
            <w:vAlign w:val="center"/>
          </w:tcPr>
          <w:p>
            <w:pPr>
              <w:pStyle w:val="14"/>
            </w:pPr>
            <w:r>
              <w:t>台</w:t>
            </w:r>
          </w:p>
        </w:tc>
        <w:tc>
          <w:tcPr>
            <w:tcW w:w="850" w:type="dxa"/>
            <w:vAlign w:val="center"/>
          </w:tcPr>
          <w:p>
            <w:pPr>
              <w:pStyle w:val="12"/>
            </w:pPr>
            <w:r>
              <w:t>64</w:t>
            </w:r>
          </w:p>
        </w:tc>
        <w:tc>
          <w:tcPr>
            <w:tcW w:w="850" w:type="dxa"/>
            <w:vAlign w:val="center"/>
          </w:tcPr>
          <w:p>
            <w:pPr>
              <w:pStyle w:val="12"/>
            </w:pPr>
            <w:r>
              <w:t>0.52</w:t>
            </w:r>
          </w:p>
        </w:tc>
        <w:tc>
          <w:tcPr>
            <w:tcW w:w="964" w:type="dxa"/>
            <w:vAlign w:val="center"/>
          </w:tcPr>
          <w:p>
            <w:pPr>
              <w:pStyle w:val="12"/>
            </w:pPr>
            <w:r>
              <w:t>33.41</w:t>
            </w:r>
          </w:p>
        </w:tc>
        <w:tc>
          <w:tcPr>
            <w:tcW w:w="964" w:type="dxa"/>
            <w:vAlign w:val="center"/>
          </w:tcPr>
          <w:p>
            <w:pPr>
              <w:pStyle w:val="12"/>
            </w:pPr>
          </w:p>
        </w:tc>
        <w:tc>
          <w:tcPr>
            <w:tcW w:w="964" w:type="dxa"/>
            <w:vAlign w:val="center"/>
          </w:tcPr>
          <w:p>
            <w:pPr>
              <w:pStyle w:val="12"/>
            </w:pPr>
            <w:r>
              <w:t>33.41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2025年悦麓兰庭和翠屏龙苑人才公寓家具家电附属设施</w:t>
            </w:r>
          </w:p>
        </w:tc>
        <w:tc>
          <w:tcPr>
            <w:tcW w:w="964" w:type="dxa"/>
            <w:vAlign w:val="center"/>
          </w:tcPr>
          <w:p>
            <w:pPr>
              <w:pStyle w:val="12"/>
            </w:pPr>
            <w:r>
              <w:t>100.00</w:t>
            </w:r>
          </w:p>
        </w:tc>
        <w:tc>
          <w:tcPr>
            <w:tcW w:w="1134" w:type="dxa"/>
            <w:vAlign w:val="center"/>
          </w:tcPr>
          <w:p>
            <w:pPr>
              <w:pStyle w:val="13"/>
            </w:pPr>
            <w:r>
              <w:t>其他生活用电器</w:t>
            </w:r>
          </w:p>
        </w:tc>
        <w:tc>
          <w:tcPr>
            <w:tcW w:w="1134" w:type="dxa"/>
            <w:vAlign w:val="center"/>
          </w:tcPr>
          <w:p>
            <w:pPr>
              <w:pStyle w:val="13"/>
            </w:pPr>
            <w:r>
              <w:t>A02061899</w:t>
            </w:r>
          </w:p>
        </w:tc>
        <w:tc>
          <w:tcPr>
            <w:tcW w:w="709" w:type="dxa"/>
            <w:vAlign w:val="center"/>
          </w:tcPr>
          <w:p>
            <w:pPr>
              <w:pStyle w:val="14"/>
            </w:pPr>
            <w:r>
              <w:t>台</w:t>
            </w:r>
          </w:p>
        </w:tc>
        <w:tc>
          <w:tcPr>
            <w:tcW w:w="850" w:type="dxa"/>
            <w:vAlign w:val="center"/>
          </w:tcPr>
          <w:p>
            <w:pPr>
              <w:pStyle w:val="12"/>
            </w:pPr>
            <w:r>
              <w:t>64</w:t>
            </w:r>
          </w:p>
        </w:tc>
        <w:tc>
          <w:tcPr>
            <w:tcW w:w="850" w:type="dxa"/>
            <w:vAlign w:val="center"/>
          </w:tcPr>
          <w:p>
            <w:pPr>
              <w:pStyle w:val="12"/>
            </w:pPr>
            <w:r>
              <w:t>0.28</w:t>
            </w:r>
          </w:p>
        </w:tc>
        <w:tc>
          <w:tcPr>
            <w:tcW w:w="964" w:type="dxa"/>
            <w:vAlign w:val="center"/>
          </w:tcPr>
          <w:p>
            <w:pPr>
              <w:pStyle w:val="12"/>
            </w:pPr>
            <w:r>
              <w:t>17.92</w:t>
            </w:r>
          </w:p>
        </w:tc>
        <w:tc>
          <w:tcPr>
            <w:tcW w:w="964" w:type="dxa"/>
            <w:vAlign w:val="center"/>
          </w:tcPr>
          <w:p>
            <w:pPr>
              <w:pStyle w:val="12"/>
            </w:pPr>
          </w:p>
        </w:tc>
        <w:tc>
          <w:tcPr>
            <w:tcW w:w="964" w:type="dxa"/>
            <w:vAlign w:val="center"/>
          </w:tcPr>
          <w:p>
            <w:pPr>
              <w:pStyle w:val="12"/>
            </w:pPr>
            <w:r>
              <w:t>17.92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2025年悦麓兰庭和翠屏龙苑人才公寓家具家电附属设施</w:t>
            </w:r>
          </w:p>
        </w:tc>
        <w:tc>
          <w:tcPr>
            <w:tcW w:w="964" w:type="dxa"/>
            <w:vAlign w:val="center"/>
          </w:tcPr>
          <w:p>
            <w:pPr>
              <w:pStyle w:val="12"/>
            </w:pPr>
            <w:r>
              <w:t>100.00</w:t>
            </w:r>
          </w:p>
        </w:tc>
        <w:tc>
          <w:tcPr>
            <w:tcW w:w="1134" w:type="dxa"/>
            <w:vAlign w:val="center"/>
          </w:tcPr>
          <w:p>
            <w:pPr>
              <w:pStyle w:val="13"/>
            </w:pPr>
            <w:r>
              <w:t>其他沙发类</w:t>
            </w:r>
          </w:p>
        </w:tc>
        <w:tc>
          <w:tcPr>
            <w:tcW w:w="1134" w:type="dxa"/>
            <w:vAlign w:val="center"/>
          </w:tcPr>
          <w:p>
            <w:pPr>
              <w:pStyle w:val="13"/>
            </w:pPr>
            <w:r>
              <w:t>A05010499</w:t>
            </w:r>
          </w:p>
        </w:tc>
        <w:tc>
          <w:tcPr>
            <w:tcW w:w="709" w:type="dxa"/>
            <w:vAlign w:val="center"/>
          </w:tcPr>
          <w:p>
            <w:pPr>
              <w:pStyle w:val="14"/>
            </w:pPr>
            <w:r>
              <w:t>个</w:t>
            </w:r>
          </w:p>
        </w:tc>
        <w:tc>
          <w:tcPr>
            <w:tcW w:w="850" w:type="dxa"/>
            <w:vAlign w:val="center"/>
          </w:tcPr>
          <w:p>
            <w:pPr>
              <w:pStyle w:val="12"/>
            </w:pPr>
            <w:r>
              <w:t>36</w:t>
            </w:r>
          </w:p>
        </w:tc>
        <w:tc>
          <w:tcPr>
            <w:tcW w:w="850" w:type="dxa"/>
            <w:vAlign w:val="center"/>
          </w:tcPr>
          <w:p>
            <w:pPr>
              <w:pStyle w:val="12"/>
            </w:pPr>
            <w:r>
              <w:t>0.40</w:t>
            </w:r>
          </w:p>
        </w:tc>
        <w:tc>
          <w:tcPr>
            <w:tcW w:w="964" w:type="dxa"/>
            <w:vAlign w:val="center"/>
          </w:tcPr>
          <w:p>
            <w:pPr>
              <w:pStyle w:val="12"/>
            </w:pPr>
            <w:r>
              <w:t>14.55</w:t>
            </w:r>
          </w:p>
        </w:tc>
        <w:tc>
          <w:tcPr>
            <w:tcW w:w="964" w:type="dxa"/>
            <w:vAlign w:val="center"/>
          </w:tcPr>
          <w:p>
            <w:pPr>
              <w:pStyle w:val="12"/>
            </w:pPr>
          </w:p>
        </w:tc>
        <w:tc>
          <w:tcPr>
            <w:tcW w:w="964" w:type="dxa"/>
            <w:vAlign w:val="center"/>
          </w:tcPr>
          <w:p>
            <w:pPr>
              <w:pStyle w:val="12"/>
            </w:pPr>
            <w:r>
              <w:t>14.55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2025年悦麓兰庭和翠屏龙苑人才公寓家具家电附属设施</w:t>
            </w:r>
          </w:p>
        </w:tc>
        <w:tc>
          <w:tcPr>
            <w:tcW w:w="964" w:type="dxa"/>
            <w:vAlign w:val="center"/>
          </w:tcPr>
          <w:p>
            <w:pPr>
              <w:pStyle w:val="12"/>
            </w:pPr>
            <w:r>
              <w:t>100.00</w:t>
            </w:r>
          </w:p>
        </w:tc>
        <w:tc>
          <w:tcPr>
            <w:tcW w:w="1134" w:type="dxa"/>
            <w:vAlign w:val="center"/>
          </w:tcPr>
          <w:p>
            <w:pPr>
              <w:pStyle w:val="13"/>
            </w:pPr>
            <w:r>
              <w:t>其他沙发类</w:t>
            </w:r>
          </w:p>
        </w:tc>
        <w:tc>
          <w:tcPr>
            <w:tcW w:w="1134" w:type="dxa"/>
            <w:vAlign w:val="center"/>
          </w:tcPr>
          <w:p>
            <w:pPr>
              <w:pStyle w:val="13"/>
            </w:pPr>
            <w:r>
              <w:t>A05010499</w:t>
            </w:r>
          </w:p>
        </w:tc>
        <w:tc>
          <w:tcPr>
            <w:tcW w:w="709" w:type="dxa"/>
            <w:vAlign w:val="center"/>
          </w:tcPr>
          <w:p>
            <w:pPr>
              <w:pStyle w:val="14"/>
            </w:pPr>
            <w:r>
              <w:t>个</w:t>
            </w:r>
          </w:p>
        </w:tc>
        <w:tc>
          <w:tcPr>
            <w:tcW w:w="850" w:type="dxa"/>
            <w:vAlign w:val="center"/>
          </w:tcPr>
          <w:p>
            <w:pPr>
              <w:pStyle w:val="12"/>
            </w:pPr>
            <w:r>
              <w:t>28</w:t>
            </w:r>
          </w:p>
        </w:tc>
        <w:tc>
          <w:tcPr>
            <w:tcW w:w="850" w:type="dxa"/>
            <w:vAlign w:val="center"/>
          </w:tcPr>
          <w:p>
            <w:pPr>
              <w:pStyle w:val="12"/>
            </w:pPr>
            <w:r>
              <w:t>0.43</w:t>
            </w:r>
          </w:p>
        </w:tc>
        <w:tc>
          <w:tcPr>
            <w:tcW w:w="964" w:type="dxa"/>
            <w:vAlign w:val="center"/>
          </w:tcPr>
          <w:p>
            <w:pPr>
              <w:pStyle w:val="12"/>
            </w:pPr>
            <w:r>
              <w:t>12.05</w:t>
            </w:r>
          </w:p>
        </w:tc>
        <w:tc>
          <w:tcPr>
            <w:tcW w:w="964" w:type="dxa"/>
            <w:vAlign w:val="center"/>
          </w:tcPr>
          <w:p>
            <w:pPr>
              <w:pStyle w:val="12"/>
            </w:pPr>
          </w:p>
        </w:tc>
        <w:tc>
          <w:tcPr>
            <w:tcW w:w="964" w:type="dxa"/>
            <w:vAlign w:val="center"/>
          </w:tcPr>
          <w:p>
            <w:pPr>
              <w:pStyle w:val="12"/>
            </w:pPr>
            <w:r>
              <w:t>12.05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2025年悦麓兰庭和翠屏龙苑人才公寓家具家电附属设施</w:t>
            </w:r>
          </w:p>
        </w:tc>
        <w:tc>
          <w:tcPr>
            <w:tcW w:w="964" w:type="dxa"/>
            <w:vAlign w:val="center"/>
          </w:tcPr>
          <w:p>
            <w:pPr>
              <w:pStyle w:val="12"/>
            </w:pPr>
            <w:r>
              <w:t>100.00</w:t>
            </w:r>
          </w:p>
        </w:tc>
        <w:tc>
          <w:tcPr>
            <w:tcW w:w="1134" w:type="dxa"/>
            <w:vAlign w:val="center"/>
          </w:tcPr>
          <w:p>
            <w:pPr>
              <w:pStyle w:val="13"/>
            </w:pPr>
            <w:r>
              <w:t>其他家具</w:t>
            </w:r>
          </w:p>
        </w:tc>
        <w:tc>
          <w:tcPr>
            <w:tcW w:w="1134" w:type="dxa"/>
            <w:vAlign w:val="center"/>
          </w:tcPr>
          <w:p>
            <w:pPr>
              <w:pStyle w:val="13"/>
            </w:pPr>
            <w:r>
              <w:t>A05019900</w:t>
            </w:r>
          </w:p>
        </w:tc>
        <w:tc>
          <w:tcPr>
            <w:tcW w:w="709" w:type="dxa"/>
            <w:vAlign w:val="center"/>
          </w:tcPr>
          <w:p>
            <w:pPr>
              <w:pStyle w:val="14"/>
            </w:pPr>
            <w:r>
              <w:t>个</w:t>
            </w:r>
          </w:p>
        </w:tc>
        <w:tc>
          <w:tcPr>
            <w:tcW w:w="850" w:type="dxa"/>
            <w:vAlign w:val="center"/>
          </w:tcPr>
          <w:p>
            <w:pPr>
              <w:pStyle w:val="12"/>
            </w:pPr>
            <w:r>
              <w:t>64</w:t>
            </w:r>
          </w:p>
        </w:tc>
        <w:tc>
          <w:tcPr>
            <w:tcW w:w="850" w:type="dxa"/>
            <w:vAlign w:val="center"/>
          </w:tcPr>
          <w:p>
            <w:pPr>
              <w:pStyle w:val="12"/>
            </w:pPr>
            <w:r>
              <w:t>0.11</w:t>
            </w:r>
          </w:p>
        </w:tc>
        <w:tc>
          <w:tcPr>
            <w:tcW w:w="964" w:type="dxa"/>
            <w:vAlign w:val="center"/>
          </w:tcPr>
          <w:p>
            <w:pPr>
              <w:pStyle w:val="12"/>
            </w:pPr>
            <w:r>
              <w:t>6.84</w:t>
            </w:r>
          </w:p>
        </w:tc>
        <w:tc>
          <w:tcPr>
            <w:tcW w:w="964" w:type="dxa"/>
            <w:vAlign w:val="center"/>
          </w:tcPr>
          <w:p>
            <w:pPr>
              <w:pStyle w:val="12"/>
            </w:pPr>
          </w:p>
        </w:tc>
        <w:tc>
          <w:tcPr>
            <w:tcW w:w="964" w:type="dxa"/>
            <w:vAlign w:val="center"/>
          </w:tcPr>
          <w:p>
            <w:pPr>
              <w:pStyle w:val="12"/>
            </w:pPr>
            <w:r>
              <w:t>6.84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6.84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hint="eastAsia" w:ascii="黑体" w:hAnsi="黑体" w:eastAsia="黑体" w:cs="黑体"/>
          <w:color w:val="000000"/>
          <w:sz w:val="32"/>
          <w:lang w:val="en-US" w:eastAsia="zh-CN"/>
        </w:rPr>
        <w:t>八</w:t>
      </w:r>
      <w:r>
        <w:rPr>
          <w:rFonts w:ascii="黑体" w:hAnsi="黑体" w:eastAsia="黑体" w:cs="黑体"/>
          <w:color w:val="000000"/>
          <w:sz w:val="32"/>
        </w:rPr>
        <w:t>、国有资产信息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石家庄市鹿泉区住房和城乡建设局（含所属单位）上年末固定资产金额为2381.89万元（详见下表）。本年度拟购置固定资产总额为0.00万元，已按要求列入政府采购预算，详见政府采购预算表。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333石家庄市鹿泉区住房和城乡建设局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2381.89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13979.65</w:t>
            </w:r>
          </w:p>
        </w:tc>
        <w:tc>
          <w:tcPr>
            <w:tcW w:w="2835" w:type="dxa"/>
            <w:vAlign w:val="center"/>
          </w:tcPr>
          <w:p>
            <w:pPr>
              <w:pStyle w:val="12"/>
            </w:pPr>
            <w:r>
              <w:t>2125.47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9429.08</w:t>
            </w:r>
          </w:p>
        </w:tc>
        <w:tc>
          <w:tcPr>
            <w:tcW w:w="2835" w:type="dxa"/>
            <w:vAlign w:val="center"/>
          </w:tcPr>
          <w:p>
            <w:pPr>
              <w:pStyle w:val="12"/>
            </w:pPr>
            <w:r>
              <w:t>1386.41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85.03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601</w:t>
            </w:r>
          </w:p>
        </w:tc>
        <w:tc>
          <w:tcPr>
            <w:tcW w:w="2835" w:type="dxa"/>
            <w:vAlign w:val="center"/>
          </w:tcPr>
          <w:p>
            <w:pPr>
              <w:pStyle w:val="12"/>
            </w:pPr>
            <w:r>
              <w:t>171.38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hint="eastAsia" w:ascii="黑体" w:hAnsi="黑体" w:eastAsia="黑体" w:cs="黑体"/>
          <w:color w:val="000000"/>
          <w:sz w:val="32"/>
          <w:lang w:val="en-US" w:eastAsia="zh-CN"/>
        </w:rPr>
        <w:t>九</w:t>
      </w:r>
      <w:r>
        <w:rPr>
          <w:rFonts w:ascii="黑体" w:hAnsi="黑体" w:eastAsia="黑体" w:cs="黑体"/>
          <w:color w:val="000000"/>
          <w:sz w:val="32"/>
        </w:rPr>
        <w:t>、名词解释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5C2205"/>
    <w:rsid w:val="0F8F4C1E"/>
    <w:rsid w:val="336D56AF"/>
    <w:rsid w:val="369D0E1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103</Pages>
  <TotalTime>7</TotalTime>
  <ScaleCrop>false</ScaleCrop>
  <LinksUpToDate>false</LinksUpToDate>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2025-02-12T10:38:00Z</dcterms:created>
  <dc:creator>Administrator</dc:creator>
  <cp:lastModifiedBy>Administrator</cp:lastModifiedBy>
  <dcterms:modified xsi:type="dcterms:W3CDTF">2025-03-11T08:58:24Z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