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A1F7AA">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01EF1F27">
      <w:pPr>
        <w:spacing w:line="560" w:lineRule="exact"/>
        <w:jc w:val="center"/>
        <w:rPr>
          <w:rFonts w:ascii="宋体" w:hAnsi="宋体" w:cs="宋体"/>
          <w:b/>
          <w:bCs/>
          <w:sz w:val="44"/>
          <w:szCs w:val="44"/>
        </w:rPr>
      </w:pPr>
    </w:p>
    <w:p w14:paraId="3E14D397">
      <w:pPr>
        <w:spacing w:line="560" w:lineRule="exact"/>
        <w:jc w:val="center"/>
        <w:rPr>
          <w:rFonts w:hint="default" w:ascii="宋体" w:hAnsi="宋体" w:eastAsia="宋体" w:cs="宋体"/>
          <w:b/>
          <w:bCs/>
          <w:sz w:val="44"/>
          <w:szCs w:val="44"/>
          <w:lang w:val="en-US" w:eastAsia="zh-CN"/>
        </w:rPr>
      </w:pPr>
      <w:r>
        <w:rPr>
          <w:rFonts w:hint="eastAsia" w:ascii="宋体" w:hAnsi="宋体" w:cs="宋体"/>
          <w:b/>
          <w:bCs/>
          <w:sz w:val="44"/>
          <w:szCs w:val="44"/>
          <w:lang w:val="en-US" w:eastAsia="zh-CN"/>
        </w:rPr>
        <w:t>石家庄市鹿泉区上寨乡人民政府</w:t>
      </w:r>
    </w:p>
    <w:p w14:paraId="255114AB">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369BF619">
      <w:pPr>
        <w:spacing w:line="560" w:lineRule="exact"/>
        <w:jc w:val="center"/>
        <w:rPr>
          <w:rFonts w:ascii="华文楷体" w:eastAsia="华文楷体"/>
          <w:sz w:val="32"/>
          <w:szCs w:val="32"/>
        </w:rPr>
      </w:pPr>
    </w:p>
    <w:p w14:paraId="2F26597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石家庄市鹿泉区上寨乡人民政府</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738044F3">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21F132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7F545CA">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上寨</w:t>
      </w:r>
      <w:r>
        <w:rPr>
          <w:rFonts w:hint="eastAsia" w:ascii="仿宋" w:hAnsi="仿宋" w:eastAsia="仿宋" w:cs="仿宋"/>
          <w:sz w:val="32"/>
          <w:szCs w:val="32"/>
        </w:rPr>
        <w:t>乡党委、人大、政府主要职责是：</w:t>
      </w:r>
    </w:p>
    <w:p w14:paraId="3F2ECB4F">
      <w:pPr>
        <w:ind w:firstLine="640" w:firstLineChars="200"/>
        <w:rPr>
          <w:rFonts w:hint="eastAsia" w:ascii="仿宋" w:hAnsi="仿宋" w:eastAsia="仿宋" w:cs="仿宋"/>
          <w:sz w:val="32"/>
          <w:szCs w:val="32"/>
        </w:rPr>
      </w:pPr>
      <w:r>
        <w:rPr>
          <w:rFonts w:hint="eastAsia" w:ascii="仿宋" w:hAnsi="仿宋" w:eastAsia="仿宋" w:cs="仿宋"/>
          <w:sz w:val="32"/>
          <w:szCs w:val="32"/>
        </w:rPr>
        <w:t>1、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7104ED58">
      <w:pPr>
        <w:ind w:firstLine="640" w:firstLineChars="200"/>
        <w:rPr>
          <w:rFonts w:hint="eastAsia" w:ascii="仿宋" w:hAnsi="仿宋" w:eastAsia="仿宋" w:cs="仿宋"/>
          <w:sz w:val="32"/>
          <w:szCs w:val="32"/>
        </w:rPr>
      </w:pPr>
      <w:r>
        <w:rPr>
          <w:rFonts w:hint="eastAsia" w:ascii="仿宋" w:hAnsi="仿宋" w:eastAsia="仿宋" w:cs="仿宋"/>
          <w:sz w:val="32"/>
          <w:szCs w:val="32"/>
        </w:rPr>
        <w:t>2、讨论和决定本乡经济建设、政治建设、文化建设、社会建设、生态文明建设和党的建设以及乡村振兴中的重大问题。</w:t>
      </w:r>
    </w:p>
    <w:p w14:paraId="38C4B36A">
      <w:pPr>
        <w:ind w:firstLine="640" w:firstLineChars="200"/>
        <w:rPr>
          <w:rFonts w:hint="eastAsia" w:ascii="仿宋" w:hAnsi="仿宋" w:eastAsia="仿宋" w:cs="仿宋"/>
          <w:sz w:val="32"/>
          <w:szCs w:val="32"/>
        </w:rPr>
      </w:pPr>
      <w:r>
        <w:rPr>
          <w:rFonts w:hint="eastAsia" w:ascii="仿宋" w:hAnsi="仿宋" w:eastAsia="仿宋" w:cs="仿宋"/>
          <w:sz w:val="32"/>
          <w:szCs w:val="32"/>
        </w:rPr>
        <w:t>3、组织召开本级人民代表大会，充分行使重大事项决定权、监督权和任免权，做好人大代表工作，联系选民、反映群众意见和要求。</w:t>
      </w:r>
    </w:p>
    <w:p w14:paraId="330A64C2">
      <w:pPr>
        <w:ind w:firstLine="640" w:firstLineChars="200"/>
        <w:rPr>
          <w:rFonts w:hint="eastAsia" w:ascii="仿宋" w:hAnsi="仿宋" w:eastAsia="仿宋" w:cs="仿宋"/>
          <w:sz w:val="32"/>
          <w:szCs w:val="32"/>
        </w:rPr>
      </w:pPr>
      <w:r>
        <w:rPr>
          <w:rFonts w:hint="eastAsia" w:ascii="仿宋" w:hAnsi="仿宋" w:eastAsia="仿宋" w:cs="仿宋"/>
          <w:sz w:val="32"/>
          <w:szCs w:val="32"/>
        </w:rPr>
        <w:t>4、执行本行政区域内的经济和社会发展计划，预算，管理本行政区域内的经济、教育、科学、文化、卫生健康、体育事业和财政、统计、民政、司法行政等行政工作。落实本级行政区域内发展规划、专项规划、区域规划、国土空间规划。</w:t>
      </w:r>
    </w:p>
    <w:p w14:paraId="291BB5D8">
      <w:pPr>
        <w:ind w:firstLine="640" w:firstLineChars="200"/>
        <w:rPr>
          <w:rFonts w:hint="eastAsia" w:ascii="仿宋" w:hAnsi="仿宋" w:eastAsia="仿宋" w:cs="仿宋"/>
          <w:sz w:val="32"/>
          <w:szCs w:val="32"/>
        </w:rPr>
      </w:pPr>
      <w:r>
        <w:rPr>
          <w:rFonts w:hint="eastAsia" w:ascii="仿宋" w:hAnsi="仿宋" w:eastAsia="仿宋" w:cs="仿宋"/>
          <w:sz w:val="32"/>
          <w:szCs w:val="32"/>
        </w:rP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7995F207">
      <w:pPr>
        <w:ind w:firstLine="640" w:firstLineChars="200"/>
        <w:rPr>
          <w:rFonts w:hint="eastAsia" w:ascii="仿宋" w:hAnsi="仿宋" w:eastAsia="仿宋" w:cs="仿宋"/>
          <w:sz w:val="32"/>
          <w:szCs w:val="32"/>
        </w:rPr>
      </w:pPr>
      <w:r>
        <w:rPr>
          <w:rFonts w:hint="eastAsia" w:ascii="仿宋" w:hAnsi="仿宋" w:eastAsia="仿宋" w:cs="仿宋"/>
          <w:sz w:val="32"/>
          <w:szCs w:val="32"/>
        </w:rPr>
        <w:t>6、加强乡党委自身建设和村党组织建设，以及其他隶属乡党委的党组织建设，抓好发展党员工作，加强党员队伍建设。维护和执行党的纪律，监督党员干部和其他任何工作人员严格遵守国家法律法规。</w:t>
      </w:r>
    </w:p>
    <w:p w14:paraId="11BA347A">
      <w:pPr>
        <w:ind w:firstLine="640" w:firstLineChars="200"/>
        <w:rPr>
          <w:rFonts w:hint="eastAsia" w:ascii="仿宋" w:hAnsi="仿宋" w:eastAsia="仿宋" w:cs="仿宋"/>
          <w:sz w:val="32"/>
          <w:szCs w:val="32"/>
        </w:rPr>
      </w:pPr>
      <w:r>
        <w:rPr>
          <w:rFonts w:hint="eastAsia" w:ascii="仿宋" w:hAnsi="仿宋" w:eastAsia="仿宋" w:cs="仿宋"/>
          <w:sz w:val="32"/>
          <w:szCs w:val="32"/>
        </w:rPr>
        <w:t>7、按照干部管理权限，负责对干部的教育、培训、选拔、考核和监督工作。协助管理上级有关部门驻乡单位的干部。做好人才服务工作。</w:t>
      </w:r>
    </w:p>
    <w:p w14:paraId="05948A26">
      <w:pPr>
        <w:ind w:firstLine="640" w:firstLineChars="200"/>
        <w:rPr>
          <w:rFonts w:hint="eastAsia" w:ascii="仿宋" w:hAnsi="仿宋" w:eastAsia="仿宋" w:cs="仿宋"/>
          <w:sz w:val="32"/>
          <w:szCs w:val="32"/>
        </w:rPr>
      </w:pPr>
      <w:r>
        <w:rPr>
          <w:rFonts w:hint="eastAsia" w:ascii="仿宋" w:hAnsi="仿宋" w:eastAsia="仿宋" w:cs="仿宋"/>
          <w:sz w:val="32"/>
          <w:szCs w:val="32"/>
        </w:rPr>
        <w:t>8、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7CC5495">
      <w:pPr>
        <w:ind w:firstLine="640" w:firstLineChars="200"/>
        <w:rPr>
          <w:rFonts w:hint="eastAsia" w:ascii="仿宋" w:hAnsi="仿宋" w:eastAsia="仿宋" w:cs="仿宋"/>
          <w:sz w:val="32"/>
          <w:szCs w:val="32"/>
        </w:rPr>
      </w:pPr>
      <w:r>
        <w:rPr>
          <w:rFonts w:hint="eastAsia" w:ascii="仿宋" w:hAnsi="仿宋" w:eastAsia="仿宋" w:cs="仿宋"/>
          <w:sz w:val="32"/>
          <w:szCs w:val="32"/>
        </w:rPr>
        <w:t>9、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03E883B1">
      <w:pPr>
        <w:ind w:firstLine="640" w:firstLineChars="200"/>
        <w:rPr>
          <w:rFonts w:hint="eastAsia" w:ascii="仿宋" w:hAnsi="仿宋" w:eastAsia="仿宋" w:cs="仿宋"/>
          <w:sz w:val="32"/>
          <w:szCs w:val="32"/>
        </w:rPr>
      </w:pPr>
      <w:r>
        <w:rPr>
          <w:rFonts w:hint="eastAsia" w:ascii="仿宋" w:hAnsi="仿宋" w:eastAsia="仿宋" w:cs="仿宋"/>
          <w:sz w:val="32"/>
          <w:szCs w:val="32"/>
        </w:rPr>
        <w:t>10、承办上级党委、人大、政府交办的其他事项。</w:t>
      </w:r>
    </w:p>
    <w:p w14:paraId="5C7990E0">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上寨</w:t>
      </w:r>
      <w:r>
        <w:rPr>
          <w:rFonts w:hint="eastAsia" w:ascii="仿宋" w:hAnsi="仿宋" w:eastAsia="仿宋" w:cs="仿宋"/>
          <w:sz w:val="32"/>
          <w:szCs w:val="32"/>
        </w:rPr>
        <w:t>乡内设机构4个，分别为：党政综合办公室、党建工作办公室（挂人大主席团办公室牌子）、社会治理和应急管理办公室（挂综合指挥和信息化网络中心牌子）、自然资源和生态环境办公室；下辖事业单位</w:t>
      </w:r>
      <w:r>
        <w:rPr>
          <w:rFonts w:hint="eastAsia" w:ascii="仿宋" w:hAnsi="仿宋" w:eastAsia="仿宋" w:cs="仿宋"/>
          <w:sz w:val="32"/>
          <w:szCs w:val="32"/>
          <w:lang w:val="en-US" w:eastAsia="zh-CN"/>
        </w:rPr>
        <w:t>4</w:t>
      </w:r>
      <w:r>
        <w:rPr>
          <w:rFonts w:hint="eastAsia" w:ascii="仿宋" w:hAnsi="仿宋" w:eastAsia="仿宋" w:cs="仿宋"/>
          <w:sz w:val="32"/>
          <w:szCs w:val="32"/>
        </w:rPr>
        <w:t>个：综合行政执法队、行政综合服务中心、经济发展办公室</w:t>
      </w:r>
      <w:r>
        <w:rPr>
          <w:rFonts w:hint="eastAsia" w:ascii="仿宋" w:hAnsi="仿宋" w:eastAsia="仿宋" w:cs="仿宋"/>
          <w:sz w:val="32"/>
          <w:szCs w:val="32"/>
          <w:lang w:eastAsia="zh-CN"/>
        </w:rPr>
        <w:t>、</w:t>
      </w:r>
      <w:r>
        <w:rPr>
          <w:rFonts w:hint="eastAsia" w:ascii="仿宋" w:hAnsi="仿宋" w:eastAsia="仿宋" w:cs="仿宋"/>
          <w:sz w:val="32"/>
          <w:szCs w:val="32"/>
        </w:rPr>
        <w:t>退役军人服务站。乡纪委（监察办公室），负责全乡党的纪律检查工作。</w:t>
      </w:r>
    </w:p>
    <w:p w14:paraId="31238A22">
      <w:pPr>
        <w:ind w:firstLine="640" w:firstLineChars="200"/>
        <w:rPr>
          <w:rFonts w:hint="eastAsia" w:ascii="仿宋" w:hAnsi="仿宋" w:eastAsia="仿宋" w:cs="仿宋"/>
          <w:sz w:val="32"/>
          <w:szCs w:val="32"/>
        </w:rPr>
      </w:pPr>
      <w:r>
        <w:rPr>
          <w:rFonts w:hint="eastAsia" w:ascii="仿宋" w:hAnsi="仿宋" w:eastAsia="仿宋" w:cs="仿宋"/>
          <w:sz w:val="32"/>
          <w:szCs w:val="32"/>
        </w:rPr>
        <w:t>截至202</w:t>
      </w:r>
      <w:r>
        <w:rPr>
          <w:rFonts w:hint="eastAsia" w:ascii="仿宋" w:hAnsi="仿宋" w:eastAsia="仿宋" w:cs="仿宋"/>
          <w:sz w:val="32"/>
          <w:szCs w:val="32"/>
          <w:lang w:val="en-US" w:eastAsia="zh-CN"/>
        </w:rPr>
        <w:t>4</w:t>
      </w:r>
      <w:r>
        <w:rPr>
          <w:rFonts w:hint="eastAsia" w:ascii="仿宋" w:hAnsi="仿宋" w:eastAsia="仿宋" w:cs="仿宋"/>
          <w:sz w:val="32"/>
          <w:szCs w:val="32"/>
        </w:rPr>
        <w:t>年底，部门独立编制机构1个为</w:t>
      </w:r>
      <w:r>
        <w:rPr>
          <w:rFonts w:hint="eastAsia" w:ascii="仿宋" w:hAnsi="仿宋" w:eastAsia="仿宋" w:cs="仿宋"/>
          <w:sz w:val="32"/>
          <w:szCs w:val="32"/>
          <w:lang w:val="en-US" w:eastAsia="zh-CN"/>
        </w:rPr>
        <w:t>上寨</w:t>
      </w:r>
      <w:r>
        <w:rPr>
          <w:rFonts w:hint="eastAsia" w:ascii="仿宋" w:hAnsi="仿宋" w:eastAsia="仿宋" w:cs="仿宋"/>
          <w:sz w:val="32"/>
          <w:szCs w:val="32"/>
        </w:rPr>
        <w:t>乡人民政府；独立核算机构1个为</w:t>
      </w:r>
      <w:r>
        <w:rPr>
          <w:rFonts w:hint="eastAsia" w:ascii="仿宋" w:hAnsi="仿宋" w:eastAsia="仿宋" w:cs="仿宋"/>
          <w:sz w:val="32"/>
          <w:szCs w:val="32"/>
          <w:lang w:val="en-US" w:eastAsia="zh-CN"/>
        </w:rPr>
        <w:t>上寨</w:t>
      </w:r>
      <w:r>
        <w:rPr>
          <w:rFonts w:hint="eastAsia" w:ascii="仿宋" w:hAnsi="仿宋" w:eastAsia="仿宋" w:cs="仿宋"/>
          <w:sz w:val="32"/>
          <w:szCs w:val="32"/>
        </w:rPr>
        <w:t>乡人民政府，年末在职在编实有人数</w:t>
      </w:r>
      <w:r>
        <w:rPr>
          <w:rFonts w:hint="eastAsia" w:ascii="仿宋" w:hAnsi="仿宋" w:eastAsia="仿宋" w:cs="仿宋"/>
          <w:sz w:val="32"/>
          <w:szCs w:val="32"/>
          <w:lang w:val="en-US" w:eastAsia="zh-CN"/>
        </w:rPr>
        <w:t>43</w:t>
      </w:r>
      <w:r>
        <w:rPr>
          <w:rFonts w:hint="eastAsia" w:ascii="仿宋" w:hAnsi="仿宋" w:eastAsia="仿宋" w:cs="仿宋"/>
          <w:sz w:val="32"/>
          <w:szCs w:val="32"/>
        </w:rPr>
        <w:t>人，其中行政在编人员</w:t>
      </w:r>
      <w:r>
        <w:rPr>
          <w:rFonts w:hint="eastAsia" w:ascii="仿宋" w:hAnsi="仿宋" w:eastAsia="仿宋" w:cs="仿宋"/>
          <w:sz w:val="32"/>
          <w:szCs w:val="32"/>
          <w:lang w:val="en-US" w:eastAsia="zh-CN"/>
        </w:rPr>
        <w:t>21</w:t>
      </w:r>
      <w:r>
        <w:rPr>
          <w:rFonts w:hint="eastAsia" w:ascii="仿宋" w:hAnsi="仿宋" w:eastAsia="仿宋" w:cs="仿宋"/>
          <w:sz w:val="32"/>
          <w:szCs w:val="32"/>
        </w:rPr>
        <w:t xml:space="preserve">人，非参公事业人员 </w:t>
      </w:r>
      <w:r>
        <w:rPr>
          <w:rFonts w:hint="eastAsia" w:ascii="仿宋" w:hAnsi="仿宋" w:eastAsia="仿宋" w:cs="仿宋"/>
          <w:sz w:val="32"/>
          <w:szCs w:val="32"/>
          <w:lang w:val="en-US" w:eastAsia="zh-CN"/>
        </w:rPr>
        <w:t>22</w:t>
      </w:r>
      <w:r>
        <w:rPr>
          <w:rFonts w:hint="eastAsia" w:ascii="仿宋" w:hAnsi="仿宋" w:eastAsia="仿宋" w:cs="仿宋"/>
          <w:sz w:val="32"/>
          <w:szCs w:val="32"/>
        </w:rPr>
        <w:t>人。</w:t>
      </w:r>
    </w:p>
    <w:p w14:paraId="5B12D71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rPr>
        <w:t>截至202</w:t>
      </w:r>
      <w:r>
        <w:rPr>
          <w:rFonts w:hint="eastAsia" w:ascii="仿宋" w:hAnsi="仿宋" w:eastAsia="仿宋" w:cs="仿宋"/>
          <w:sz w:val="32"/>
          <w:szCs w:val="32"/>
          <w:lang w:val="en-US" w:eastAsia="zh-CN"/>
        </w:rPr>
        <w:t>4</w:t>
      </w:r>
      <w:r>
        <w:rPr>
          <w:rFonts w:hint="eastAsia" w:ascii="仿宋" w:hAnsi="仿宋" w:eastAsia="仿宋" w:cs="仿宋"/>
          <w:sz w:val="32"/>
          <w:szCs w:val="32"/>
        </w:rPr>
        <w:t>年12月31日，本部门共有车辆</w:t>
      </w:r>
      <w:r>
        <w:rPr>
          <w:rFonts w:hint="eastAsia" w:ascii="仿宋_GB2312" w:hAnsi="Times New Roman" w:eastAsia="仿宋_GB2312" w:cs="仿宋_GB2312"/>
          <w:sz w:val="32"/>
          <w:szCs w:val="32"/>
          <w:lang w:val="en-US" w:eastAsia="zh-CN"/>
        </w:rPr>
        <w:t>4</w:t>
      </w:r>
      <w:r>
        <w:rPr>
          <w:rFonts w:hint="eastAsia" w:ascii="仿宋" w:hAnsi="仿宋" w:eastAsia="仿宋" w:cs="仿宋"/>
          <w:sz w:val="32"/>
          <w:szCs w:val="32"/>
        </w:rPr>
        <w:t>辆。其中，副部（省）级及以上领导用车0辆，主要领导干部用车0辆，机要通信用车</w:t>
      </w:r>
      <w:r>
        <w:rPr>
          <w:rFonts w:hint="eastAsia" w:ascii="仿宋" w:hAnsi="仿宋" w:eastAsia="仿宋" w:cs="仿宋"/>
          <w:sz w:val="32"/>
          <w:szCs w:val="32"/>
          <w:lang w:val="en-US" w:eastAsia="zh-CN"/>
        </w:rPr>
        <w:t>0</w:t>
      </w:r>
      <w:r>
        <w:rPr>
          <w:rFonts w:hint="eastAsia" w:ascii="仿宋" w:hAnsi="仿宋" w:eastAsia="仿宋" w:cs="仿宋"/>
          <w:sz w:val="32"/>
          <w:szCs w:val="32"/>
        </w:rPr>
        <w:t>辆，应急保障用车</w:t>
      </w:r>
      <w:r>
        <w:rPr>
          <w:rFonts w:hint="eastAsia" w:ascii="仿宋" w:hAnsi="仿宋" w:eastAsia="仿宋" w:cs="仿宋"/>
          <w:sz w:val="32"/>
          <w:szCs w:val="32"/>
          <w:lang w:val="en-US" w:eastAsia="zh-CN"/>
        </w:rPr>
        <w:t>2</w:t>
      </w:r>
      <w:r>
        <w:rPr>
          <w:rFonts w:hint="eastAsia" w:ascii="仿宋" w:hAnsi="仿宋" w:eastAsia="仿宋" w:cs="仿宋"/>
          <w:sz w:val="32"/>
          <w:szCs w:val="32"/>
        </w:rPr>
        <w:t>辆，执法执勤用车0辆，</w:t>
      </w:r>
      <w:r>
        <w:rPr>
          <w:rFonts w:ascii="仿宋_GB2312" w:hAnsi="Times New Roman" w:eastAsia="仿宋_GB2312" w:cs="仿宋_GB2312"/>
          <w:sz w:val="32"/>
          <w:szCs w:val="32"/>
        </w:rPr>
        <w:t>清洁用车2</w:t>
      </w:r>
      <w:r>
        <w:rPr>
          <w:rFonts w:hint="eastAsia" w:ascii="仿宋_GB2312" w:hAnsi="Times New Roman" w:eastAsia="仿宋_GB2312" w:cs="仿宋_GB2312"/>
          <w:sz w:val="32"/>
          <w:szCs w:val="32"/>
          <w:lang w:val="en-US" w:eastAsia="zh-CN"/>
        </w:rPr>
        <w:t>辆</w:t>
      </w:r>
      <w:r>
        <w:rPr>
          <w:rFonts w:hint="eastAsia" w:ascii="仿宋" w:hAnsi="仿宋" w:eastAsia="仿宋" w:cs="仿宋"/>
          <w:sz w:val="32"/>
          <w:szCs w:val="32"/>
        </w:rPr>
        <w:t>，离退休干部用车0辆，其他用车0辆；单位价值100万元以上设备（不含车辆）0 台（套）</w:t>
      </w:r>
      <w:r>
        <w:rPr>
          <w:rFonts w:hint="eastAsia" w:ascii="仿宋" w:hAnsi="仿宋" w:eastAsia="仿宋"/>
          <w:sz w:val="32"/>
          <w:szCs w:val="32"/>
        </w:rPr>
        <w:t>。</w:t>
      </w:r>
    </w:p>
    <w:p w14:paraId="4BAFF280">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02983234">
      <w:pPr>
        <w:ind w:firstLine="640" w:firstLineChars="200"/>
        <w:rPr>
          <w:rFonts w:hint="eastAsia" w:ascii="仿宋" w:hAnsi="仿宋" w:eastAsia="仿宋" w:cs="仿宋"/>
          <w:sz w:val="32"/>
          <w:szCs w:val="32"/>
        </w:rPr>
      </w:pPr>
      <w:r>
        <w:rPr>
          <w:rFonts w:hint="eastAsia" w:ascii="仿宋" w:hAnsi="仿宋" w:eastAsia="仿宋" w:cs="仿宋"/>
          <w:sz w:val="32"/>
          <w:szCs w:val="32"/>
        </w:rPr>
        <w:t>1、收入支出预算总体情况说明</w:t>
      </w:r>
    </w:p>
    <w:p w14:paraId="082D13E4">
      <w:pPr>
        <w:ind w:firstLine="640" w:firstLineChars="200"/>
        <w:rPr>
          <w:rFonts w:hint="eastAsia" w:ascii="仿宋" w:hAnsi="仿宋" w:eastAsia="仿宋" w:cs="仿宋"/>
          <w:sz w:val="32"/>
          <w:szCs w:val="32"/>
        </w:rPr>
      </w:pPr>
      <w:r>
        <w:rPr>
          <w:rFonts w:hint="eastAsia" w:ascii="仿宋" w:hAnsi="仿宋" w:eastAsia="仿宋" w:cs="仿宋"/>
          <w:sz w:val="32"/>
          <w:szCs w:val="32"/>
        </w:rPr>
        <w:t>本部门202</w:t>
      </w:r>
      <w:r>
        <w:rPr>
          <w:rFonts w:hint="eastAsia" w:ascii="仿宋" w:hAnsi="仿宋" w:eastAsia="仿宋" w:cs="仿宋"/>
          <w:sz w:val="32"/>
          <w:szCs w:val="32"/>
          <w:lang w:val="en-US" w:eastAsia="zh-CN"/>
        </w:rPr>
        <w:t>4</w:t>
      </w:r>
      <w:r>
        <w:rPr>
          <w:rFonts w:hint="eastAsia" w:ascii="仿宋" w:hAnsi="仿宋" w:eastAsia="仿宋" w:cs="仿宋"/>
          <w:sz w:val="32"/>
          <w:szCs w:val="32"/>
        </w:rPr>
        <w:t>年度</w:t>
      </w:r>
      <w:r>
        <w:rPr>
          <w:rFonts w:hint="eastAsia" w:ascii="仿宋" w:hAnsi="仿宋" w:eastAsia="仿宋" w:cs="仿宋"/>
          <w:b w:val="0"/>
          <w:kern w:val="2"/>
          <w:sz w:val="32"/>
          <w:szCs w:val="32"/>
          <w:lang w:val="en-US" w:eastAsia="zh-CN" w:bidi="ar-SA"/>
        </w:rPr>
        <w:t>年初预算收支1964.88万元，全年预算安排</w:t>
      </w:r>
      <w:r>
        <w:rPr>
          <w:rFonts w:hint="eastAsia" w:ascii="仿宋" w:hAnsi="仿宋" w:eastAsia="仿宋" w:cs="仿宋"/>
          <w:color w:val="000000"/>
          <w:kern w:val="0"/>
          <w:sz w:val="32"/>
          <w:szCs w:val="32"/>
          <w:lang w:val="en-US" w:eastAsia="zh-CN"/>
        </w:rPr>
        <w:t>1995.35</w:t>
      </w:r>
      <w:r>
        <w:rPr>
          <w:rFonts w:hint="eastAsia" w:ascii="仿宋" w:hAnsi="仿宋" w:eastAsia="仿宋" w:cs="仿宋"/>
          <w:sz w:val="32"/>
          <w:szCs w:val="32"/>
        </w:rPr>
        <w:t>万元，预算支出</w:t>
      </w:r>
      <w:r>
        <w:rPr>
          <w:rFonts w:hint="eastAsia" w:ascii="仿宋" w:hAnsi="仿宋" w:eastAsia="仿宋" w:cs="仿宋"/>
          <w:color w:val="000000"/>
          <w:kern w:val="0"/>
          <w:sz w:val="32"/>
          <w:szCs w:val="32"/>
          <w:lang w:val="en-US" w:eastAsia="zh-CN"/>
        </w:rPr>
        <w:t>1995.35</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b w:val="0"/>
          <w:kern w:val="2"/>
          <w:sz w:val="32"/>
          <w:szCs w:val="32"/>
          <w:lang w:val="en-US" w:eastAsia="zh-CN" w:bidi="ar-SA"/>
        </w:rPr>
        <w:t>较2023年预算增加324.36万元，其中基本支出915.80万元，较上年减少18.09万元，项目支出1079.54万元，比上年增加342.45万元，主要原因是基本支出减少和项目预算支出增加</w:t>
      </w:r>
      <w:r>
        <w:rPr>
          <w:rFonts w:hint="eastAsia" w:ascii="仿宋" w:hAnsi="仿宋" w:eastAsia="仿宋" w:cs="仿宋"/>
          <w:sz w:val="32"/>
          <w:szCs w:val="32"/>
        </w:rPr>
        <w:t>。</w:t>
      </w:r>
    </w:p>
    <w:p w14:paraId="3EB4265D">
      <w:pPr>
        <w:ind w:firstLine="640" w:firstLineChars="200"/>
        <w:rPr>
          <w:rFonts w:hint="eastAsia" w:ascii="仿宋" w:hAnsi="仿宋" w:eastAsia="仿宋" w:cs="仿宋"/>
          <w:sz w:val="32"/>
          <w:szCs w:val="32"/>
        </w:rPr>
      </w:pPr>
      <w:r>
        <w:rPr>
          <w:rFonts w:hint="eastAsia" w:ascii="仿宋" w:hAnsi="仿宋" w:eastAsia="仿宋" w:cs="仿宋"/>
          <w:sz w:val="32"/>
          <w:szCs w:val="32"/>
        </w:rPr>
        <w:t>2、收入支出决算总体情况说明</w:t>
      </w:r>
    </w:p>
    <w:p w14:paraId="3B02AC3F">
      <w:pPr>
        <w:ind w:firstLine="640" w:firstLineChars="200"/>
        <w:rPr>
          <w:rFonts w:hint="eastAsia" w:ascii="仿宋_GB2312" w:hAnsi="仿宋" w:eastAsia="仿宋_GB2312"/>
          <w:sz w:val="32"/>
          <w:szCs w:val="32"/>
          <w:highlight w:val="none"/>
        </w:rPr>
      </w:pPr>
      <w:r>
        <w:rPr>
          <w:rFonts w:hint="eastAsia" w:ascii="仿宋" w:hAnsi="仿宋" w:eastAsia="仿宋" w:cs="仿宋"/>
          <w:b w:val="0"/>
          <w:kern w:val="2"/>
          <w:sz w:val="32"/>
          <w:szCs w:val="32"/>
          <w:lang w:val="en-US" w:eastAsia="zh-CN" w:bidi="ar-SA"/>
        </w:rPr>
        <w:t>本部门2024年度</w:t>
      </w:r>
      <w:r>
        <w:rPr>
          <w:rFonts w:hint="eastAsia" w:ascii="仿宋" w:hAnsi="仿宋" w:eastAsia="仿宋" w:cs="仿宋"/>
          <w:b w:val="0"/>
          <w:color w:val="000000"/>
          <w:kern w:val="0"/>
          <w:sz w:val="32"/>
          <w:szCs w:val="32"/>
          <w:lang w:val="en-US" w:eastAsia="zh-CN" w:bidi="ar-SA"/>
        </w:rPr>
        <w:t>收入</w:t>
      </w:r>
      <w:r>
        <w:rPr>
          <w:rFonts w:hint="eastAsia" w:ascii="仿宋_GB2312" w:hAnsi="仿宋" w:eastAsia="仿宋_GB2312" w:cs="仿宋"/>
          <w:b w:val="0"/>
          <w:kern w:val="2"/>
          <w:sz w:val="32"/>
          <w:szCs w:val="32"/>
          <w:lang w:val="en-US" w:eastAsia="zh-CN" w:bidi="ar-SA"/>
        </w:rPr>
        <w:t>1995.35</w:t>
      </w:r>
      <w:r>
        <w:rPr>
          <w:rFonts w:hint="eastAsia" w:ascii="仿宋" w:hAnsi="仿宋" w:eastAsia="仿宋" w:cs="仿宋"/>
          <w:b w:val="0"/>
          <w:color w:val="000000"/>
          <w:kern w:val="0"/>
          <w:sz w:val="32"/>
          <w:szCs w:val="32"/>
          <w:lang w:val="en-US" w:eastAsia="zh-CN" w:bidi="ar-SA"/>
        </w:rPr>
        <w:t>万元，较年初预算增加30.47万元，较全年预算持平；支出</w:t>
      </w:r>
      <w:r>
        <w:rPr>
          <w:rFonts w:hint="eastAsia" w:ascii="仿宋_GB2312" w:hAnsi="仿宋" w:eastAsia="仿宋_GB2312" w:cs="仿宋"/>
          <w:b w:val="0"/>
          <w:kern w:val="2"/>
          <w:sz w:val="32"/>
          <w:szCs w:val="32"/>
          <w:lang w:val="en-US" w:eastAsia="zh-CN" w:bidi="ar-SA"/>
        </w:rPr>
        <w:t>1995.35</w:t>
      </w:r>
      <w:r>
        <w:rPr>
          <w:rFonts w:hint="eastAsia" w:ascii="仿宋" w:hAnsi="仿宋" w:eastAsia="仿宋" w:cs="仿宋"/>
          <w:b w:val="0"/>
          <w:color w:val="000000"/>
          <w:kern w:val="0"/>
          <w:sz w:val="32"/>
          <w:szCs w:val="32"/>
          <w:lang w:val="en-US" w:eastAsia="zh-CN" w:bidi="ar-SA"/>
        </w:rPr>
        <w:t>万元，较年初预算增加30.47万元，较全年预算持平。2024年收入支出减少原因是项目收入、支出增加。</w:t>
      </w:r>
    </w:p>
    <w:p w14:paraId="236D8FF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7B394F4">
      <w:pPr>
        <w:keepNext w:val="0"/>
        <w:keepLines w:val="0"/>
        <w:pageBreakBefore w:val="0"/>
        <w:widowControl/>
        <w:kinsoku/>
        <w:wordWrap/>
        <w:overflowPunct/>
        <w:topLinePunct w:val="0"/>
        <w:autoSpaceDE/>
        <w:autoSpaceDN/>
        <w:bidi w:val="0"/>
        <w:adjustRightInd w:val="0"/>
        <w:snapToGrid w:val="0"/>
        <w:spacing w:after="0" w:line="578" w:lineRule="exact"/>
        <w:ind w:firstLine="643" w:firstLineChars="200"/>
        <w:textAlignment w:val="auto"/>
        <w:rPr>
          <w:rFonts w:hint="eastAsia" w:ascii="仿宋" w:hAnsi="仿宋" w:eastAsia="仿宋" w:cs="仿宋"/>
          <w:kern w:val="2"/>
          <w:sz w:val="32"/>
          <w:szCs w:val="32"/>
          <w:lang w:val="en-US" w:eastAsia="zh-CN" w:bidi="ar-SA"/>
        </w:rPr>
      </w:pPr>
      <w:r>
        <w:rPr>
          <w:rFonts w:hint="eastAsia" w:ascii="仿宋_GB2312" w:hAnsi="仿宋_GB2312" w:eastAsia="仿宋_GB2312" w:cs="仿宋_GB2312"/>
          <w:b/>
          <w:bCs/>
          <w:sz w:val="32"/>
          <w:szCs w:val="32"/>
          <w:lang w:val="en-US" w:eastAsia="zh-CN"/>
        </w:rPr>
        <w:t>1.加大招商引资和项目建设力度。</w:t>
      </w:r>
      <w:r>
        <w:rPr>
          <w:rFonts w:hint="eastAsia" w:ascii="仿宋" w:hAnsi="仿宋" w:eastAsia="仿宋" w:cs="仿宋"/>
          <w:kern w:val="2"/>
          <w:sz w:val="32"/>
          <w:szCs w:val="32"/>
          <w:lang w:val="en-US" w:eastAsia="zh-CN" w:bidi="ar-SA"/>
        </w:rPr>
        <w:t>积极谋划新项目，充分挖掘潜在固投资源，确保各类项目应入进入，应统尽统，克服各类困难，迎难而上，力争保质保量完成各项指标任务。</w:t>
      </w:r>
    </w:p>
    <w:p w14:paraId="382A1A45">
      <w:pPr>
        <w:pStyle w:val="4"/>
        <w:keepNext w:val="0"/>
        <w:keepLines w:val="0"/>
        <w:pageBreakBefore w:val="0"/>
        <w:kinsoku/>
        <w:wordWrap/>
        <w:overflowPunct/>
        <w:topLinePunct w:val="0"/>
        <w:autoSpaceDE/>
        <w:autoSpaceDN/>
        <w:bidi w:val="0"/>
        <w:spacing w:line="578" w:lineRule="exact"/>
        <w:ind w:firstLine="643" w:firstLineChars="200"/>
        <w:textAlignment w:val="auto"/>
        <w:rPr>
          <w:rFonts w:hint="eastAsia"/>
          <w:lang w:val="en-US" w:eastAsia="zh-CN"/>
        </w:rPr>
      </w:pPr>
      <w:r>
        <w:rPr>
          <w:rFonts w:hint="eastAsia" w:ascii="仿宋_GB2312" w:hAnsi="仿宋_GB2312" w:eastAsia="仿宋_GB2312" w:cs="仿宋_GB2312"/>
          <w:b/>
          <w:bCs/>
          <w:kern w:val="2"/>
          <w:sz w:val="32"/>
          <w:szCs w:val="32"/>
          <w:lang w:val="en-US" w:eastAsia="zh-CN" w:bidi="ar-SA"/>
        </w:rPr>
        <w:t>2.立足于生态产业优势。</w:t>
      </w:r>
      <w:r>
        <w:rPr>
          <w:rFonts w:hint="eastAsia" w:eastAsia="仿宋_GB2312"/>
          <w:sz w:val="32"/>
          <w:szCs w:val="32"/>
          <w:lang w:val="en-US" w:eastAsia="zh-CN"/>
        </w:rPr>
        <w:t>拟将在新成立的项目服务中心的帮助下，努力克服自身存在的不足，加大招商引智力度，力促各类项目早日签约落地。</w:t>
      </w:r>
    </w:p>
    <w:p w14:paraId="0166D1E5">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3.改造升级现有农业庄园</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rPr>
        <w:t>依托紫藤西山庄园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常馨谷谋划</w:t>
      </w:r>
      <w:r>
        <w:rPr>
          <w:rFonts w:hint="eastAsia" w:ascii="仿宋_GB2312" w:hAnsi="仿宋_GB2312" w:eastAsia="仿宋_GB2312" w:cs="仿宋_GB2312"/>
          <w:sz w:val="32"/>
          <w:szCs w:val="32"/>
          <w:lang w:val="en-US" w:eastAsia="zh-CN"/>
        </w:rPr>
        <w:t>打造</w:t>
      </w:r>
      <w:r>
        <w:rPr>
          <w:rFonts w:hint="eastAsia" w:ascii="仿宋_GB2312" w:hAnsi="仿宋_GB2312" w:eastAsia="仿宋_GB2312" w:cs="仿宋_GB2312"/>
          <w:sz w:val="32"/>
          <w:szCs w:val="32"/>
        </w:rPr>
        <w:t>现代农业园区</w:t>
      </w:r>
      <w:r>
        <w:rPr>
          <w:rFonts w:hint="eastAsia" w:ascii="仿宋_GB2312" w:hAnsi="仿宋_GB2312" w:eastAsia="仿宋_GB2312" w:cs="仿宋_GB2312"/>
          <w:sz w:val="32"/>
          <w:szCs w:val="32"/>
          <w:lang w:eastAsia="zh-CN"/>
        </w:rPr>
        <w:t>，按照</w:t>
      </w:r>
      <w:r>
        <w:rPr>
          <w:rFonts w:hint="eastAsia" w:ascii="仿宋_GB2312" w:hAnsi="仿宋_GB2312" w:eastAsia="仿宋_GB2312" w:cs="仿宋_GB2312"/>
          <w:sz w:val="32"/>
          <w:szCs w:val="32"/>
        </w:rPr>
        <w:t>“因地制宜、施法自然、注重生态”的原则，致力于乡村休闲旅游、农耕体验度假、有机蔬菜种植与采摘，为</w:t>
      </w:r>
      <w:r>
        <w:rPr>
          <w:rFonts w:hint="eastAsia" w:ascii="仿宋_GB2312" w:hAnsi="仿宋_GB2312" w:eastAsia="仿宋_GB2312" w:cs="仿宋_GB2312"/>
          <w:sz w:val="32"/>
          <w:szCs w:val="32"/>
          <w:lang w:eastAsia="zh-CN"/>
        </w:rPr>
        <w:t>全乡经济发展</w:t>
      </w:r>
      <w:r>
        <w:rPr>
          <w:rFonts w:hint="eastAsia" w:ascii="仿宋_GB2312" w:hAnsi="仿宋_GB2312" w:eastAsia="仿宋_GB2312" w:cs="仿宋_GB2312"/>
          <w:sz w:val="32"/>
          <w:szCs w:val="32"/>
        </w:rPr>
        <w:t>打造新</w:t>
      </w:r>
      <w:r>
        <w:rPr>
          <w:rFonts w:hint="eastAsia" w:ascii="仿宋_GB2312" w:hAnsi="仿宋_GB2312" w:eastAsia="仿宋_GB2312" w:cs="仿宋_GB2312"/>
          <w:sz w:val="32"/>
          <w:szCs w:val="32"/>
          <w:lang w:eastAsia="zh-CN"/>
        </w:rPr>
        <w:t>的增长点</w:t>
      </w:r>
      <w:r>
        <w:rPr>
          <w:rFonts w:hint="eastAsia" w:ascii="仿宋_GB2312" w:hAnsi="仿宋_GB2312" w:eastAsia="仿宋_GB2312" w:cs="仿宋_GB2312"/>
          <w:sz w:val="32"/>
          <w:szCs w:val="32"/>
        </w:rPr>
        <w:t>。</w:t>
      </w:r>
    </w:p>
    <w:p w14:paraId="026CBC19">
      <w:pPr>
        <w:adjustRightInd w:val="0"/>
        <w:snapToGrid w:val="0"/>
        <w:spacing w:line="560" w:lineRule="exact"/>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加大</w:t>
      </w:r>
      <w:r>
        <w:rPr>
          <w:rFonts w:hint="eastAsia" w:ascii="仿宋_GB2312" w:hAnsi="仿宋_GB2312" w:eastAsia="仿宋_GB2312" w:cs="仿宋_GB2312"/>
          <w:b/>
          <w:bCs/>
          <w:sz w:val="32"/>
          <w:szCs w:val="32"/>
          <w:lang w:eastAsia="zh-CN"/>
        </w:rPr>
        <w:t>协调</w:t>
      </w:r>
      <w:r>
        <w:rPr>
          <w:rFonts w:hint="eastAsia" w:ascii="仿宋_GB2312" w:hAnsi="仿宋_GB2312" w:eastAsia="仿宋_GB2312" w:cs="仿宋_GB2312"/>
          <w:b/>
          <w:bCs/>
          <w:sz w:val="32"/>
          <w:szCs w:val="32"/>
        </w:rPr>
        <w:t>力度，</w:t>
      </w:r>
      <w:r>
        <w:rPr>
          <w:rFonts w:hint="eastAsia" w:ascii="仿宋_GB2312" w:hAnsi="仿宋_GB2312" w:eastAsia="仿宋_GB2312" w:cs="仿宋_GB2312"/>
          <w:b/>
          <w:bCs/>
          <w:sz w:val="32"/>
          <w:szCs w:val="32"/>
          <w:lang w:eastAsia="zh-CN"/>
        </w:rPr>
        <w:t>促使谋划项目早日建成。</w:t>
      </w:r>
      <w:r>
        <w:rPr>
          <w:rFonts w:hint="eastAsia" w:ascii="仿宋_GB2312" w:hAnsi="仿宋_GB2312" w:eastAsia="仿宋_GB2312" w:cs="仿宋_GB2312"/>
          <w:sz w:val="32"/>
          <w:szCs w:val="32"/>
        </w:rPr>
        <w:t>主动作为走出去，引智、引资、引政策。对接上级农林水、</w:t>
      </w:r>
      <w:r>
        <w:rPr>
          <w:rFonts w:hint="eastAsia" w:ascii="仿宋_GB2312" w:hAnsi="仿宋_GB2312" w:eastAsia="仿宋_GB2312" w:cs="仿宋_GB2312"/>
          <w:sz w:val="32"/>
          <w:szCs w:val="32"/>
          <w:lang w:eastAsia="zh-CN"/>
        </w:rPr>
        <w:t>交通、</w:t>
      </w:r>
      <w:r>
        <w:rPr>
          <w:rFonts w:hint="eastAsia" w:ascii="仿宋_GB2312" w:hAnsi="仿宋_GB2312" w:eastAsia="仿宋_GB2312" w:cs="仿宋_GB2312"/>
          <w:sz w:val="32"/>
          <w:szCs w:val="32"/>
        </w:rPr>
        <w:t>城建、土地等部门，包装、跑办项目，争取资金、政策等方面扶持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结合本地自然、人文、区位、旅游等特色优势资源，</w:t>
      </w:r>
      <w:r>
        <w:rPr>
          <w:rFonts w:hint="eastAsia" w:ascii="仿宋_GB2312" w:hAnsi="仿宋_GB2312" w:eastAsia="仿宋_GB2312" w:cs="仿宋_GB2312"/>
          <w:sz w:val="32"/>
          <w:szCs w:val="32"/>
          <w:lang w:eastAsia="zh-CN"/>
        </w:rPr>
        <w:t>力争实现谋划项目早日建成。</w:t>
      </w:r>
    </w:p>
    <w:p w14:paraId="0BB2F31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E27F25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496C128">
      <w:pPr>
        <w:ind w:firstLine="640" w:firstLineChars="200"/>
        <w:rPr>
          <w:rFonts w:hint="eastAsia" w:ascii="仿宋" w:hAnsi="仿宋" w:eastAsia="仿宋" w:cs="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我乡党委、政府严格落实主体责任，成立由乡长任组长，分管项目副职任副组长，财政所长任主任的监管运行领导小组，定期对绩效监控信息进行收集、汇总、分析。同时，我们还实行建设项目工作监察员制度，监察人员为乡纪委，以独立身份对本单位的建设项目工作实行全过程监督，享有知情权、参与权和建议权。</w:t>
      </w:r>
    </w:p>
    <w:p w14:paraId="527D323D">
      <w:pPr>
        <w:ind w:firstLine="640" w:firstLineChars="200"/>
        <w:rPr>
          <w:rFonts w:ascii="仿宋" w:hAnsi="仿宋" w:eastAsia="仿宋"/>
          <w:sz w:val="32"/>
          <w:szCs w:val="32"/>
        </w:rPr>
      </w:pPr>
      <w:r>
        <w:rPr>
          <w:rFonts w:hint="eastAsia" w:ascii="仿宋" w:hAnsi="仿宋" w:eastAsia="仿宋" w:cs="仿宋"/>
          <w:sz w:val="32"/>
          <w:szCs w:val="32"/>
        </w:rPr>
        <w:t>通过清晰的界定工作的内容与其需要达到的标准，使管理活动更加适宜，组织目标更加明确，达到项目设定的效果。前期进行大量的调查研究，在此基础上进行了项目战略规划的编制、绩效目标的设立、指标设定及论证，科学立项；精确编制建设项目预算；着重于计划管理、绩效监控、风险控制、资金筹措及绩效制度建设，认真组织实施；设立绩效自评工作组织，进行评价</w:t>
      </w:r>
      <w:r>
        <w:rPr>
          <w:rFonts w:hint="eastAsia" w:ascii="仿宋" w:hAnsi="仿宋" w:eastAsia="仿宋"/>
          <w:sz w:val="32"/>
          <w:szCs w:val="32"/>
        </w:rPr>
        <w:t>。</w:t>
      </w:r>
    </w:p>
    <w:p w14:paraId="01FDE9A5">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3E75EFE">
      <w:pPr>
        <w:ind w:firstLine="640" w:firstLineChars="200"/>
        <w:rPr>
          <w:rFonts w:hint="eastAsia" w:ascii="仿宋" w:hAnsi="仿宋" w:eastAsia="仿宋" w:cs="仿宋"/>
          <w:sz w:val="32"/>
          <w:szCs w:val="32"/>
        </w:rPr>
      </w:pPr>
      <w:r>
        <w:rPr>
          <w:rFonts w:hint="eastAsia" w:ascii="仿宋" w:hAnsi="仿宋" w:eastAsia="仿宋" w:cs="仿宋"/>
          <w:sz w:val="32"/>
          <w:szCs w:val="32"/>
        </w:rPr>
        <w:t>前期准备：根据有关规定及要求，认真组织人员对项目自评资料进行收集、整理，针对指标完成情况进行绩效分析。为有效及时的完成项目绩效自评工作打下坚实的基础。</w:t>
      </w:r>
    </w:p>
    <w:p w14:paraId="4F4DC79C">
      <w:pPr>
        <w:ind w:firstLine="640" w:firstLineChars="200"/>
        <w:rPr>
          <w:rFonts w:hint="eastAsia" w:ascii="仿宋" w:hAnsi="仿宋" w:eastAsia="仿宋" w:cs="仿宋"/>
          <w:sz w:val="32"/>
          <w:szCs w:val="32"/>
        </w:rPr>
      </w:pPr>
      <w:r>
        <w:rPr>
          <w:rFonts w:hint="eastAsia" w:ascii="仿宋" w:hAnsi="仿宋" w:eastAsia="仿宋" w:cs="仿宋"/>
          <w:sz w:val="32"/>
          <w:szCs w:val="32"/>
        </w:rPr>
        <w:t>组织实施：加强过程控制，认真总结项目实现绩效目标过程中存在的问题和采取的改进措施，对项目的预算编制、工程施工、材料的采购进行认真的分析研究，整个过程严格按照绩效评价管理办法进行。</w:t>
      </w:r>
    </w:p>
    <w:p w14:paraId="3A4A0FFE">
      <w:pPr>
        <w:ind w:firstLine="640" w:firstLineChars="200"/>
      </w:pPr>
      <w:r>
        <w:rPr>
          <w:rFonts w:hint="eastAsia" w:ascii="仿宋" w:hAnsi="仿宋" w:eastAsia="仿宋" w:cs="仿宋"/>
          <w:sz w:val="32"/>
          <w:szCs w:val="32"/>
        </w:rPr>
        <w:t>分析评价：根据项目的自身特点和确定的各项绩效指标，对照项目完成情况，逐一进行评价，确保评价结论真实、客观、公平、公正。</w:t>
      </w:r>
    </w:p>
    <w:p w14:paraId="40677CA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B468A1E">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A9B1E79">
      <w:pPr>
        <w:spacing w:line="560" w:lineRule="exact"/>
        <w:ind w:firstLine="800" w:firstLineChars="250"/>
        <w:rPr>
          <w:rFonts w:ascii="仿宋" w:hAnsi="仿宋" w:eastAsia="仿宋"/>
          <w:sz w:val="32"/>
          <w:szCs w:val="32"/>
        </w:rPr>
      </w:pPr>
      <w:r>
        <w:rPr>
          <w:rFonts w:hint="eastAsia" w:ascii="仿宋_GB2312" w:hAnsi="仿宋_GB2312" w:eastAsia="仿宋_GB2312" w:cs="仿宋_GB2312"/>
          <w:b w:val="0"/>
          <w:bCs w:val="0"/>
          <w:sz w:val="32"/>
          <w:szCs w:val="32"/>
          <w:lang w:val="en-US" w:eastAsia="zh-CN"/>
        </w:rPr>
        <w:t>一年来，乡党委、政府采取上党课、开讲座、组织谈话等方式丰富教育内容。把学习贯彻习近平新时代中国特色社会主义思想和党的二十大精神作为根本政治任务。从扎实动作抓起，严格党委中心组理论学习制度，立专题、搞调研、碰思想。从学深悟透突破，按照“学懂弄通做实”要求，着力在体系学习、知行合一、落实转化上下功夫，提升大家的政治涵养、党性修养、思维层次；提升党员干部意识形态创新力，保持思想上的敏锐性和开放性，避免陷入思想的僵化和某种思维定势。在大是大非面前，要有坚定的政治立场，敢于亮出自己的观点，维护好意识形态健康和谐的发展。</w:t>
      </w:r>
    </w:p>
    <w:p w14:paraId="236761B4">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BA44F19">
      <w:pPr>
        <w:keepNext w:val="0"/>
        <w:keepLines w:val="0"/>
        <w:pageBreakBefore w:val="0"/>
        <w:widowControl w:val="0"/>
        <w:kinsoku/>
        <w:wordWrap/>
        <w:overflowPunct/>
        <w:topLinePunct w:val="0"/>
        <w:autoSpaceDE/>
        <w:autoSpaceDN/>
        <w:bidi w:val="0"/>
        <w:adjustRightInd/>
        <w:snapToGrid/>
        <w:spacing w:line="578" w:lineRule="exact"/>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一是经济指标持续增长。</w:t>
      </w:r>
      <w:r>
        <w:rPr>
          <w:rFonts w:hint="eastAsia" w:ascii="仿宋" w:hAnsi="仿宋" w:eastAsia="仿宋" w:cs="仿宋"/>
          <w:sz w:val="32"/>
          <w:szCs w:val="32"/>
          <w:lang w:val="en-US" w:eastAsia="zh-CN"/>
        </w:rPr>
        <w:t>2024年一般公共预算收入累计完成1368万元，同比增长8.23%；全社会固定资产投资累计完成1945万元。</w:t>
      </w:r>
      <w:r>
        <w:rPr>
          <w:rFonts w:hint="eastAsia" w:ascii="仿宋" w:hAnsi="仿宋" w:eastAsia="仿宋" w:cs="仿宋"/>
          <w:b/>
          <w:bCs/>
          <w:sz w:val="32"/>
          <w:szCs w:val="32"/>
          <w:lang w:val="en-US" w:eastAsia="zh-CN"/>
        </w:rPr>
        <w:t>二是项目建设加速推进。</w:t>
      </w:r>
      <w:r>
        <w:rPr>
          <w:rFonts w:hint="eastAsia" w:ascii="仿宋" w:hAnsi="仿宋" w:eastAsia="仿宋" w:cs="仿宋"/>
          <w:sz w:val="32"/>
          <w:szCs w:val="32"/>
          <w:lang w:val="en-US" w:eastAsia="zh-CN"/>
        </w:rPr>
        <w:t>坚持“稳字当头、实字托底”，聚焦关键抓攻坚，稳步推进实项目建设。2024年，我乡开工项目4个，</w:t>
      </w:r>
      <w:r>
        <w:rPr>
          <w:rFonts w:hint="eastAsia" w:ascii="仿宋" w:hAnsi="仿宋" w:eastAsia="仿宋" w:cs="仿宋"/>
          <w:b/>
          <w:bCs/>
          <w:sz w:val="32"/>
          <w:szCs w:val="32"/>
          <w:lang w:val="en-US" w:eastAsia="zh-CN"/>
        </w:rPr>
        <w:t>石家庄紫藤农业技术开发有限公司温室大棚三期项目</w:t>
      </w:r>
      <w:r>
        <w:rPr>
          <w:rFonts w:hint="eastAsia" w:ascii="仿宋" w:hAnsi="仿宋" w:eastAsia="仿宋" w:cs="仿宋"/>
          <w:sz w:val="32"/>
          <w:szCs w:val="32"/>
          <w:lang w:val="en-US" w:eastAsia="zh-CN"/>
        </w:rPr>
        <w:t>，总投资530万元，占地25亩，主要建设41个温室大棚，用于优质品种葡萄种植。</w:t>
      </w:r>
      <w:r>
        <w:rPr>
          <w:rFonts w:hint="eastAsia" w:ascii="仿宋" w:hAnsi="仿宋" w:eastAsia="仿宋" w:cs="仿宋"/>
          <w:b/>
          <w:bCs/>
          <w:sz w:val="32"/>
          <w:szCs w:val="32"/>
          <w:lang w:val="en-US" w:eastAsia="zh-CN"/>
        </w:rPr>
        <w:t>鹿泉区连帮养殖厂鱼箱建设项目</w:t>
      </w:r>
      <w:r>
        <w:rPr>
          <w:rFonts w:hint="eastAsia" w:ascii="仿宋" w:hAnsi="仿宋" w:eastAsia="仿宋" w:cs="仿宋"/>
          <w:sz w:val="32"/>
          <w:szCs w:val="32"/>
          <w:lang w:val="en-US" w:eastAsia="zh-CN"/>
        </w:rPr>
        <w:t>，总投资540万元，占地20亩，主要建设41个单层鱼箱，鱼箱总面积达3150平方米。</w:t>
      </w:r>
      <w:r>
        <w:rPr>
          <w:rFonts w:hint="eastAsia" w:ascii="仿宋" w:hAnsi="仿宋" w:eastAsia="仿宋" w:cs="仿宋"/>
          <w:b/>
          <w:bCs/>
          <w:sz w:val="32"/>
          <w:szCs w:val="32"/>
          <w:lang w:val="en-US" w:eastAsia="zh-CN"/>
        </w:rPr>
        <w:t>鹿泉区锦昌养殖农民专业合作社养鱼项目</w:t>
      </w:r>
      <w:r>
        <w:rPr>
          <w:rFonts w:hint="eastAsia" w:ascii="仿宋" w:hAnsi="仿宋" w:eastAsia="仿宋" w:cs="仿宋"/>
          <w:sz w:val="32"/>
          <w:szCs w:val="32"/>
          <w:lang w:val="en-US" w:eastAsia="zh-CN"/>
        </w:rPr>
        <w:t>，总投资1500万元，占地20亩，主要建设钢架单层鱼菜共生连栋温室大棚3840平方米，管理道路960㎡。</w:t>
      </w:r>
      <w:r>
        <w:rPr>
          <w:rFonts w:hint="eastAsia" w:ascii="仿宋" w:hAnsi="仿宋" w:eastAsia="仿宋" w:cs="仿宋"/>
          <w:b/>
          <w:bCs/>
          <w:sz w:val="32"/>
          <w:szCs w:val="32"/>
          <w:lang w:val="en-US" w:eastAsia="zh-CN"/>
        </w:rPr>
        <w:t>北寨村农村综合改革示范村建设项目</w:t>
      </w:r>
      <w:r>
        <w:rPr>
          <w:rFonts w:hint="eastAsia" w:ascii="仿宋" w:hAnsi="仿宋" w:eastAsia="仿宋" w:cs="仿宋"/>
          <w:sz w:val="32"/>
          <w:szCs w:val="32"/>
          <w:lang w:val="en-US" w:eastAsia="zh-CN"/>
        </w:rPr>
        <w:t>，总投资320万元，已完成村内主干道、巷道硬化，安装主干道亮化灯149盏，完成游园广场便道砖铺装。</w:t>
      </w:r>
    </w:p>
    <w:p w14:paraId="15610988">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坚持有力有效，建设宜居宜业和美乡村。</w:t>
      </w:r>
      <w:r>
        <w:rPr>
          <w:rFonts w:hint="eastAsia" w:ascii="仿宋" w:hAnsi="仿宋" w:eastAsia="仿宋" w:cs="仿宋"/>
          <w:b/>
          <w:bCs/>
          <w:sz w:val="32"/>
          <w:szCs w:val="32"/>
          <w:lang w:val="en-US" w:eastAsia="zh-CN"/>
        </w:rPr>
        <w:t>一是持续开展人居环境整治提升工作。</w:t>
      </w:r>
      <w:r>
        <w:rPr>
          <w:rFonts w:hint="eastAsia" w:ascii="仿宋" w:hAnsi="仿宋" w:eastAsia="仿宋" w:cs="仿宋"/>
          <w:sz w:val="32"/>
          <w:szCs w:val="32"/>
          <w:lang w:val="en-US" w:eastAsia="zh-CN"/>
        </w:rPr>
        <w:t>组织观摩拉练5次，通过展成绩、亮进度、看差距、找不足、促提升，并开展多轮督导检查，确保全乡环境清洁无死角。2024年，全乡累计清理各类垃圾10000余立方米，清理小广告、废弃宣传标语、广告牌500余处，拆除各类围挡、断壁残垣50余处和私搭乱建400余处，安装更新路灯176盏。全区人居环境整治考核三季度排名第一，城市管理考核连续3个月位居全区第一。</w:t>
      </w:r>
      <w:r>
        <w:rPr>
          <w:rFonts w:hint="eastAsia" w:ascii="仿宋" w:hAnsi="仿宋" w:eastAsia="仿宋" w:cs="仿宋"/>
          <w:b/>
          <w:bCs/>
          <w:sz w:val="32"/>
          <w:szCs w:val="32"/>
          <w:lang w:val="en-US" w:eastAsia="zh-CN"/>
        </w:rPr>
        <w:t>二是发展特色产业助力乡村振兴。</w:t>
      </w:r>
      <w:r>
        <w:rPr>
          <w:rFonts w:hint="eastAsia" w:ascii="仿宋" w:hAnsi="仿宋" w:eastAsia="仿宋" w:cs="仿宋"/>
          <w:sz w:val="32"/>
          <w:szCs w:val="32"/>
          <w:lang w:val="en-US" w:eastAsia="zh-CN"/>
        </w:rPr>
        <w:t>加强政策精准实施、措施有效落地，与现代化农业企业共同努力，挖掘和显现本地产业内在潜能，努力在品种改良、品质把控、品牌推广上求突破。现已拥有“鹿泉葡萄”中国地理标志、石家庄草莓品比大赛金奖“溪山棠”草莓等农产品荣誉，特色果品产业已成为我乡的亮丽名片。此外，通过农文旅融合推动乡村产业多元化发展。南寨村投资70万元打造灯笼坊，带动387人就近就业，预计年产10万宫灯，年纯利润可达11万元；大杏、葡萄、草莓等举办“行走上寨 ‘杏’福生活”健步走暨观光采摘季活动，共吸引社会各界1000余名市民参与，进一步叫响“花果山乡”农文旅品牌。</w:t>
      </w:r>
    </w:p>
    <w:p w14:paraId="4DF34F64">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坚持统筹协调，切实增强社会和谐稳定。</w:t>
      </w:r>
      <w:r>
        <w:rPr>
          <w:rFonts w:hint="eastAsia" w:ascii="仿宋" w:hAnsi="仿宋" w:eastAsia="仿宋" w:cs="仿宋"/>
          <w:b/>
          <w:bCs/>
          <w:sz w:val="32"/>
          <w:szCs w:val="32"/>
          <w:lang w:val="en-US" w:eastAsia="zh-CN"/>
        </w:rPr>
        <w:t>一是安全生产工作。</w:t>
      </w:r>
      <w:r>
        <w:rPr>
          <w:rFonts w:hint="eastAsia" w:ascii="仿宋" w:hAnsi="仿宋" w:eastAsia="仿宋" w:cs="仿宋"/>
          <w:sz w:val="32"/>
          <w:szCs w:val="32"/>
          <w:lang w:val="en-US" w:eastAsia="zh-CN"/>
        </w:rPr>
        <w:t>组织开展燃气安全排查，针对辖区8家工贸企业、3家旅馆民宿、38家商超、17家餐饮企业、7家学校、3处自然灾害点等定期巡查，发现各类安全隐患214余条，，并及时整改到位。</w:t>
      </w:r>
      <w:r>
        <w:rPr>
          <w:rFonts w:hint="eastAsia" w:ascii="仿宋" w:hAnsi="仿宋" w:eastAsia="仿宋" w:cs="仿宋"/>
          <w:b/>
          <w:bCs/>
          <w:sz w:val="32"/>
          <w:szCs w:val="32"/>
          <w:lang w:val="en-US" w:eastAsia="zh-CN"/>
        </w:rPr>
        <w:t>二是食品安全工作。</w:t>
      </w:r>
      <w:r>
        <w:rPr>
          <w:rFonts w:hint="eastAsia" w:ascii="仿宋" w:hAnsi="仿宋" w:eastAsia="仿宋" w:cs="仿宋"/>
          <w:b w:val="0"/>
          <w:bCs w:val="0"/>
          <w:sz w:val="32"/>
          <w:szCs w:val="32"/>
          <w:lang w:val="en-US" w:eastAsia="zh-CN"/>
        </w:rPr>
        <w:t>通过“落实食品安全属地管理责任平台”对78家经营主体已开展4轮实地包保督查，及时纠正食品安全隐患103处，</w:t>
      </w:r>
      <w:r>
        <w:rPr>
          <w:rFonts w:hint="eastAsia" w:ascii="仿宋" w:hAnsi="仿宋" w:eastAsia="仿宋" w:cs="仿宋"/>
          <w:sz w:val="32"/>
          <w:szCs w:val="32"/>
          <w:lang w:val="en-US" w:eastAsia="zh-CN"/>
        </w:rPr>
        <w:t>严禁“三无”产品、过期食品、山寨食品、“五毛”食品的流通，规范从业人员守法经营、健康经营观念。</w:t>
      </w:r>
      <w:r>
        <w:rPr>
          <w:rFonts w:hint="eastAsia" w:ascii="仿宋" w:hAnsi="仿宋" w:eastAsia="仿宋" w:cs="仿宋"/>
          <w:b/>
          <w:bCs/>
          <w:sz w:val="32"/>
          <w:szCs w:val="32"/>
          <w:lang w:val="en-US" w:eastAsia="zh-CN"/>
        </w:rPr>
        <w:t>三是森林防火工作。</w:t>
      </w:r>
      <w:r>
        <w:rPr>
          <w:rFonts w:hint="eastAsia" w:ascii="仿宋" w:hAnsi="仿宋" w:eastAsia="仿宋" w:cs="仿宋"/>
          <w:sz w:val="32"/>
          <w:szCs w:val="32"/>
          <w:lang w:val="en-US" w:eastAsia="zh-CN"/>
        </w:rPr>
        <w:t>不断增强做好森林防火工作的政治敏感性和工作责任感，守好山、护好林。通过走访入户积极主动向群众宣传防灭火知识，完成签订防灭火目标责任书800余份，发放防火明白纸650份、开展宣传课5节、悬挂或更新彩旗180幅。乡机关组建应急防火队伍20人，各村组建防火队5支共100人，开展防火演练1次，组织防火培训2次，关键时刻“拉得出、用得上”。</w:t>
      </w:r>
    </w:p>
    <w:p w14:paraId="39BD1A74">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val="0"/>
          <w:bCs w:val="0"/>
          <w:sz w:val="32"/>
          <w:szCs w:val="32"/>
          <w:lang w:val="en-US" w:eastAsia="zh-CN"/>
        </w:rPr>
        <w:t>坚持底线思维，维护公共安全稳定大局。</w:t>
      </w:r>
      <w:r>
        <w:rPr>
          <w:rFonts w:hint="eastAsia" w:ascii="仿宋" w:hAnsi="仿宋" w:eastAsia="仿宋" w:cs="仿宋"/>
          <w:sz w:val="32"/>
          <w:szCs w:val="32"/>
          <w:lang w:val="en-US" w:eastAsia="zh-CN"/>
        </w:rPr>
        <w:t>坚持发展新时代“枫桥经验”，努力构建大调解工作格局，积极推动矛盾纠纷多元化解。加大对重点领域、重要时段的矛盾排查、纠纷研判和处置化解。2024年共排查出矛盾纠纷31起，成功化解率100%。严格执行法治化办案程序，多措并举，形成多部门联动机制，在处理、化解积案、历史遗留问题等方面有显著成效。一年以来，组织乡村两级进行信访法治化政策内容宣传、培训2次，组织“搭台唱戏”10余次；共计受理办理信访案件10件，采取法治化手段化解结案10件，均按时办结，未出现超期未评价案件。全年无上级督办案件，未发生重特大安全事故及刑事案件。</w:t>
      </w:r>
    </w:p>
    <w:p w14:paraId="3E8F4CBF">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val="0"/>
          <w:bCs w:val="0"/>
          <w:sz w:val="32"/>
          <w:szCs w:val="32"/>
          <w:lang w:val="en-US" w:eastAsia="zh-CN"/>
        </w:rPr>
        <w:t>坚持精准施策，打好大气污染防治攻坚战。</w:t>
      </w:r>
      <w:r>
        <w:rPr>
          <w:rFonts w:hint="eastAsia" w:ascii="仿宋" w:hAnsi="仿宋" w:eastAsia="仿宋" w:cs="仿宋"/>
          <w:sz w:val="32"/>
          <w:szCs w:val="32"/>
          <w:lang w:val="en-US" w:eastAsia="zh-CN"/>
        </w:rPr>
        <w:t>聚焦道路扬尘、工地扬尘、庭院扬尘等领域，坚持分类施策、精准治理、差异管控，全面压实属地主体责任和行业监管责任，成立了乡大气环保工作领导小组，及时传达上级指示精神，落实各级网格长、网格员责任，定期巡查管辖区域，及时整改发现问题。一年来，共排查出道路扬尘问题2次，企业、厂区扬尘问题3次，均已整改到位。坚持对辖区内道路、绿植按指令进行冲洗、湿扫保洁，每天冲洗道路5次，每次道路冲洗约20公里，平均每日用水量约32吨。2024年我乡综合指数全区排名第一、全市排名第十，同2023年相比前进4个位次，得到区委、区政府充分肯定。</w:t>
      </w:r>
    </w:p>
    <w:p w14:paraId="5EA423B2">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 w:hAnsi="仿宋" w:eastAsia="仿宋" w:cs="仿宋"/>
          <w:b w:val="0"/>
          <w:bCs w:val="0"/>
          <w:sz w:val="32"/>
          <w:szCs w:val="32"/>
          <w:lang w:val="en-US" w:eastAsia="zh-CN"/>
        </w:rPr>
        <w:t>坚持以人为本，稳步提升民生保障水平。</w:t>
      </w:r>
      <w:r>
        <w:rPr>
          <w:rFonts w:hint="eastAsia" w:ascii="仿宋" w:hAnsi="仿宋" w:eastAsia="仿宋" w:cs="仿宋"/>
          <w:sz w:val="32"/>
          <w:szCs w:val="32"/>
          <w:lang w:val="en-US" w:eastAsia="zh-CN"/>
        </w:rPr>
        <w:t>大力开展扶危济困行动，动态调整、精准帮扶困难群众，新增低保户13户、17人，新增低保边缘家庭3户、11人，新增特困人员5人，新增残疾人16人，帮扶困境儿童5人，向29户特殊困难户发放临时救助金22200元，困难群众保障水平不断提高。医保社保持续扩面，完成全年养老保险缴费目标，基本实现全乡居民应保尽保。用心用力用情解决群众“急难愁盼”问题，今年以来共处置12345热线工单559件，涉及民生保障、环境卫生、基础设施建设、社会治安等多方面，实现按时办复率100%。</w:t>
      </w:r>
    </w:p>
    <w:p w14:paraId="17E2202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2348707">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本年度财政资金预算总额</w:t>
      </w:r>
      <w:r>
        <w:rPr>
          <w:rFonts w:hint="eastAsia" w:ascii="仿宋" w:hAnsi="仿宋" w:eastAsia="仿宋" w:cs="仿宋"/>
          <w:color w:val="000000"/>
          <w:kern w:val="0"/>
          <w:sz w:val="32"/>
          <w:szCs w:val="32"/>
          <w:lang w:val="en-US" w:eastAsia="zh-CN"/>
        </w:rPr>
        <w:t>1995.35</w:t>
      </w:r>
      <w:r>
        <w:rPr>
          <w:rFonts w:hint="eastAsia" w:ascii="仿宋" w:hAnsi="仿宋" w:eastAsia="仿宋"/>
          <w:sz w:val="32"/>
          <w:szCs w:val="32"/>
          <w:lang w:val="en-US" w:eastAsia="zh-CN"/>
        </w:rPr>
        <w:t>万元，实际执行</w:t>
      </w:r>
      <w:r>
        <w:rPr>
          <w:rFonts w:hint="eastAsia" w:ascii="仿宋" w:hAnsi="仿宋" w:eastAsia="仿宋" w:cs="仿宋"/>
          <w:color w:val="000000"/>
          <w:kern w:val="0"/>
          <w:sz w:val="32"/>
          <w:szCs w:val="32"/>
          <w:lang w:val="en-US" w:eastAsia="zh-CN"/>
        </w:rPr>
        <w:t>1995.35</w:t>
      </w:r>
      <w:r>
        <w:rPr>
          <w:rFonts w:hint="eastAsia" w:ascii="仿宋" w:hAnsi="仿宋" w:eastAsia="仿宋"/>
          <w:sz w:val="32"/>
          <w:szCs w:val="32"/>
          <w:lang w:val="en-US" w:eastAsia="zh-CN"/>
        </w:rPr>
        <w:t>万元，预算执行率100%，支出结构合理，重点保障民生、乡村振兴及基层公共服务等领域。通过绩效评价，综合得分98分（满分100分），绩效等级评定为“优秀”，较好地实现了预期目标。</w:t>
      </w:r>
    </w:p>
    <w:p w14:paraId="181DAFD2">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6803D8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583C132">
      <w:pPr>
        <w:ind w:firstLine="640" w:firstLineChars="200"/>
        <w:rPr>
          <w:rFonts w:hint="eastAsia" w:ascii="仿宋" w:hAnsi="仿宋" w:eastAsia="仿宋" w:cs="仿宋"/>
          <w:sz w:val="32"/>
          <w:szCs w:val="32"/>
        </w:rPr>
      </w:pPr>
      <w:r>
        <w:rPr>
          <w:rFonts w:hint="eastAsia" w:ascii="仿宋" w:hAnsi="仿宋" w:eastAsia="仿宋" w:cs="仿宋"/>
          <w:sz w:val="32"/>
          <w:szCs w:val="32"/>
        </w:rPr>
        <w:t>预算实施过程的精准度不够，预算项目约束性和预算资金安排的合理性有待提高。预算的资金设置方面与实际支出存在偏差，精准程度有待提高。</w:t>
      </w:r>
    </w:p>
    <w:p w14:paraId="2C8F2C52">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0FCFF924">
      <w:pPr>
        <w:pStyle w:val="4"/>
        <w:rPr>
          <w:rFonts w:hint="default" w:eastAsia="宋体"/>
          <w:lang w:val="en-US" w:eastAsia="zh-CN"/>
        </w:rPr>
      </w:pPr>
      <w:r>
        <w:rPr>
          <w:rFonts w:hint="eastAsia"/>
          <w:lang w:val="en-US" w:eastAsia="zh-CN"/>
        </w:rPr>
        <w:t xml:space="preserve">      </w:t>
      </w:r>
      <w:r>
        <w:rPr>
          <w:rFonts w:hint="eastAsia" w:ascii="仿宋" w:hAnsi="仿宋" w:eastAsia="仿宋" w:cs="仿宋"/>
          <w:sz w:val="32"/>
          <w:szCs w:val="32"/>
        </w:rPr>
        <w:t>一方面要提高预算项目实施前及实施过程中的精准匹配度，并继续加强项目的预算绩效约束性，充分利用有限的预算资金合理安排各项工作事务。另一方面要增强预算编制的科学性和可行性。预算编制是预算执行的基础和依据，是严格预算执行的第一道关口。在编制年初预算时，要参考上年度预算执行情况、相关支出绩效评价结果和本年度的收支预测，按照规定程序多方征求意见。项目申报前期要进行充分的调查研究，严格论证项目实施</w:t>
      </w:r>
      <w:bookmarkStart w:id="0" w:name="_GoBack"/>
      <w:bookmarkEnd w:id="0"/>
      <w:r>
        <w:rPr>
          <w:rFonts w:hint="eastAsia" w:ascii="仿宋" w:hAnsi="仿宋" w:eastAsia="仿宋" w:cs="仿宋"/>
          <w:sz w:val="32"/>
          <w:szCs w:val="32"/>
        </w:rPr>
        <w:t>的充分性和必要性，合理测算所需财政资金的多少，必须有足够的测算依据，准确评估财政资金投入使用的效益，提高预算编制的科学性。预算编制要实事求是，切实可行，要尽可能完整，要细化到项目及具体的事项。</w:t>
      </w:r>
    </w:p>
    <w:p w14:paraId="591C1147">
      <w:pPr>
        <w:pStyle w:val="4"/>
        <w:numPr>
          <w:ilvl w:val="0"/>
          <w:numId w:val="0"/>
        </w:numPr>
        <w:rPr>
          <w:rFonts w:hint="eastAsia" w:eastAsia="宋体"/>
          <w:lang w:val="en-US" w:eastAsia="zh-CN"/>
        </w:rPr>
      </w:pPr>
    </w:p>
    <w:p w14:paraId="0214288C">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748FB1">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16DAB0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716DAB0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735C7B3B"/>
    <w:multiLevelType w:val="singleLevel"/>
    <w:tmpl w:val="735C7B3B"/>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9B4930"/>
    <w:rsid w:val="01B104CA"/>
    <w:rsid w:val="01F42A41"/>
    <w:rsid w:val="02106AB0"/>
    <w:rsid w:val="02B43A28"/>
    <w:rsid w:val="046F331E"/>
    <w:rsid w:val="074A4D19"/>
    <w:rsid w:val="07956271"/>
    <w:rsid w:val="09721397"/>
    <w:rsid w:val="0BB63BED"/>
    <w:rsid w:val="0CF90255"/>
    <w:rsid w:val="0EB97A43"/>
    <w:rsid w:val="0EBD2122"/>
    <w:rsid w:val="0F214EAE"/>
    <w:rsid w:val="11B71E6A"/>
    <w:rsid w:val="1AAF0063"/>
    <w:rsid w:val="1BE140DE"/>
    <w:rsid w:val="20D32C92"/>
    <w:rsid w:val="248C197D"/>
    <w:rsid w:val="252959AF"/>
    <w:rsid w:val="277A6671"/>
    <w:rsid w:val="2884597F"/>
    <w:rsid w:val="292D35B7"/>
    <w:rsid w:val="30F8479D"/>
    <w:rsid w:val="30FC3D6F"/>
    <w:rsid w:val="32817910"/>
    <w:rsid w:val="33EB6CFF"/>
    <w:rsid w:val="35A12947"/>
    <w:rsid w:val="37387040"/>
    <w:rsid w:val="3B625C0A"/>
    <w:rsid w:val="3BF868F0"/>
    <w:rsid w:val="3CEE1963"/>
    <w:rsid w:val="436B78D3"/>
    <w:rsid w:val="4C9C27FE"/>
    <w:rsid w:val="512260B4"/>
    <w:rsid w:val="52BD6ACB"/>
    <w:rsid w:val="55537534"/>
    <w:rsid w:val="561A74F1"/>
    <w:rsid w:val="597244E8"/>
    <w:rsid w:val="5A015073"/>
    <w:rsid w:val="5A1B61F5"/>
    <w:rsid w:val="5EB71C30"/>
    <w:rsid w:val="66AF0CE5"/>
    <w:rsid w:val="6A4F12FC"/>
    <w:rsid w:val="6A576594"/>
    <w:rsid w:val="6AC537CF"/>
    <w:rsid w:val="6E5B14A6"/>
    <w:rsid w:val="6E861393"/>
    <w:rsid w:val="6E8E6774"/>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200" w:firstLineChars="200"/>
    </w:pPr>
    <w:rPr>
      <w:rFonts w:ascii="仿宋_GB2312" w:hAnsi="仿宋_GB2312"/>
      <w:snapToGrid w:val="0"/>
    </w:rPr>
  </w:style>
  <w:style w:type="paragraph" w:styleId="3">
    <w:name w:val="Body Text Indent"/>
    <w:basedOn w:val="1"/>
    <w:qFormat/>
    <w:uiPriority w:val="0"/>
    <w:pPr>
      <w:spacing w:line="360" w:lineRule="auto"/>
      <w:ind w:firstLine="720" w:firstLineChars="225"/>
    </w:pPr>
    <w:rPr>
      <w:rFonts w:ascii="仿宋_GB2312"/>
      <w:spacing w:val="0"/>
      <w:sz w:val="32"/>
      <w:szCs w:val="20"/>
    </w:rPr>
  </w:style>
  <w:style w:type="paragraph" w:styleId="4">
    <w:name w:val="Body Text"/>
    <w:basedOn w:val="1"/>
    <w:qFormat/>
    <w:uiPriority w:val="0"/>
    <w:pPr>
      <w:spacing w:after="120" w:afterAutospacing="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5309</Words>
  <Characters>5809</Characters>
  <Lines>4</Lines>
  <Paragraphs>1</Paragraphs>
  <TotalTime>4</TotalTime>
  <ScaleCrop>false</ScaleCrop>
  <LinksUpToDate>false</LinksUpToDate>
  <CharactersWithSpaces>5844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85</cp:lastModifiedBy>
  <cp:lastPrinted>2024-03-06T07:40:00Z</cp:lastPrinted>
  <dcterms:modified xsi:type="dcterms:W3CDTF">2025-05-13T08:37:25Z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07143512E0984F2F98D290D27A275425_13</vt:lpwstr>
  </property>
  <property fmtid="{D5CDD505-2E9C-101B-9397-08002B2CF9AE}" pid="4" name="KSOTemplateDocerSaveRecord">
    <vt:lpwstr>eyJoZGlkIjoiNWE4MmFhZDgzMjIxYWE5ZmFlYmQ1NGNiOTBlY2IxOTQiLCJ1c2VySWQiOiI2NjgyMDMwNzIifQ==</vt:lpwstr>
  </property>
</Properties>
</file>