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316001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：中共石家庄市鹿泉区委机构编制委员会办公室</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20F557EC">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中共石家庄市鹿泉区委机构编制委员会办公室</w:t>
      </w:r>
    </w:p>
    <w:p w14:paraId="6202F336">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08686D34">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中共石家庄市鹿泉区委机构编制委员会办公室(单位名称，加盖公章）</w:t>
      </w:r>
    </w:p>
    <w:p w14:paraId="4BFB662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3B341B2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F3BAFF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w:t>
      </w:r>
      <w:r>
        <w:rPr>
          <w:rFonts w:hint="eastAsia" w:ascii="Times New Roman" w:eastAsia="黑体"/>
          <w:b w:val="0"/>
          <w:sz w:val="32"/>
          <w:szCs w:val="32"/>
          <w:lang w:eastAsia="zh-CN"/>
        </w:rPr>
        <w:t>部门</w:t>
      </w:r>
      <w:r>
        <w:rPr>
          <w:rFonts w:ascii="Times New Roman" w:eastAsia="黑体"/>
          <w:b w:val="0"/>
          <w:sz w:val="32"/>
          <w:szCs w:val="32"/>
        </w:rPr>
        <w:t>概况</w:t>
      </w:r>
    </w:p>
    <w:p w14:paraId="753977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部门</w:t>
      </w:r>
      <w:r>
        <w:rPr>
          <w:rFonts w:ascii="Times New Roman" w:eastAsia="仿宋_GB2312"/>
          <w:b w:val="0"/>
          <w:sz w:val="32"/>
          <w:szCs w:val="32"/>
        </w:rPr>
        <w:t>职责</w:t>
      </w:r>
    </w:p>
    <w:p w14:paraId="737EE2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0F5E9BC">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B7233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AA887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EFCB7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33D0D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B67D2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6248F0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9664A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3B04B7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3E8DE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F70D60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B03FF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C291A5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23608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99B4D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5E5C5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0D044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14F1D4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2995A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5A08A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11D94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B8C1EF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B7C01B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w:t>
      </w:r>
      <w:r>
        <w:rPr>
          <w:rFonts w:hint="eastAsia" w:ascii="Times New Roman" w:eastAsia="黑体"/>
          <w:b w:val="0"/>
          <w:sz w:val="44"/>
          <w:szCs w:val="44"/>
          <w:lang w:eastAsia="zh-CN"/>
        </w:rPr>
        <w:t>部门</w:t>
      </w:r>
      <w:r>
        <w:rPr>
          <w:rFonts w:ascii="Times New Roman" w:eastAsia="黑体"/>
          <w:b w:val="0"/>
          <w:sz w:val="44"/>
          <w:szCs w:val="44"/>
        </w:rPr>
        <w:t>概况</w:t>
      </w:r>
    </w:p>
    <w:p w14:paraId="75E3D8C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部门</w:t>
      </w:r>
      <w:r>
        <w:rPr>
          <w:rFonts w:ascii="Times New Roman" w:eastAsia="黑体"/>
          <w:b w:val="0"/>
          <w:sz w:val="32"/>
          <w:szCs w:val="32"/>
        </w:rPr>
        <w:t>职责</w:t>
      </w:r>
    </w:p>
    <w:p w14:paraId="61037491">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一）贯彻落实党中央和省、市、区委关于行政管理体制和机构改革以及机构编制管理的政策法规，执行相关政策规定和地方性法规、规章等规范性文件并监督实施。管理和指导区纪委监委机关及其派驻机构、区委各机关、区人大机关、区政府各部门、区政协机关、人民团体区级机关（以下简称“党政群机关”），以及事业单位机构编制工作。组织开展行政管理体制改革、事业 单位管理体制改革及机构编制工作基础性、创新性和前瞻性研究。 ​</w:t>
      </w:r>
    </w:p>
    <w:p w14:paraId="58468B2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（二）组织拟订全区行政管理体制改革和区委、区</w:t>
      </w:r>
    </w:p>
    <w:p w14:paraId="19B11CA5">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政府机构改革方案并组织实施。负责全区行政管理体制</w:t>
      </w:r>
    </w:p>
    <w:p w14:paraId="489451D7">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和机构改革以及机构编制管理工作；负责行政执法体制</w:t>
      </w:r>
    </w:p>
    <w:p w14:paraId="298B529D">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改革工作。</w:t>
      </w:r>
    </w:p>
    <w:p w14:paraId="1A34A29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（三）按照规定权限，负责区级党政群机关以及部</w:t>
      </w:r>
    </w:p>
    <w:p w14:paraId="60C111EB">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门派出机构的职能配置、机构设置、人员编制和领导职</w:t>
      </w:r>
    </w:p>
    <w:p w14:paraId="0EA8D6E4">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数管理工作；负责协调区委、区政府各部门职能配置及</w:t>
      </w:r>
    </w:p>
    <w:p w14:paraId="709C4E3D">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其调整，协调区委、区政府各部门之间以及区直部门与</w:t>
      </w:r>
    </w:p>
    <w:p w14:paraId="06012442">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乡（镇、区）之间职责分工。</w:t>
      </w:r>
    </w:p>
    <w:p w14:paraId="471B253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（四）组织拟订全区事业单位管理体制改革和机构</w:t>
      </w:r>
    </w:p>
    <w:p w14:paraId="3CA21EA0">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改革方案。拟订各类事业单位人员编制管理办法并组织</w:t>
      </w:r>
    </w:p>
    <w:p w14:paraId="30E94688">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实施。按照规定权限，负责区委、区政府直属事业单位</w:t>
      </w:r>
    </w:p>
    <w:p w14:paraId="0D213308">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和区直部门所属事业单位的职能配置、机构设置、人员编制和领导职数管理工作。</w:t>
      </w:r>
    </w:p>
    <w:p w14:paraId="3DD494A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（五）负责各乡（镇）的行政管理体制改革、事业</w:t>
      </w:r>
    </w:p>
    <w:p w14:paraId="67105503">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单位管理体制改革和机构改革工作，审核上报机构改革</w:t>
      </w:r>
    </w:p>
    <w:p w14:paraId="3CB897E3">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方案。审核上报各乡（镇）机构编制分类。</w:t>
      </w:r>
    </w:p>
    <w:p w14:paraId="56B4B8E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（六）负责全区党政群机关统一社会信用代码赋码</w:t>
      </w:r>
    </w:p>
    <w:p w14:paraId="6B388D86">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管理工作，负责全区事业单位法人登记管理和监督检查</w:t>
      </w:r>
    </w:p>
    <w:p w14:paraId="2FEE1502">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工作。</w:t>
      </w:r>
    </w:p>
    <w:p w14:paraId="5D2994A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（七）负责全区开发区（园区）行政管理体制改革</w:t>
      </w:r>
    </w:p>
    <w:p w14:paraId="44C8357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工作。贯彻落实开发区（园区）机构编制管理办法；负责全区开发区（园区）职能配置、机构设置、人员编制和领导职数审核及上报工作。</w:t>
      </w:r>
    </w:p>
    <w:p w14:paraId="2C1E869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（八）负责全区机构编制的总量控制、动态管理。</w:t>
      </w:r>
    </w:p>
    <w:p w14:paraId="4F0C984E">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组织拟订区本级年度编制使用计划，审核全区机关事业</w:t>
      </w:r>
    </w:p>
    <w:p w14:paraId="21923935">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单位招录、招聘和政策性安置等计划；负责全区机关事</w:t>
      </w:r>
    </w:p>
    <w:p w14:paraId="6A2C4D7B">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业单位编制使用核准；负责机构编制实名制管理工作；</w:t>
      </w:r>
    </w:p>
    <w:p w14:paraId="303003BC">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建立健全机构编制部门与有关部门的协调配合约束机</w:t>
      </w:r>
    </w:p>
    <w:p w14:paraId="03B9261F">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制。</w:t>
      </w:r>
    </w:p>
    <w:p w14:paraId="13173CC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（九）负责跟踪评估、监督检查全区行政、事业单</w:t>
      </w:r>
    </w:p>
    <w:p w14:paraId="7BA942BE">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位管理体制改革、机构改革及机构编制政策执行情况；</w:t>
      </w:r>
    </w:p>
    <w:p w14:paraId="4E802F03">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负责受理违反机构编制法规、纪律的检举、控告和投诉，</w:t>
      </w:r>
    </w:p>
    <w:p w14:paraId="5AF7A638">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对违反机构编制法规、纪律问题进行调查处理。</w:t>
      </w:r>
    </w:p>
    <w:p w14:paraId="6D49FA2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（十）负责全区机构编制电子政务和信息化工作。</w:t>
      </w:r>
    </w:p>
    <w:p w14:paraId="5AD9F77C">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负责全区机构编制统计工作；负责机构编制网站的管理、使用和维护；负责党政群机关、事业单位网上名称管理</w:t>
      </w:r>
    </w:p>
    <w:p w14:paraId="52A5AF57">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工作。</w:t>
      </w:r>
    </w:p>
    <w:p w14:paraId="39F192A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（十一）完成区委、区政府和区委机构编制委员会</w:t>
      </w:r>
    </w:p>
    <w:p w14:paraId="3FC774E1">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交办的其他任务。</w:t>
      </w:r>
    </w:p>
    <w:p w14:paraId="14DC02B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（十二）有关职责分工。区委编办负责全区公益类</w:t>
      </w:r>
    </w:p>
    <w:p w14:paraId="475D016D">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事业单位管理体制改革工作。区发展和改革局负责生产</w:t>
      </w:r>
    </w:p>
    <w:p w14:paraId="4616C2E8">
      <w:pPr>
        <w:widowControl/>
        <w:spacing w:before="0" w:beforeLines="0" w:beforeAutospacing="0" w:after="0" w:afterLines="0" w:afterAutospacing="0" w:line="360" w:lineRule="auto"/>
        <w:jc w:val="left"/>
        <w:rPr>
          <w:rFonts w:ascii="Times New Roman" w:eastAsia="仿宋_GB2312"/>
          <w:b w:val="0"/>
          <w:sz w:val="32"/>
          <w:szCs w:val="32"/>
        </w:rPr>
      </w:pPr>
      <w:r>
        <w:rPr>
          <w:rFonts w:hint="eastAsia" w:ascii="Times New Roman" w:eastAsia="仿宋_GB2312"/>
          <w:b w:val="0"/>
          <w:sz w:val="32"/>
          <w:szCs w:val="32"/>
        </w:rPr>
        <w:t>经营类事业单位管理体制改革工作。</w:t>
      </w:r>
    </w:p>
    <w:p w14:paraId="71315E3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5E2C28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从决算编报单位构成看，纳入2024年度本部门决算汇编范围的独立核算单位（以下简称“单位”）共1个，</w:t>
      </w:r>
    </w:p>
    <w:p w14:paraId="3D1E092D">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我部门无二级预算单位</w:t>
      </w:r>
      <w:bookmarkStart w:id="0" w:name="_GoBack"/>
      <w:bookmarkEnd w:id="0"/>
      <w:r>
        <w:rPr>
          <w:rFonts w:hint="eastAsia" w:ascii="Times New Roman" w:eastAsia="仿宋_GB2312"/>
          <w:b w:val="0"/>
          <w:sz w:val="32"/>
          <w:szCs w:val="32"/>
        </w:rPr>
        <w:t>，因此，中共石家庄市鹿泉区委</w:t>
      </w:r>
    </w:p>
    <w:p w14:paraId="2AA5F894">
      <w:pPr>
        <w:widowControl/>
        <w:spacing w:before="0" w:beforeLines="0" w:beforeAutospacing="0" w:after="0" w:afterLines="0" w:afterAutospacing="0" w:line="360" w:lineRule="auto"/>
        <w:jc w:val="left"/>
        <w:rPr>
          <w:rFonts w:ascii="Times New Roman" w:eastAsia="仿宋_GB2312"/>
          <w:sz w:val="32"/>
          <w:szCs w:val="32"/>
        </w:rPr>
      </w:pPr>
      <w:r>
        <w:rPr>
          <w:rFonts w:hint="eastAsia" w:ascii="Times New Roman" w:eastAsia="仿宋_GB2312"/>
          <w:b w:val="0"/>
          <w:sz w:val="32"/>
          <w:szCs w:val="32"/>
        </w:rPr>
        <w:t>机构编制委员会办公室 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年度部门决算即中共石家庄市鹿泉区委机构编制委员会办公室本级 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年度决算。</w:t>
      </w:r>
      <w:r>
        <w:rPr>
          <w:rFonts w:ascii="Times New Roman" w:eastAsia="仿宋_GB2312"/>
          <w:b w:val="0"/>
          <w:sz w:val="32"/>
          <w:szCs w:val="32"/>
        </w:rPr>
        <w:t>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中共石家庄市鹿泉区委机构编制委员会办公室(本级)</w:t>
            </w:r>
          </w:p>
        </w:tc>
        <w:tc>
          <w:tcPr>
            <w:tcW w:w="2445" w:type="dxa"/>
          </w:tcPr>
          <w:p w14:paraId="2E443189">
            <w:pPr>
              <w:spacing w:line="720" w:lineRule="auto"/>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77FBC8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部门（单位）：中共石家庄市鹿泉区委机构编制委员会办公室(本级)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208.79</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30.71</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15.76</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22.56</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部门（单位）：中共石家庄市鹿泉区委机构编制委员会办公室(本级)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277.82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277.82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062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DD3D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w:t>
            </w:r>
          </w:p>
        </w:tc>
        <w:tc>
          <w:tcPr>
            <w:tcW w:w="1160" w:type="dxa"/>
            <w:tcBorders>
              <w:top w:val="nil"/>
              <w:left w:val="nil"/>
              <w:bottom w:val="single" w:color="000000" w:sz="4" w:space="0"/>
              <w:right w:val="single" w:color="000000" w:sz="4" w:space="0"/>
            </w:tcBorders>
            <w:noWrap/>
            <w:vAlign w:val="center"/>
          </w:tcPr>
          <w:p w14:paraId="663EC1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党委办公厅（室）及相关机构事务</w:t>
            </w:r>
          </w:p>
        </w:tc>
        <w:tc>
          <w:tcPr>
            <w:tcW w:w="1037" w:type="dxa"/>
            <w:tcBorders>
              <w:top w:val="nil"/>
              <w:left w:val="nil"/>
              <w:bottom w:val="single" w:color="000000" w:sz="4" w:space="0"/>
              <w:right w:val="single" w:color="000000" w:sz="4" w:space="0"/>
            </w:tcBorders>
            <w:noWrap/>
            <w:vAlign w:val="center"/>
          </w:tcPr>
          <w:p w14:paraId="2DD53F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293F81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4598FD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8E83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8717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7DBB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CCCD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D87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83D5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2013101</w:t>
            </w:r>
          </w:p>
        </w:tc>
        <w:tc>
          <w:tcPr>
            <w:tcW w:w="1160" w:type="dxa"/>
            <w:tcBorders>
              <w:top w:val="nil"/>
              <w:left w:val="nil"/>
              <w:bottom w:val="single" w:color="000000" w:sz="4" w:space="0"/>
              <w:right w:val="single" w:color="000000" w:sz="4" w:space="0"/>
            </w:tcBorders>
            <w:noWrap/>
            <w:vAlign w:val="center"/>
          </w:tcPr>
          <w:p w14:paraId="20F09F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E70AC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7342A9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7BB916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BD87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9A1A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5F3C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00DC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1BD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ABC0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C01D2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CCB21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30.71</w:t>
            </w:r>
          </w:p>
        </w:tc>
        <w:tc>
          <w:tcPr>
            <w:tcW w:w="1037" w:type="dxa"/>
            <w:tcBorders>
              <w:top w:val="nil"/>
              <w:left w:val="nil"/>
              <w:bottom w:val="single" w:color="000000" w:sz="4" w:space="0"/>
              <w:right w:val="single" w:color="000000" w:sz="4" w:space="0"/>
            </w:tcBorders>
            <w:noWrap/>
            <w:vAlign w:val="center"/>
          </w:tcPr>
          <w:p w14:paraId="3114F1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30.71</w:t>
            </w:r>
          </w:p>
        </w:tc>
        <w:tc>
          <w:tcPr>
            <w:tcW w:w="1037" w:type="dxa"/>
            <w:tcBorders>
              <w:top w:val="nil"/>
              <w:left w:val="nil"/>
              <w:bottom w:val="single" w:color="000000" w:sz="4" w:space="0"/>
              <w:right w:val="single" w:color="000000" w:sz="4" w:space="0"/>
            </w:tcBorders>
            <w:noWrap/>
            <w:vAlign w:val="center"/>
          </w:tcPr>
          <w:p w14:paraId="7D58F2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5BDF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AD91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3CE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529A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FCA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B798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45BC62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284F66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30.71</w:t>
            </w:r>
          </w:p>
        </w:tc>
        <w:tc>
          <w:tcPr>
            <w:tcW w:w="1037" w:type="dxa"/>
            <w:tcBorders>
              <w:top w:val="nil"/>
              <w:left w:val="nil"/>
              <w:bottom w:val="single" w:color="000000" w:sz="4" w:space="0"/>
              <w:right w:val="single" w:color="000000" w:sz="4" w:space="0"/>
            </w:tcBorders>
            <w:noWrap/>
            <w:vAlign w:val="center"/>
          </w:tcPr>
          <w:p w14:paraId="60F5F0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30.71</w:t>
            </w:r>
          </w:p>
        </w:tc>
        <w:tc>
          <w:tcPr>
            <w:tcW w:w="1037" w:type="dxa"/>
            <w:tcBorders>
              <w:top w:val="nil"/>
              <w:left w:val="nil"/>
              <w:bottom w:val="single" w:color="000000" w:sz="4" w:space="0"/>
              <w:right w:val="single" w:color="000000" w:sz="4" w:space="0"/>
            </w:tcBorders>
            <w:noWrap/>
            <w:vAlign w:val="center"/>
          </w:tcPr>
          <w:p w14:paraId="28BBD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402A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C97F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0014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D0E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C14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FA3D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7C007B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446CC2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7.61</w:t>
            </w:r>
          </w:p>
        </w:tc>
        <w:tc>
          <w:tcPr>
            <w:tcW w:w="1037" w:type="dxa"/>
            <w:tcBorders>
              <w:top w:val="nil"/>
              <w:left w:val="nil"/>
              <w:bottom w:val="single" w:color="000000" w:sz="4" w:space="0"/>
              <w:right w:val="single" w:color="000000" w:sz="4" w:space="0"/>
            </w:tcBorders>
            <w:noWrap/>
            <w:vAlign w:val="center"/>
          </w:tcPr>
          <w:p w14:paraId="470B1C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7.61</w:t>
            </w:r>
          </w:p>
        </w:tc>
        <w:tc>
          <w:tcPr>
            <w:tcW w:w="1037" w:type="dxa"/>
            <w:tcBorders>
              <w:top w:val="nil"/>
              <w:left w:val="nil"/>
              <w:bottom w:val="single" w:color="000000" w:sz="4" w:space="0"/>
              <w:right w:val="single" w:color="000000" w:sz="4" w:space="0"/>
            </w:tcBorders>
            <w:noWrap/>
            <w:vAlign w:val="center"/>
          </w:tcPr>
          <w:p w14:paraId="69459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379B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6F1B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C5A0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76A5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EB1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370B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2A374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FA122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23.11</w:t>
            </w:r>
          </w:p>
        </w:tc>
        <w:tc>
          <w:tcPr>
            <w:tcW w:w="1037" w:type="dxa"/>
            <w:tcBorders>
              <w:top w:val="nil"/>
              <w:left w:val="nil"/>
              <w:bottom w:val="single" w:color="000000" w:sz="4" w:space="0"/>
              <w:right w:val="single" w:color="000000" w:sz="4" w:space="0"/>
            </w:tcBorders>
            <w:noWrap/>
            <w:vAlign w:val="center"/>
          </w:tcPr>
          <w:p w14:paraId="07082C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23.11</w:t>
            </w:r>
          </w:p>
        </w:tc>
        <w:tc>
          <w:tcPr>
            <w:tcW w:w="1037" w:type="dxa"/>
            <w:tcBorders>
              <w:top w:val="nil"/>
              <w:left w:val="nil"/>
              <w:bottom w:val="single" w:color="000000" w:sz="4" w:space="0"/>
              <w:right w:val="single" w:color="000000" w:sz="4" w:space="0"/>
            </w:tcBorders>
            <w:noWrap/>
            <w:vAlign w:val="center"/>
          </w:tcPr>
          <w:p w14:paraId="625575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7A60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AC29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8976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169C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DC1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C31E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001BC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5AD87D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49C374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16D9B8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2727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2D15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F3D7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7E07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9E8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72A6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DE63B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CC52A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3034F0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6D07A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06A3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5476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8624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5712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863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B7F7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94939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142E6A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5513D1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71744E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EAC7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8300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4562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F751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E03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2B8E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28C5E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ACD72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5C7FA9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17694D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C8D1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2EA2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CAAA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6F71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A0F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9555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8DE83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46FE0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370360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5294D4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1B09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C8CB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5979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8DD3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FA3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43A2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C8D88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2A5B6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6D5EC6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390F6B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A25E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9D95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6B86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ED47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部门（单位）：中共石家庄市鹿泉区委机构编制委员会办公室(本级)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07475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7A5C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635" w:type="pct"/>
            <w:tcBorders>
              <w:top w:val="nil"/>
              <w:left w:val="nil"/>
              <w:bottom w:val="single" w:color="000000" w:sz="4" w:space="0"/>
              <w:right w:val="single" w:color="000000" w:sz="4" w:space="0"/>
            </w:tcBorders>
            <w:noWrap/>
            <w:vAlign w:val="center"/>
          </w:tcPr>
          <w:p w14:paraId="7B7ACC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603" w:type="pct"/>
            <w:tcBorders>
              <w:top w:val="nil"/>
              <w:left w:val="nil"/>
              <w:bottom w:val="single" w:color="000000" w:sz="4" w:space="0"/>
              <w:right w:val="single" w:color="000000" w:sz="4" w:space="0"/>
            </w:tcBorders>
            <w:noWrap/>
            <w:vAlign w:val="center"/>
          </w:tcPr>
          <w:p w14:paraId="21F441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gridSpan w:val="2"/>
            <w:tcBorders>
              <w:top w:val="nil"/>
              <w:left w:val="nil"/>
              <w:bottom w:val="single" w:color="000000" w:sz="4" w:space="0"/>
              <w:right w:val="single" w:color="000000" w:sz="4" w:space="0"/>
            </w:tcBorders>
            <w:noWrap/>
            <w:vAlign w:val="center"/>
          </w:tcPr>
          <w:p w14:paraId="361A56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tcBorders>
              <w:top w:val="nil"/>
              <w:left w:val="nil"/>
              <w:bottom w:val="single" w:color="000000" w:sz="4" w:space="0"/>
              <w:right w:val="single" w:color="000000" w:sz="4" w:space="0"/>
            </w:tcBorders>
            <w:noWrap/>
            <w:vAlign w:val="center"/>
          </w:tcPr>
          <w:p w14:paraId="76EB8EB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3450B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A31F5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1B2108">
            <w:pPr>
              <w:jc w:val="right"/>
              <w:rPr>
                <w:rFonts w:hint="default" w:ascii="Times New Roman" w:hAnsi="Times New Roman" w:eastAsia="宋体" w:cs="Times New Roman"/>
                <w:i w:val="0"/>
                <w:iCs w:val="0"/>
                <w:color w:val="000000"/>
                <w:sz w:val="20"/>
                <w:szCs w:val="20"/>
                <w:highlight w:val="none"/>
                <w:u w:val="none"/>
              </w:rPr>
            </w:pPr>
          </w:p>
        </w:tc>
      </w:tr>
      <w:tr w14:paraId="7234E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3FF8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2013101</w:t>
            </w:r>
          </w:p>
        </w:tc>
        <w:tc>
          <w:tcPr>
            <w:tcW w:w="635" w:type="pct"/>
            <w:tcBorders>
              <w:top w:val="nil"/>
              <w:left w:val="nil"/>
              <w:bottom w:val="single" w:color="000000" w:sz="4" w:space="0"/>
              <w:right w:val="single" w:color="000000" w:sz="4" w:space="0"/>
            </w:tcBorders>
            <w:noWrap/>
            <w:vAlign w:val="center"/>
          </w:tcPr>
          <w:p w14:paraId="00E4E7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7DF58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gridSpan w:val="2"/>
            <w:tcBorders>
              <w:top w:val="nil"/>
              <w:left w:val="nil"/>
              <w:bottom w:val="single" w:color="000000" w:sz="4" w:space="0"/>
              <w:right w:val="single" w:color="000000" w:sz="4" w:space="0"/>
            </w:tcBorders>
            <w:noWrap/>
            <w:vAlign w:val="center"/>
          </w:tcPr>
          <w:p w14:paraId="56CFAE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tcBorders>
              <w:top w:val="nil"/>
              <w:left w:val="nil"/>
              <w:bottom w:val="single" w:color="000000" w:sz="4" w:space="0"/>
              <w:right w:val="single" w:color="000000" w:sz="4" w:space="0"/>
            </w:tcBorders>
            <w:noWrap/>
            <w:vAlign w:val="center"/>
          </w:tcPr>
          <w:p w14:paraId="4CC7CF2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542F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2D1CA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0A6225">
            <w:pPr>
              <w:jc w:val="right"/>
              <w:rPr>
                <w:rFonts w:hint="default" w:ascii="Times New Roman" w:hAnsi="Times New Roman" w:eastAsia="宋体" w:cs="Times New Roman"/>
                <w:i w:val="0"/>
                <w:iCs w:val="0"/>
                <w:color w:val="000000"/>
                <w:sz w:val="20"/>
                <w:szCs w:val="20"/>
                <w:highlight w:val="none"/>
                <w:u w:val="none"/>
              </w:rPr>
            </w:pPr>
          </w:p>
        </w:tc>
      </w:tr>
      <w:tr w14:paraId="4D77D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75E7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82F89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23546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602" w:type="pct"/>
            <w:gridSpan w:val="2"/>
            <w:tcBorders>
              <w:top w:val="nil"/>
              <w:left w:val="nil"/>
              <w:bottom w:val="single" w:color="000000" w:sz="4" w:space="0"/>
              <w:right w:val="single" w:color="000000" w:sz="4" w:space="0"/>
            </w:tcBorders>
            <w:noWrap/>
            <w:vAlign w:val="center"/>
          </w:tcPr>
          <w:p w14:paraId="48C65B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602" w:type="pct"/>
            <w:tcBorders>
              <w:top w:val="nil"/>
              <w:left w:val="nil"/>
              <w:bottom w:val="single" w:color="000000" w:sz="4" w:space="0"/>
              <w:right w:val="single" w:color="000000" w:sz="4" w:space="0"/>
            </w:tcBorders>
            <w:noWrap/>
            <w:vAlign w:val="center"/>
          </w:tcPr>
          <w:p w14:paraId="331B4C4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BEBDD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38AAD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A79D7F">
            <w:pPr>
              <w:jc w:val="right"/>
              <w:rPr>
                <w:rFonts w:hint="default" w:ascii="Times New Roman" w:hAnsi="Times New Roman" w:eastAsia="宋体" w:cs="Times New Roman"/>
                <w:i w:val="0"/>
                <w:iCs w:val="0"/>
                <w:color w:val="000000"/>
                <w:sz w:val="20"/>
                <w:szCs w:val="20"/>
                <w:highlight w:val="none"/>
                <w:u w:val="none"/>
              </w:rPr>
            </w:pPr>
          </w:p>
        </w:tc>
      </w:tr>
      <w:tr w14:paraId="20214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1847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93D77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7211E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602" w:type="pct"/>
            <w:gridSpan w:val="2"/>
            <w:tcBorders>
              <w:top w:val="nil"/>
              <w:left w:val="nil"/>
              <w:bottom w:val="single" w:color="000000" w:sz="4" w:space="0"/>
              <w:right w:val="single" w:color="000000" w:sz="4" w:space="0"/>
            </w:tcBorders>
            <w:noWrap/>
            <w:vAlign w:val="center"/>
          </w:tcPr>
          <w:p w14:paraId="037D65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602" w:type="pct"/>
            <w:tcBorders>
              <w:top w:val="nil"/>
              <w:left w:val="nil"/>
              <w:bottom w:val="single" w:color="000000" w:sz="4" w:space="0"/>
              <w:right w:val="single" w:color="000000" w:sz="4" w:space="0"/>
            </w:tcBorders>
            <w:noWrap/>
            <w:vAlign w:val="center"/>
          </w:tcPr>
          <w:p w14:paraId="0DB478C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37DCA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7767E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671159">
            <w:pPr>
              <w:jc w:val="right"/>
              <w:rPr>
                <w:rFonts w:hint="default" w:ascii="Times New Roman" w:hAnsi="Times New Roman" w:eastAsia="宋体" w:cs="Times New Roman"/>
                <w:i w:val="0"/>
                <w:iCs w:val="0"/>
                <w:color w:val="000000"/>
                <w:sz w:val="20"/>
                <w:szCs w:val="20"/>
                <w:highlight w:val="none"/>
                <w:u w:val="none"/>
              </w:rPr>
            </w:pPr>
          </w:p>
        </w:tc>
      </w:tr>
      <w:tr w14:paraId="3E195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054C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03AFFB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452DED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w:t>
            </w:r>
          </w:p>
        </w:tc>
        <w:tc>
          <w:tcPr>
            <w:tcW w:w="602" w:type="pct"/>
            <w:gridSpan w:val="2"/>
            <w:tcBorders>
              <w:top w:val="nil"/>
              <w:left w:val="nil"/>
              <w:bottom w:val="single" w:color="000000" w:sz="4" w:space="0"/>
              <w:right w:val="single" w:color="000000" w:sz="4" w:space="0"/>
            </w:tcBorders>
            <w:noWrap/>
            <w:vAlign w:val="center"/>
          </w:tcPr>
          <w:p w14:paraId="0D9F91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w:t>
            </w:r>
          </w:p>
        </w:tc>
        <w:tc>
          <w:tcPr>
            <w:tcW w:w="602" w:type="pct"/>
            <w:tcBorders>
              <w:top w:val="nil"/>
              <w:left w:val="nil"/>
              <w:bottom w:val="single" w:color="000000" w:sz="4" w:space="0"/>
              <w:right w:val="single" w:color="000000" w:sz="4" w:space="0"/>
            </w:tcBorders>
            <w:noWrap/>
            <w:vAlign w:val="center"/>
          </w:tcPr>
          <w:p w14:paraId="644E6AA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53A4F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E1314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090956">
            <w:pPr>
              <w:jc w:val="right"/>
              <w:rPr>
                <w:rFonts w:hint="default" w:ascii="Times New Roman" w:hAnsi="Times New Roman" w:eastAsia="宋体" w:cs="Times New Roman"/>
                <w:i w:val="0"/>
                <w:iCs w:val="0"/>
                <w:color w:val="000000"/>
                <w:sz w:val="20"/>
                <w:szCs w:val="20"/>
                <w:highlight w:val="none"/>
                <w:u w:val="none"/>
              </w:rPr>
            </w:pPr>
          </w:p>
        </w:tc>
      </w:tr>
      <w:tr w14:paraId="62778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C9D7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3AA16A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66DBCD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23.11</w:t>
            </w:r>
          </w:p>
        </w:tc>
        <w:tc>
          <w:tcPr>
            <w:tcW w:w="602" w:type="pct"/>
            <w:gridSpan w:val="2"/>
            <w:tcBorders>
              <w:top w:val="nil"/>
              <w:left w:val="nil"/>
              <w:bottom w:val="single" w:color="000000" w:sz="4" w:space="0"/>
              <w:right w:val="single" w:color="000000" w:sz="4" w:space="0"/>
            </w:tcBorders>
            <w:noWrap/>
            <w:vAlign w:val="center"/>
          </w:tcPr>
          <w:p w14:paraId="380A9B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23.11</w:t>
            </w:r>
          </w:p>
        </w:tc>
        <w:tc>
          <w:tcPr>
            <w:tcW w:w="602" w:type="pct"/>
            <w:tcBorders>
              <w:top w:val="nil"/>
              <w:left w:val="nil"/>
              <w:bottom w:val="single" w:color="000000" w:sz="4" w:space="0"/>
              <w:right w:val="single" w:color="000000" w:sz="4" w:space="0"/>
            </w:tcBorders>
            <w:noWrap/>
            <w:vAlign w:val="center"/>
          </w:tcPr>
          <w:p w14:paraId="63C19E9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65419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B1AD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1AB7E6">
            <w:pPr>
              <w:jc w:val="right"/>
              <w:rPr>
                <w:rFonts w:hint="default" w:ascii="Times New Roman" w:hAnsi="Times New Roman" w:eastAsia="宋体" w:cs="Times New Roman"/>
                <w:i w:val="0"/>
                <w:iCs w:val="0"/>
                <w:color w:val="000000"/>
                <w:sz w:val="20"/>
                <w:szCs w:val="20"/>
                <w:highlight w:val="none"/>
                <w:u w:val="none"/>
              </w:rPr>
            </w:pPr>
          </w:p>
        </w:tc>
      </w:tr>
      <w:tr w14:paraId="3BA5F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38D2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B945F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4608BC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gridSpan w:val="2"/>
            <w:tcBorders>
              <w:top w:val="nil"/>
              <w:left w:val="nil"/>
              <w:bottom w:val="single" w:color="000000" w:sz="4" w:space="0"/>
              <w:right w:val="single" w:color="000000" w:sz="4" w:space="0"/>
            </w:tcBorders>
            <w:noWrap/>
            <w:vAlign w:val="center"/>
          </w:tcPr>
          <w:p w14:paraId="217439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tcBorders>
              <w:top w:val="nil"/>
              <w:left w:val="nil"/>
              <w:bottom w:val="single" w:color="000000" w:sz="4" w:space="0"/>
              <w:right w:val="single" w:color="000000" w:sz="4" w:space="0"/>
            </w:tcBorders>
            <w:noWrap/>
            <w:vAlign w:val="center"/>
          </w:tcPr>
          <w:p w14:paraId="2FFDBE9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1A421A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180CC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5E2F35">
            <w:pPr>
              <w:jc w:val="right"/>
              <w:rPr>
                <w:rFonts w:hint="default" w:ascii="Times New Roman" w:hAnsi="Times New Roman" w:eastAsia="宋体" w:cs="Times New Roman"/>
                <w:i w:val="0"/>
                <w:iCs w:val="0"/>
                <w:color w:val="000000"/>
                <w:sz w:val="20"/>
                <w:szCs w:val="20"/>
                <w:highlight w:val="none"/>
                <w:u w:val="none"/>
              </w:rPr>
            </w:pPr>
          </w:p>
        </w:tc>
      </w:tr>
      <w:tr w14:paraId="12A2D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467C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49CAD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6BC364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gridSpan w:val="2"/>
            <w:tcBorders>
              <w:top w:val="nil"/>
              <w:left w:val="nil"/>
              <w:bottom w:val="single" w:color="000000" w:sz="4" w:space="0"/>
              <w:right w:val="single" w:color="000000" w:sz="4" w:space="0"/>
            </w:tcBorders>
            <w:noWrap/>
            <w:vAlign w:val="center"/>
          </w:tcPr>
          <w:p w14:paraId="0CB77D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tcBorders>
              <w:top w:val="nil"/>
              <w:left w:val="nil"/>
              <w:bottom w:val="single" w:color="000000" w:sz="4" w:space="0"/>
              <w:right w:val="single" w:color="000000" w:sz="4" w:space="0"/>
            </w:tcBorders>
            <w:noWrap/>
            <w:vAlign w:val="center"/>
          </w:tcPr>
          <w:p w14:paraId="0B7650D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7C42C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8D0D8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BC7EA46">
            <w:pPr>
              <w:jc w:val="right"/>
              <w:rPr>
                <w:rFonts w:hint="default" w:ascii="Times New Roman" w:hAnsi="Times New Roman" w:eastAsia="宋体" w:cs="Times New Roman"/>
                <w:i w:val="0"/>
                <w:iCs w:val="0"/>
                <w:color w:val="000000"/>
                <w:sz w:val="20"/>
                <w:szCs w:val="20"/>
                <w:highlight w:val="none"/>
                <w:u w:val="none"/>
              </w:rPr>
            </w:pPr>
          </w:p>
        </w:tc>
      </w:tr>
      <w:tr w14:paraId="7BFD9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F8C8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35CEF4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166300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gridSpan w:val="2"/>
            <w:tcBorders>
              <w:top w:val="nil"/>
              <w:left w:val="nil"/>
              <w:bottom w:val="single" w:color="000000" w:sz="4" w:space="0"/>
              <w:right w:val="single" w:color="000000" w:sz="4" w:space="0"/>
            </w:tcBorders>
            <w:noWrap/>
            <w:vAlign w:val="center"/>
          </w:tcPr>
          <w:p w14:paraId="51F24B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tcBorders>
              <w:top w:val="nil"/>
              <w:left w:val="nil"/>
              <w:bottom w:val="single" w:color="000000" w:sz="4" w:space="0"/>
              <w:right w:val="single" w:color="000000" w:sz="4" w:space="0"/>
            </w:tcBorders>
            <w:noWrap/>
            <w:vAlign w:val="center"/>
          </w:tcPr>
          <w:p w14:paraId="69E022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97E5A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B69C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0ED321">
            <w:pPr>
              <w:jc w:val="right"/>
              <w:rPr>
                <w:rFonts w:hint="default" w:ascii="Times New Roman" w:hAnsi="Times New Roman" w:eastAsia="宋体" w:cs="Times New Roman"/>
                <w:i w:val="0"/>
                <w:iCs w:val="0"/>
                <w:color w:val="000000"/>
                <w:sz w:val="20"/>
                <w:szCs w:val="20"/>
                <w:highlight w:val="none"/>
                <w:u w:val="none"/>
              </w:rPr>
            </w:pPr>
          </w:p>
        </w:tc>
      </w:tr>
      <w:tr w14:paraId="70CF9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E803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77C64B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52747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gridSpan w:val="2"/>
            <w:tcBorders>
              <w:top w:val="nil"/>
              <w:left w:val="nil"/>
              <w:bottom w:val="single" w:color="000000" w:sz="4" w:space="0"/>
              <w:right w:val="single" w:color="000000" w:sz="4" w:space="0"/>
            </w:tcBorders>
            <w:noWrap/>
            <w:vAlign w:val="center"/>
          </w:tcPr>
          <w:p w14:paraId="63A2EF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tcBorders>
              <w:top w:val="nil"/>
              <w:left w:val="nil"/>
              <w:bottom w:val="single" w:color="000000" w:sz="4" w:space="0"/>
              <w:right w:val="single" w:color="000000" w:sz="4" w:space="0"/>
            </w:tcBorders>
            <w:noWrap/>
            <w:vAlign w:val="center"/>
          </w:tcPr>
          <w:p w14:paraId="65AB476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CC482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90E8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92A99B">
            <w:pPr>
              <w:jc w:val="right"/>
              <w:rPr>
                <w:rFonts w:hint="default" w:ascii="Times New Roman" w:hAnsi="Times New Roman" w:eastAsia="宋体" w:cs="Times New Roman"/>
                <w:i w:val="0"/>
                <w:iCs w:val="0"/>
                <w:color w:val="000000"/>
                <w:sz w:val="20"/>
                <w:szCs w:val="20"/>
                <w:highlight w:val="none"/>
                <w:u w:val="none"/>
              </w:rPr>
            </w:pPr>
          </w:p>
        </w:tc>
      </w:tr>
      <w:tr w14:paraId="3E475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0F67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A8219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5A2A1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gridSpan w:val="2"/>
            <w:tcBorders>
              <w:top w:val="nil"/>
              <w:left w:val="nil"/>
              <w:bottom w:val="single" w:color="000000" w:sz="4" w:space="0"/>
              <w:right w:val="single" w:color="000000" w:sz="4" w:space="0"/>
            </w:tcBorders>
            <w:noWrap/>
            <w:vAlign w:val="center"/>
          </w:tcPr>
          <w:p w14:paraId="62F444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tcBorders>
              <w:top w:val="nil"/>
              <w:left w:val="nil"/>
              <w:bottom w:val="single" w:color="000000" w:sz="4" w:space="0"/>
              <w:right w:val="single" w:color="000000" w:sz="4" w:space="0"/>
            </w:tcBorders>
            <w:noWrap/>
            <w:vAlign w:val="center"/>
          </w:tcPr>
          <w:p w14:paraId="7262295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E7DAD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BFBD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6C4B16">
            <w:pPr>
              <w:jc w:val="right"/>
              <w:rPr>
                <w:rFonts w:hint="default" w:ascii="Times New Roman" w:hAnsi="Times New Roman" w:eastAsia="宋体" w:cs="Times New Roman"/>
                <w:i w:val="0"/>
                <w:iCs w:val="0"/>
                <w:color w:val="000000"/>
                <w:sz w:val="20"/>
                <w:szCs w:val="20"/>
                <w:highlight w:val="none"/>
                <w:u w:val="none"/>
              </w:rPr>
            </w:pPr>
          </w:p>
        </w:tc>
      </w:tr>
      <w:tr w14:paraId="47E9A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37B1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E5DEA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A7140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gridSpan w:val="2"/>
            <w:tcBorders>
              <w:top w:val="nil"/>
              <w:left w:val="nil"/>
              <w:bottom w:val="single" w:color="000000" w:sz="4" w:space="0"/>
              <w:right w:val="single" w:color="000000" w:sz="4" w:space="0"/>
            </w:tcBorders>
            <w:noWrap/>
            <w:vAlign w:val="center"/>
          </w:tcPr>
          <w:p w14:paraId="0F869A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tcBorders>
              <w:top w:val="nil"/>
              <w:left w:val="nil"/>
              <w:bottom w:val="single" w:color="000000" w:sz="4" w:space="0"/>
              <w:right w:val="single" w:color="000000" w:sz="4" w:space="0"/>
            </w:tcBorders>
            <w:noWrap/>
            <w:vAlign w:val="center"/>
          </w:tcPr>
          <w:p w14:paraId="3C00F59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32B3E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7F58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DFA748">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部门（单位）：中共石家庄市鹿泉区委机构编制委员会办公室(本级)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208.79</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208.79</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30.71</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30.71</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15.76</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15.76</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22.56</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22.56</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277.82</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40"/>
        <w:gridCol w:w="2812"/>
        <w:gridCol w:w="1171"/>
        <w:gridCol w:w="639"/>
        <w:gridCol w:w="670"/>
        <w:gridCol w:w="320"/>
        <w:gridCol w:w="104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编制部门（单位）：中共石家庄市鹿泉区委机构编制委员会办公室(本级)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p>
        </w:tc>
      </w:tr>
      <w:tr w14:paraId="42A4E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D4D3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756" w:type="pct"/>
            <w:tcBorders>
              <w:top w:val="single" w:color="auto" w:sz="4" w:space="0"/>
              <w:left w:val="single" w:color="auto" w:sz="4" w:space="0"/>
              <w:bottom w:val="single" w:color="auto" w:sz="4" w:space="0"/>
              <w:right w:val="single" w:color="auto" w:sz="4" w:space="0"/>
            </w:tcBorders>
            <w:noWrap/>
            <w:vAlign w:val="center"/>
          </w:tcPr>
          <w:p w14:paraId="7F51C6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BBA7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7F37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218" w:type="pct"/>
            <w:tcBorders>
              <w:top w:val="single" w:color="auto" w:sz="4" w:space="0"/>
              <w:left w:val="single" w:color="auto" w:sz="4" w:space="0"/>
              <w:bottom w:val="single" w:color="auto" w:sz="4" w:space="0"/>
              <w:right w:val="single" w:color="auto" w:sz="4" w:space="0"/>
            </w:tcBorders>
            <w:noWrap/>
            <w:vAlign w:val="center"/>
          </w:tcPr>
          <w:p w14:paraId="1A8E1BBE">
            <w:pPr>
              <w:jc w:val="right"/>
              <w:rPr>
                <w:rFonts w:hint="default" w:ascii="Times New Roman" w:hAnsi="Times New Roman" w:eastAsia="宋体" w:cs="Times New Roman"/>
                <w:i w:val="0"/>
                <w:iCs w:val="0"/>
                <w:color w:val="000000"/>
                <w:sz w:val="20"/>
                <w:szCs w:val="20"/>
                <w:highlight w:val="none"/>
                <w:u w:val="none"/>
              </w:rPr>
            </w:pPr>
          </w:p>
        </w:tc>
      </w:tr>
      <w:tr w14:paraId="78EE3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0229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2013101</w:t>
            </w:r>
          </w:p>
        </w:tc>
        <w:tc>
          <w:tcPr>
            <w:tcW w:w="756" w:type="pct"/>
            <w:tcBorders>
              <w:top w:val="single" w:color="auto" w:sz="4" w:space="0"/>
              <w:left w:val="single" w:color="auto" w:sz="4" w:space="0"/>
              <w:bottom w:val="single" w:color="auto" w:sz="4" w:space="0"/>
              <w:right w:val="single" w:color="auto" w:sz="4" w:space="0"/>
            </w:tcBorders>
            <w:noWrap/>
            <w:vAlign w:val="center"/>
          </w:tcPr>
          <w:p w14:paraId="6BBF21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9907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8BF7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218" w:type="pct"/>
            <w:tcBorders>
              <w:top w:val="single" w:color="auto" w:sz="4" w:space="0"/>
              <w:left w:val="single" w:color="auto" w:sz="4" w:space="0"/>
              <w:bottom w:val="single" w:color="auto" w:sz="4" w:space="0"/>
              <w:right w:val="single" w:color="auto" w:sz="4" w:space="0"/>
            </w:tcBorders>
            <w:noWrap/>
            <w:vAlign w:val="center"/>
          </w:tcPr>
          <w:p w14:paraId="3919064B">
            <w:pPr>
              <w:jc w:val="right"/>
              <w:rPr>
                <w:rFonts w:hint="default" w:ascii="Times New Roman" w:hAnsi="Times New Roman" w:eastAsia="宋体" w:cs="Times New Roman"/>
                <w:i w:val="0"/>
                <w:iCs w:val="0"/>
                <w:color w:val="000000"/>
                <w:sz w:val="20"/>
                <w:szCs w:val="20"/>
                <w:highlight w:val="none"/>
                <w:u w:val="none"/>
              </w:rPr>
            </w:pPr>
          </w:p>
        </w:tc>
      </w:tr>
      <w:tr w14:paraId="71ADE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579B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34FACD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F88B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EE7C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1218" w:type="pct"/>
            <w:tcBorders>
              <w:top w:val="single" w:color="auto" w:sz="4" w:space="0"/>
              <w:left w:val="single" w:color="auto" w:sz="4" w:space="0"/>
              <w:bottom w:val="single" w:color="auto" w:sz="4" w:space="0"/>
              <w:right w:val="single" w:color="auto" w:sz="4" w:space="0"/>
            </w:tcBorders>
            <w:noWrap/>
            <w:vAlign w:val="center"/>
          </w:tcPr>
          <w:p w14:paraId="58E1AA0A">
            <w:pPr>
              <w:jc w:val="right"/>
              <w:rPr>
                <w:rFonts w:hint="default" w:ascii="Times New Roman" w:hAnsi="Times New Roman" w:eastAsia="宋体" w:cs="Times New Roman"/>
                <w:i w:val="0"/>
                <w:iCs w:val="0"/>
                <w:color w:val="000000"/>
                <w:sz w:val="20"/>
                <w:szCs w:val="20"/>
                <w:highlight w:val="none"/>
                <w:u w:val="none"/>
              </w:rPr>
            </w:pPr>
          </w:p>
        </w:tc>
      </w:tr>
      <w:tr w14:paraId="7062A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964C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BA3FA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AF11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74E0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1218" w:type="pct"/>
            <w:tcBorders>
              <w:top w:val="single" w:color="auto" w:sz="4" w:space="0"/>
              <w:left w:val="single" w:color="auto" w:sz="4" w:space="0"/>
              <w:bottom w:val="single" w:color="auto" w:sz="4" w:space="0"/>
              <w:right w:val="single" w:color="auto" w:sz="4" w:space="0"/>
            </w:tcBorders>
            <w:noWrap/>
            <w:vAlign w:val="center"/>
          </w:tcPr>
          <w:p w14:paraId="30E1AB77">
            <w:pPr>
              <w:jc w:val="right"/>
              <w:rPr>
                <w:rFonts w:hint="default" w:ascii="Times New Roman" w:hAnsi="Times New Roman" w:eastAsia="宋体" w:cs="Times New Roman"/>
                <w:i w:val="0"/>
                <w:iCs w:val="0"/>
                <w:color w:val="000000"/>
                <w:sz w:val="20"/>
                <w:szCs w:val="20"/>
                <w:highlight w:val="none"/>
                <w:u w:val="none"/>
              </w:rPr>
            </w:pPr>
          </w:p>
        </w:tc>
      </w:tr>
      <w:tr w14:paraId="347D3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D248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4A0A16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2B0E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378D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w:t>
            </w:r>
          </w:p>
        </w:tc>
        <w:tc>
          <w:tcPr>
            <w:tcW w:w="1218" w:type="pct"/>
            <w:tcBorders>
              <w:top w:val="single" w:color="auto" w:sz="4" w:space="0"/>
              <w:left w:val="single" w:color="auto" w:sz="4" w:space="0"/>
              <w:bottom w:val="single" w:color="auto" w:sz="4" w:space="0"/>
              <w:right w:val="single" w:color="auto" w:sz="4" w:space="0"/>
            </w:tcBorders>
            <w:noWrap/>
            <w:vAlign w:val="center"/>
          </w:tcPr>
          <w:p w14:paraId="01FEC474">
            <w:pPr>
              <w:jc w:val="right"/>
              <w:rPr>
                <w:rFonts w:hint="default" w:ascii="Times New Roman" w:hAnsi="Times New Roman" w:eastAsia="宋体" w:cs="Times New Roman"/>
                <w:i w:val="0"/>
                <w:iCs w:val="0"/>
                <w:color w:val="000000"/>
                <w:sz w:val="20"/>
                <w:szCs w:val="20"/>
                <w:highlight w:val="none"/>
                <w:u w:val="none"/>
              </w:rPr>
            </w:pPr>
          </w:p>
        </w:tc>
      </w:tr>
      <w:tr w14:paraId="76889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F48A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EFA78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401E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C5B3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23.11</w:t>
            </w:r>
          </w:p>
        </w:tc>
        <w:tc>
          <w:tcPr>
            <w:tcW w:w="1218" w:type="pct"/>
            <w:tcBorders>
              <w:top w:val="single" w:color="auto" w:sz="4" w:space="0"/>
              <w:left w:val="single" w:color="auto" w:sz="4" w:space="0"/>
              <w:bottom w:val="single" w:color="auto" w:sz="4" w:space="0"/>
              <w:right w:val="single" w:color="auto" w:sz="4" w:space="0"/>
            </w:tcBorders>
            <w:noWrap/>
            <w:vAlign w:val="center"/>
          </w:tcPr>
          <w:p w14:paraId="2D674392">
            <w:pPr>
              <w:jc w:val="right"/>
              <w:rPr>
                <w:rFonts w:hint="default" w:ascii="Times New Roman" w:hAnsi="Times New Roman" w:eastAsia="宋体" w:cs="Times New Roman"/>
                <w:i w:val="0"/>
                <w:iCs w:val="0"/>
                <w:color w:val="000000"/>
                <w:sz w:val="20"/>
                <w:szCs w:val="20"/>
                <w:highlight w:val="none"/>
                <w:u w:val="none"/>
              </w:rPr>
            </w:pPr>
          </w:p>
        </w:tc>
      </w:tr>
      <w:tr w14:paraId="7ED39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19C1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A379B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7257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DC06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2CC0A1">
            <w:pPr>
              <w:jc w:val="right"/>
              <w:rPr>
                <w:rFonts w:hint="default" w:ascii="Times New Roman" w:hAnsi="Times New Roman" w:eastAsia="宋体" w:cs="Times New Roman"/>
                <w:i w:val="0"/>
                <w:iCs w:val="0"/>
                <w:color w:val="000000"/>
                <w:sz w:val="20"/>
                <w:szCs w:val="20"/>
                <w:highlight w:val="none"/>
                <w:u w:val="none"/>
              </w:rPr>
            </w:pPr>
          </w:p>
        </w:tc>
      </w:tr>
      <w:tr w14:paraId="1D774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58CA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0A5CA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1ABC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370F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218" w:type="pct"/>
            <w:tcBorders>
              <w:top w:val="single" w:color="auto" w:sz="4" w:space="0"/>
              <w:left w:val="single" w:color="auto" w:sz="4" w:space="0"/>
              <w:bottom w:val="single" w:color="auto" w:sz="4" w:space="0"/>
              <w:right w:val="single" w:color="auto" w:sz="4" w:space="0"/>
            </w:tcBorders>
            <w:noWrap/>
            <w:vAlign w:val="center"/>
          </w:tcPr>
          <w:p w14:paraId="7958E3C0">
            <w:pPr>
              <w:jc w:val="right"/>
              <w:rPr>
                <w:rFonts w:hint="default" w:ascii="Times New Roman" w:hAnsi="Times New Roman" w:eastAsia="宋体" w:cs="Times New Roman"/>
                <w:i w:val="0"/>
                <w:iCs w:val="0"/>
                <w:color w:val="000000"/>
                <w:sz w:val="20"/>
                <w:szCs w:val="20"/>
                <w:highlight w:val="none"/>
                <w:u w:val="none"/>
              </w:rPr>
            </w:pPr>
          </w:p>
        </w:tc>
      </w:tr>
      <w:tr w14:paraId="7C59E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5E073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42D3B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3C69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33D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218" w:type="pct"/>
            <w:tcBorders>
              <w:top w:val="single" w:color="auto" w:sz="4" w:space="0"/>
              <w:left w:val="single" w:color="auto" w:sz="4" w:space="0"/>
              <w:bottom w:val="single" w:color="auto" w:sz="4" w:space="0"/>
              <w:right w:val="single" w:color="auto" w:sz="4" w:space="0"/>
            </w:tcBorders>
            <w:noWrap/>
            <w:vAlign w:val="center"/>
          </w:tcPr>
          <w:p w14:paraId="5B7FD616">
            <w:pPr>
              <w:jc w:val="right"/>
              <w:rPr>
                <w:rFonts w:hint="default" w:ascii="Times New Roman" w:hAnsi="Times New Roman" w:eastAsia="宋体" w:cs="Times New Roman"/>
                <w:i w:val="0"/>
                <w:iCs w:val="0"/>
                <w:color w:val="000000"/>
                <w:sz w:val="20"/>
                <w:szCs w:val="20"/>
                <w:highlight w:val="none"/>
                <w:u w:val="none"/>
              </w:rPr>
            </w:pPr>
          </w:p>
        </w:tc>
      </w:tr>
      <w:tr w14:paraId="2F640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3C2B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3DF262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2110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1905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218" w:type="pct"/>
            <w:tcBorders>
              <w:top w:val="single" w:color="auto" w:sz="4" w:space="0"/>
              <w:left w:val="single" w:color="auto" w:sz="4" w:space="0"/>
              <w:bottom w:val="single" w:color="auto" w:sz="4" w:space="0"/>
              <w:right w:val="single" w:color="auto" w:sz="4" w:space="0"/>
            </w:tcBorders>
            <w:noWrap/>
            <w:vAlign w:val="center"/>
          </w:tcPr>
          <w:p w14:paraId="57AB769B">
            <w:pPr>
              <w:jc w:val="right"/>
              <w:rPr>
                <w:rFonts w:hint="default" w:ascii="Times New Roman" w:hAnsi="Times New Roman" w:eastAsia="宋体" w:cs="Times New Roman"/>
                <w:i w:val="0"/>
                <w:iCs w:val="0"/>
                <w:color w:val="000000"/>
                <w:sz w:val="20"/>
                <w:szCs w:val="20"/>
                <w:highlight w:val="none"/>
                <w:u w:val="none"/>
              </w:rPr>
            </w:pPr>
          </w:p>
        </w:tc>
      </w:tr>
      <w:tr w14:paraId="6EA3E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37F8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1302D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6C70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EDA8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5D29B5">
            <w:pPr>
              <w:jc w:val="right"/>
              <w:rPr>
                <w:rFonts w:hint="default" w:ascii="Times New Roman" w:hAnsi="Times New Roman" w:eastAsia="宋体" w:cs="Times New Roman"/>
                <w:i w:val="0"/>
                <w:iCs w:val="0"/>
                <w:color w:val="000000"/>
                <w:sz w:val="20"/>
                <w:szCs w:val="20"/>
                <w:highlight w:val="none"/>
                <w:u w:val="none"/>
              </w:rPr>
            </w:pPr>
          </w:p>
        </w:tc>
      </w:tr>
      <w:tr w14:paraId="697C9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06EA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727BE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CCA0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21AF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218" w:type="pct"/>
            <w:tcBorders>
              <w:top w:val="single" w:color="auto" w:sz="4" w:space="0"/>
              <w:left w:val="single" w:color="auto" w:sz="4" w:space="0"/>
              <w:bottom w:val="single" w:color="auto" w:sz="4" w:space="0"/>
              <w:right w:val="single" w:color="auto" w:sz="4" w:space="0"/>
            </w:tcBorders>
            <w:noWrap/>
            <w:vAlign w:val="center"/>
          </w:tcPr>
          <w:p w14:paraId="1858F2D7">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部门（单位）：中共石家庄市鹿泉区委机构编制委员会办公室(本级)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243.82</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26.66</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59.60</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4.37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38.65</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0.38</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43.10</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0.48</w:t>
            </w: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36.52</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23.11</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5.73</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15.76</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4.51</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22.56</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0.42</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7.35</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7.35</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4.66</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1.29</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1.44</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0.31</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6.98</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0.27</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251.17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26.66</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部门（单位）：中共石家庄市鹿泉区委机构编制委员会办公室(本级)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部门（单位）：中共石家庄市鹿泉区委机构编制委员会办公室(本级)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部门（单位）：中共石家庄市鹿泉区委机构编制委员会办公室(本级)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A21D2D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1BEF3B3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39081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本单位2024年度收、支总计（含结转和结余）均为277.82万元。与2023年度决算相比，收支各增加11.44万元，增长4.3%，主要原因是人员经费增长15.5万元，公用经费减少4.06万元。</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54ABC0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089B6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277.82万元，其中：财政拨款收入277.82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97D98E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5505A2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本单位2024年度本年支出合计277.82万元，其中：基本支出277.82万元，占100.0%；项目支出0.00万元，占0.0%；上缴上级支出0.00万元，占0.0%；经营支出0.00万元，占0.0%；对附属单位补助支出0.00万元，占0.0%。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6D94EC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EE03E1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B4649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本单位2024年度财政拨款收、支总计（含结转和结余）均为277.82万元。与2023年度相比，财政拨款收支各增加11.44万元，增长4.3%，主要原因是人员经费增长15.5万元，公用经费减少4.06万元。</w:t>
      </w:r>
    </w:p>
    <w:p w14:paraId="702B7B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277.82万元,比上年增加11.44万元，增长4.3%，主要原因是人员经费增长15.5万元，公用经费减少4.06万元；本年支出277.82万元，比上年增加11.44万元，增长4.3%，主要原因是人员经费增长15.5万元，公用经费减少4.06万元。具体情况如下：</w:t>
      </w:r>
    </w:p>
    <w:p w14:paraId="7DD15D75">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277.82万元,比上年增加11.44万元，增长4.3%，主要原因是人员经费增长15.5万元，公用经费减少4.06万元；本年支出277.82万元，比上年增加11.44万元，增长4.3%，主要原因是人员经费增长15.5万元，公用经费减少4.06万元。</w:t>
      </w:r>
    </w:p>
    <w:p w14:paraId="669AE2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w:t>
      </w:r>
      <w:r>
        <w:rPr>
          <w:rFonts w:hint="eastAsia" w:ascii="Times New Roman" w:eastAsia="仿宋_GB2312"/>
          <w:b w:val="0"/>
          <w:sz w:val="32"/>
          <w:szCs w:val="32"/>
          <w:lang w:eastAsia="zh-CN"/>
        </w:rPr>
        <w:t>与上年持平，主要原因是本单位无政府性基金</w:t>
      </w:r>
      <w:r>
        <w:rPr>
          <w:rFonts w:ascii="Times New Roman" w:eastAsia="仿宋_GB2312"/>
          <w:b w:val="0"/>
          <w:sz w:val="32"/>
          <w:szCs w:val="32"/>
        </w:rPr>
        <w:t>；本年支出0.00万元，</w:t>
      </w:r>
      <w:r>
        <w:rPr>
          <w:rFonts w:hint="eastAsia" w:ascii="Times New Roman" w:eastAsia="仿宋_GB2312"/>
          <w:b w:val="0"/>
          <w:sz w:val="32"/>
          <w:szCs w:val="32"/>
          <w:lang w:eastAsia="zh-CN"/>
        </w:rPr>
        <w:t>与上年持平，主要原因是本单位无政府性基金</w:t>
      </w:r>
      <w:r>
        <w:rPr>
          <w:rFonts w:ascii="Times New Roman" w:eastAsia="仿宋_GB2312"/>
          <w:b w:val="0"/>
          <w:sz w:val="32"/>
          <w:szCs w:val="32"/>
        </w:rPr>
        <w:t>。</w:t>
      </w:r>
    </w:p>
    <w:p w14:paraId="225A44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w:t>
      </w:r>
      <w:r>
        <w:rPr>
          <w:rFonts w:hint="eastAsia" w:ascii="Times New Roman" w:eastAsia="仿宋_GB2312"/>
          <w:b w:val="0"/>
          <w:sz w:val="32"/>
          <w:szCs w:val="32"/>
          <w:lang w:eastAsia="zh-CN"/>
        </w:rPr>
        <w:t>与上年持平，主要原因是本单位无国有资本经营性收入</w:t>
      </w:r>
      <w:r>
        <w:rPr>
          <w:rFonts w:ascii="Times New Roman" w:eastAsia="仿宋_GB2312"/>
          <w:b w:val="0"/>
          <w:sz w:val="32"/>
          <w:szCs w:val="32"/>
        </w:rPr>
        <w:t>；本年支出0.00万元，</w:t>
      </w:r>
      <w:r>
        <w:rPr>
          <w:rFonts w:hint="eastAsia" w:ascii="Times New Roman" w:eastAsia="仿宋_GB2312"/>
          <w:b w:val="0"/>
          <w:sz w:val="32"/>
          <w:szCs w:val="32"/>
          <w:lang w:eastAsia="zh-CN"/>
        </w:rPr>
        <w:t>与上年持平，主要原因是本单位无国有资本经营性收入</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BF8E14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2F6D4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本单位2024年度财政拨款本年收入277.82万元，完成年初预算的95.5%，比年初预算减少12.96万元，决算数小于预算数主要原因是树立过紧日子的思想，厉行勤俭节约 ；本年支出277.82万元，完成年初预算的95.5%，比年初预算减少12.96万元，决算数小于预算数主要原因是树立过紧日子的思想，厉行勤俭节约 。具体情况如下：</w:t>
      </w:r>
    </w:p>
    <w:p w14:paraId="03C878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95.5%，比年初预算减少12.96万元，主要原因是树立过紧日子的思想，厉行勤俭节约；支出完成年初预算的95.5%，比年初预算减少12.96万元，主要原因是树立过紧日子的思想，厉行勤俭节约。</w:t>
      </w:r>
    </w:p>
    <w:p w14:paraId="427B6E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w:t>
      </w:r>
      <w:r>
        <w:rPr>
          <w:rFonts w:hint="eastAsia" w:ascii="Times New Roman" w:eastAsia="仿宋_GB2312"/>
          <w:b w:val="0"/>
          <w:sz w:val="32"/>
          <w:szCs w:val="32"/>
        </w:rPr>
        <w:t>主要原因是本单位无政府性基金</w:t>
      </w:r>
      <w:r>
        <w:rPr>
          <w:rFonts w:hint="eastAsia" w:ascii="Times New Roman" w:eastAsia="仿宋_GB2312"/>
          <w:b w:val="0"/>
          <w:sz w:val="32"/>
          <w:szCs w:val="32"/>
          <w:lang w:eastAsia="zh-CN"/>
        </w:rPr>
        <w:t>；</w:t>
      </w:r>
      <w:r>
        <w:rPr>
          <w:rFonts w:ascii="Times New Roman" w:eastAsia="仿宋_GB2312"/>
          <w:b w:val="0"/>
          <w:sz w:val="32"/>
          <w:szCs w:val="32"/>
        </w:rPr>
        <w:t>支出完成年初预算的0.0%，比年初预算增加0.00万元，</w:t>
      </w:r>
      <w:r>
        <w:rPr>
          <w:rFonts w:hint="eastAsia" w:ascii="Times New Roman" w:eastAsia="仿宋_GB2312"/>
          <w:b w:val="0"/>
          <w:sz w:val="32"/>
          <w:szCs w:val="32"/>
        </w:rPr>
        <w:t>主要原因是本单位无政府性基金</w:t>
      </w:r>
      <w:r>
        <w:rPr>
          <w:rFonts w:ascii="Times New Roman" w:eastAsia="仿宋_GB2312"/>
          <w:b w:val="0"/>
          <w:sz w:val="32"/>
          <w:szCs w:val="32"/>
        </w:rPr>
        <w:t>。</w:t>
      </w:r>
    </w:p>
    <w:p w14:paraId="4D2E6B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w:t>
      </w:r>
      <w:r>
        <w:rPr>
          <w:rFonts w:hint="eastAsia" w:ascii="Times New Roman" w:eastAsia="仿宋_GB2312"/>
          <w:b w:val="0"/>
          <w:sz w:val="32"/>
          <w:szCs w:val="32"/>
        </w:rPr>
        <w:t>主要原因是本单位无国有资本经营性收入</w:t>
      </w:r>
      <w:r>
        <w:rPr>
          <w:rFonts w:ascii="Times New Roman" w:eastAsia="仿宋_GB2312"/>
          <w:b w:val="0"/>
          <w:sz w:val="32"/>
          <w:szCs w:val="32"/>
        </w:rPr>
        <w:t>；支出完成年初预算的0.0%，比年初预算增加0.00万元，</w:t>
      </w:r>
      <w:r>
        <w:rPr>
          <w:rFonts w:hint="eastAsia" w:ascii="Times New Roman" w:eastAsia="仿宋_GB2312"/>
          <w:b w:val="0"/>
          <w:sz w:val="32"/>
          <w:szCs w:val="32"/>
        </w:rPr>
        <w:t>主要原因是本单位无国有资本经营性收入</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023875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86635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2024年度财政拨款支出277.82万元，主要用于以下方面：</w:t>
      </w:r>
    </w:p>
    <w:p w14:paraId="0280D8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1C414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一般公共服务（类）支出208.79万元，占75.</w:t>
      </w:r>
      <w:r>
        <w:rPr>
          <w:rFonts w:hint="eastAsia" w:ascii="Times New Roman" w:eastAsia="仿宋_GB2312"/>
          <w:b w:val="0"/>
          <w:sz w:val="32"/>
          <w:szCs w:val="32"/>
          <w:lang w:val="en-US" w:eastAsia="zh-CN"/>
        </w:rPr>
        <w:t>15</w:t>
      </w:r>
      <w:r>
        <w:rPr>
          <w:rFonts w:ascii="Times New Roman" w:eastAsia="仿宋_GB2312"/>
          <w:b w:val="0"/>
          <w:sz w:val="32"/>
          <w:szCs w:val="32"/>
        </w:rPr>
        <w:t>%，主要用于</w:t>
      </w:r>
      <w:r>
        <w:rPr>
          <w:rFonts w:hint="eastAsia" w:ascii="Times New Roman" w:eastAsia="仿宋_GB2312"/>
          <w:b w:val="0"/>
          <w:sz w:val="32"/>
          <w:szCs w:val="32"/>
        </w:rPr>
        <w:t>主要用于保障正常运转，支持履行职能</w:t>
      </w:r>
      <w:r>
        <w:rPr>
          <w:rFonts w:ascii="Times New Roman" w:eastAsia="仿宋_GB2312"/>
          <w:b w:val="0"/>
          <w:sz w:val="32"/>
          <w:szCs w:val="32"/>
        </w:rPr>
        <w:t>等支出；社会保障和就业 （类）支出30.71万元，占11.</w:t>
      </w:r>
      <w:r>
        <w:rPr>
          <w:rFonts w:hint="eastAsia" w:ascii="Times New Roman" w:eastAsia="仿宋_GB2312"/>
          <w:b w:val="0"/>
          <w:sz w:val="32"/>
          <w:szCs w:val="32"/>
          <w:lang w:val="en-US" w:eastAsia="zh-CN"/>
        </w:rPr>
        <w:t>05</w:t>
      </w:r>
      <w:r>
        <w:rPr>
          <w:rFonts w:ascii="Times New Roman" w:eastAsia="仿宋_GB2312"/>
          <w:b w:val="0"/>
          <w:sz w:val="32"/>
          <w:szCs w:val="32"/>
        </w:rPr>
        <w:t>%，</w:t>
      </w:r>
      <w:r>
        <w:rPr>
          <w:rFonts w:hint="eastAsia" w:ascii="Times New Roman" w:eastAsia="仿宋_GB2312"/>
          <w:b w:val="0"/>
          <w:sz w:val="32"/>
          <w:szCs w:val="32"/>
        </w:rPr>
        <w:t>主要用于缴纳保险职业年金等支出</w:t>
      </w:r>
      <w:r>
        <w:rPr>
          <w:rFonts w:ascii="Times New Roman" w:eastAsia="仿宋_GB2312"/>
          <w:b w:val="0"/>
          <w:sz w:val="32"/>
          <w:szCs w:val="32"/>
        </w:rPr>
        <w:t>；卫生健康（类）支出15.76万元，占5.</w:t>
      </w:r>
      <w:r>
        <w:rPr>
          <w:rFonts w:hint="eastAsia" w:ascii="Times New Roman" w:eastAsia="仿宋_GB2312"/>
          <w:b w:val="0"/>
          <w:sz w:val="32"/>
          <w:szCs w:val="32"/>
          <w:lang w:val="en-US" w:eastAsia="zh-CN"/>
        </w:rPr>
        <w:t>6</w:t>
      </w:r>
      <w:r>
        <w:rPr>
          <w:rFonts w:ascii="Times New Roman" w:eastAsia="仿宋_GB2312"/>
          <w:b w:val="0"/>
          <w:sz w:val="32"/>
          <w:szCs w:val="32"/>
        </w:rPr>
        <w:t>7%，</w:t>
      </w:r>
      <w:r>
        <w:rPr>
          <w:rFonts w:hint="eastAsia" w:ascii="Times New Roman" w:eastAsia="仿宋_GB2312"/>
          <w:b w:val="0"/>
          <w:sz w:val="32"/>
          <w:szCs w:val="32"/>
        </w:rPr>
        <w:t>主要用于缴纳医疗保险</w:t>
      </w:r>
      <w:r>
        <w:rPr>
          <w:rFonts w:hint="eastAsia" w:ascii="Times New Roman" w:eastAsia="仿宋_GB2312"/>
          <w:b w:val="0"/>
          <w:sz w:val="32"/>
          <w:szCs w:val="32"/>
          <w:lang w:eastAsia="zh-CN"/>
        </w:rPr>
        <w:t>；</w:t>
      </w:r>
      <w:r>
        <w:rPr>
          <w:rFonts w:ascii="Times New Roman" w:eastAsia="仿宋_GB2312"/>
          <w:b w:val="0"/>
          <w:sz w:val="32"/>
          <w:szCs w:val="32"/>
        </w:rPr>
        <w:t>住房保障（类）支出22.56万元，占8.1</w:t>
      </w:r>
      <w:r>
        <w:rPr>
          <w:rFonts w:hint="eastAsia" w:ascii="Times New Roman" w:eastAsia="仿宋_GB2312"/>
          <w:b w:val="0"/>
          <w:sz w:val="32"/>
          <w:szCs w:val="32"/>
          <w:lang w:val="en-US" w:eastAsia="zh-CN"/>
        </w:rPr>
        <w:t>2</w:t>
      </w:r>
      <w:r>
        <w:rPr>
          <w:rFonts w:ascii="Times New Roman" w:eastAsia="仿宋_GB2312"/>
          <w:b w:val="0"/>
          <w:sz w:val="32"/>
          <w:szCs w:val="32"/>
        </w:rPr>
        <w:t>%，</w:t>
      </w:r>
      <w:r>
        <w:rPr>
          <w:rFonts w:hint="eastAsia" w:ascii="Times New Roman" w:eastAsia="仿宋_GB2312"/>
          <w:b w:val="0"/>
          <w:sz w:val="32"/>
          <w:szCs w:val="32"/>
          <w:lang w:eastAsia="zh-CN"/>
        </w:rPr>
        <w:t>主要用于</w:t>
      </w:r>
      <w:r>
        <w:rPr>
          <w:rFonts w:hint="eastAsia" w:ascii="Times New Roman" w:eastAsia="仿宋_GB2312"/>
          <w:b w:val="0"/>
          <w:sz w:val="32"/>
          <w:szCs w:val="32"/>
        </w:rPr>
        <w:t>缴纳住房公积金</w:t>
      </w:r>
      <w:r>
        <w:rPr>
          <w:rFonts w:ascii="Times New Roman" w:eastAsia="仿宋_GB2312"/>
          <w:b w:val="0"/>
          <w:sz w:val="32"/>
          <w:szCs w:val="32"/>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04B752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ACD63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2024年度财政拨款基本支出277.82万元，其中：</w:t>
      </w:r>
    </w:p>
    <w:p w14:paraId="280E1AB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人员经费251.17万元，主要包括基本工资、津贴补贴、奖金、绩效工资、机关事业部门基本养老保险缴费、职工基本医疗保险缴费、公务员医疗补助缴费、住房公积金、医疗费、其他社会保障缴费</w:t>
      </w:r>
      <w:r>
        <w:rPr>
          <w:rFonts w:hint="eastAsia" w:ascii="Times New Roman" w:eastAsia="仿宋_GB2312"/>
          <w:b w:val="0"/>
          <w:sz w:val="32"/>
          <w:szCs w:val="32"/>
          <w:lang w:eastAsia="zh-CN"/>
        </w:rPr>
        <w:t>。</w:t>
      </w:r>
    </w:p>
    <w:p w14:paraId="7DED9F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公用经费26.66万元，主要包括办公费、印刷费、咨询费、邮电费、差旅费、维修（护）费、委托业务费、工会经费、福利费、公务用车运行维护费、其他交通费用、其他商品和服务支出。</w:t>
      </w:r>
    </w:p>
    <w:p w14:paraId="2FA50D2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DF6803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182505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0.31万元，支出决算为0.31万元，完成预算的100.0%，较预算增加0.00万元，增长0.0%，主要原因是树立过紧日子的思想，厉行勤俭节约；较2023年度决算减少0.01万元，降低3.1%，主要原因是树立过紧日子的思想，厉行勤俭节约。</w:t>
      </w:r>
    </w:p>
    <w:p w14:paraId="7E5166D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55AA1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较上年持平。因公出国（境）团组0个、共0人、参加其他单位组织的因公出国（境）团组0个、共0人/无本部门组织的出国（境）团组。</w:t>
      </w:r>
    </w:p>
    <w:p w14:paraId="41325CF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本单位2024年度公务用车购置及运行维护费预算为0.31万元，支出决算0.31万元，完成预算的100.0%,较预算增加0.00万元，增长0.0%,主要</w:t>
      </w:r>
      <w:r>
        <w:rPr>
          <w:rFonts w:hint="eastAsia" w:ascii="Times New Roman" w:eastAsia="仿宋_GB2312"/>
          <w:b w:val="0"/>
          <w:sz w:val="32"/>
          <w:szCs w:val="32"/>
          <w:lang w:eastAsia="zh-CN"/>
        </w:rPr>
        <w:t>原因</w:t>
      </w:r>
      <w:r>
        <w:rPr>
          <w:rFonts w:ascii="Times New Roman" w:eastAsia="仿宋_GB2312"/>
          <w:b w:val="0"/>
          <w:sz w:val="32"/>
          <w:szCs w:val="32"/>
        </w:rPr>
        <w:t>是树立过紧日子的思想，厉行勤俭节约；较上年减少0.01万元，降低3.1%,主要原因是树立过紧日子的思想，厉行勤俭节约。其中：</w:t>
      </w:r>
    </w:p>
    <w:p w14:paraId="725C08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万元。公务用车购置费支出较预算增加0.00万元，增长0.0%；较上年增加0.00万元，增长0.00%,</w:t>
      </w:r>
      <w:r>
        <w:rPr>
          <w:rFonts w:hint="eastAsia" w:ascii="Times New Roman" w:eastAsia="仿宋_GB2312"/>
          <w:b w:val="0"/>
          <w:sz w:val="32"/>
          <w:szCs w:val="32"/>
        </w:rPr>
        <w:t>主要原因是未发生公务用车购置支出</w:t>
      </w:r>
      <w:r>
        <w:rPr>
          <w:rFonts w:ascii="Times New Roman" w:eastAsia="仿宋_GB2312"/>
          <w:b w:val="0"/>
          <w:sz w:val="32"/>
          <w:szCs w:val="32"/>
        </w:rPr>
        <w:t>。</w:t>
      </w:r>
    </w:p>
    <w:p w14:paraId="5A4A587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公务用车运行维护费支出0.31万元：</w:t>
      </w:r>
      <w:r>
        <w:rPr>
          <w:rFonts w:ascii="Times New Roman" w:eastAsia="仿宋_GB2312"/>
          <w:b w:val="0"/>
          <w:sz w:val="32"/>
          <w:szCs w:val="32"/>
        </w:rPr>
        <w:t>本单位2024年度单位公务用车保有量1辆，发生运行维护费支出0.31万元。公车运行维护费支出较预算增加0.00万元，增长0.0%,主要原因是树立过紧日子的思想，厉行勤俭节约；较上年减少0.01万元，降低3.1%，主要原因是树立过紧日子的思想，厉行勤俭节约。</w:t>
      </w:r>
    </w:p>
    <w:p w14:paraId="081C61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未发生公务接待费用支出；较上年度增加0.00万元，增长0.00%,主要原因是未发生公务接待费用支出。本年度共发生公务接待0批次、0人次。</w:t>
      </w:r>
    </w:p>
    <w:p w14:paraId="1B99F40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FB6C5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本单位2024年度机关运行经费支出26.66万元，较2023年度减少4.05万元，降低13.2%。主要原因是树立过紧日子的思想，厉行勤俭节约。</w:t>
      </w:r>
    </w:p>
    <w:p w14:paraId="4785E91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5416E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1.26万元，从采购类型来看，政府采购货物支出0.88万元、政府采购工程支出0.00万元、政府采购服务支出0.38万元。授予中小企业合同金额1.19万元，占政府采购支出总额的94.4%，其中授予小微企业合同金额1.19万元，占政府采购支出总额的94.4%。</w:t>
      </w:r>
    </w:p>
    <w:p w14:paraId="2A52787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60127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与上年持平。其中，副部（省）级及以上领导用车0辆，主要负责人用车0辆，机要通信用车0辆，应急保障用车1辆，执法执勤用车0辆，特种专业技术用车0辆，离退休干部用车0辆，其他用车0辆，其他用车主要是0辆。单位价值100万元（含）以上设备（不含车辆）0台（套）。</w:t>
      </w:r>
    </w:p>
    <w:p w14:paraId="229AED5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7015C2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6A790D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根据预算绩效管理要求，本部门组织对 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年度一般公共预算项目支出全面开展绩效自评，202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年度无一级项目、二级项目，共涉及资金 0 万元。202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年度无政府性基金预算项目预算及支出。202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年度无国有资本经营预算项目预算及支出。</w:t>
      </w:r>
    </w:p>
    <w:p w14:paraId="2C4B0B5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0C58B60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本部门 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年度无一般公共预算项目支出。</w:t>
      </w:r>
    </w:p>
    <w:p w14:paraId="361079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2781B8A3">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14:paraId="0BC4205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B5CF6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21DC20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A2BDE0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3F5B2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DA77E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BF0FF8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60E80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BDEB9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8A9AE7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D802B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15137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F9DE4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4FDED4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E6F21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4A949B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CBD4F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BBD81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3870C4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DBACF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FAAA5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B208A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9" w:usb3="00000000" w:csb0="200001FF"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E1508">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EC5F5">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884E7B">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C7826"/>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7BE66D"/>
    <w:rsid w:val="2F9F3DC1"/>
    <w:rsid w:val="2FFC7AC2"/>
    <w:rsid w:val="301430AF"/>
    <w:rsid w:val="30630612"/>
    <w:rsid w:val="308E59B0"/>
    <w:rsid w:val="30B10568"/>
    <w:rsid w:val="30E55DD3"/>
    <w:rsid w:val="30E60399"/>
    <w:rsid w:val="31356AA5"/>
    <w:rsid w:val="313E22F0"/>
    <w:rsid w:val="31B0194C"/>
    <w:rsid w:val="31CE17D1"/>
    <w:rsid w:val="31FF61A0"/>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BF1A42"/>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CADC94"/>
    <w:rsid w:val="3DD56F21"/>
    <w:rsid w:val="3DEF6699"/>
    <w:rsid w:val="3E1057AF"/>
    <w:rsid w:val="3E6C0DFA"/>
    <w:rsid w:val="3E740322"/>
    <w:rsid w:val="3E7F4380"/>
    <w:rsid w:val="3E8D171B"/>
    <w:rsid w:val="3EA5630D"/>
    <w:rsid w:val="3EBA731B"/>
    <w:rsid w:val="3EE33949"/>
    <w:rsid w:val="3EFB5800"/>
    <w:rsid w:val="3F1F5D35"/>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6FC144"/>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6F0182"/>
    <w:rsid w:val="577F37E7"/>
    <w:rsid w:val="579C7F80"/>
    <w:rsid w:val="57B30D7C"/>
    <w:rsid w:val="57F5C146"/>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9AD8A"/>
    <w:rsid w:val="5F2C5C7C"/>
    <w:rsid w:val="5F36141C"/>
    <w:rsid w:val="5F3FC67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7D52F8"/>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DFC7A23"/>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2BBC3A3"/>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8FB8295"/>
    <w:rsid w:val="79285B3A"/>
    <w:rsid w:val="79490B03"/>
    <w:rsid w:val="79625CA9"/>
    <w:rsid w:val="79A91196"/>
    <w:rsid w:val="7A0B32D3"/>
    <w:rsid w:val="7AC13CD3"/>
    <w:rsid w:val="7AE10264"/>
    <w:rsid w:val="7AE4248E"/>
    <w:rsid w:val="7B1F1452"/>
    <w:rsid w:val="7B4A207F"/>
    <w:rsid w:val="7B936F45"/>
    <w:rsid w:val="7BA47419"/>
    <w:rsid w:val="7BB10D45"/>
    <w:rsid w:val="7BB44151"/>
    <w:rsid w:val="7C656A39"/>
    <w:rsid w:val="7CB93996"/>
    <w:rsid w:val="7CBE0F99"/>
    <w:rsid w:val="7D4E45F1"/>
    <w:rsid w:val="7D9CF1F4"/>
    <w:rsid w:val="7DFB6D82"/>
    <w:rsid w:val="7E1D71D1"/>
    <w:rsid w:val="7E246254"/>
    <w:rsid w:val="7E553215"/>
    <w:rsid w:val="7E6D090F"/>
    <w:rsid w:val="7ECC66B2"/>
    <w:rsid w:val="7F2914C3"/>
    <w:rsid w:val="7F3BC3AA"/>
    <w:rsid w:val="7F5F2ED6"/>
    <w:rsid w:val="7F8F4887"/>
    <w:rsid w:val="7FA837EF"/>
    <w:rsid w:val="7FC36955"/>
    <w:rsid w:val="7FDF4E21"/>
    <w:rsid w:val="7FE903A0"/>
    <w:rsid w:val="7FF07065"/>
    <w:rsid w:val="7FF97946"/>
    <w:rsid w:val="7FFE7888"/>
    <w:rsid w:val="8FFDF322"/>
    <w:rsid w:val="B71DEBFF"/>
    <w:rsid w:val="BFE8AEEE"/>
    <w:rsid w:val="BFFF9EA5"/>
    <w:rsid w:val="C5F98735"/>
    <w:rsid w:val="D67FFC8D"/>
    <w:rsid w:val="D7DFF72D"/>
    <w:rsid w:val="E3EF3EBF"/>
    <w:rsid w:val="EEFEC05C"/>
    <w:rsid w:val="FEDFCF5B"/>
    <w:rsid w:val="FEED44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266.38</c:v>
                </c:pt>
                <c:pt idx="1">
                  <c:v>277.82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2778221.28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2778221.28</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266.38</c:v>
                </c:pt>
                <c:pt idx="1">
                  <c:v>266.38</c:v>
                </c:pt>
                <c:pt idx="2">
                  <c:v>266.38</c:v>
                </c:pt>
                <c:pt idx="3">
                  <c:v>266.38</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277.82</c:v>
                </c:pt>
                <c:pt idx="1">
                  <c:v>277.82</c:v>
                </c:pt>
                <c:pt idx="2">
                  <c:v>277.82</c:v>
                </c:pt>
                <c:pt idx="3">
                  <c:v>277.82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290.78</c:v>
                </c:pt>
                <c:pt idx="1">
                  <c:v>290.78</c:v>
                </c:pt>
                <c:pt idx="2">
                  <c:v>290.78</c:v>
                </c:pt>
                <c:pt idx="3">
                  <c:v>290.78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277.82</c:v>
                </c:pt>
                <c:pt idx="1">
                  <c:v>277.82</c:v>
                </c:pt>
                <c:pt idx="2">
                  <c:v>277.82</c:v>
                </c:pt>
                <c:pt idx="3">
                  <c:v>277.82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208.79</c:v>
                </c:pt>
                <c:pt idx="1">
                  <c:v>0</c:v>
                </c:pt>
                <c:pt idx="2">
                  <c:v>0</c:v>
                </c:pt>
                <c:pt idx="3">
                  <c:v>0</c:v>
                </c:pt>
                <c:pt idx="4">
                  <c:v>0</c:v>
                </c:pt>
                <c:pt idx="5">
                  <c:v>0</c:v>
                </c:pt>
                <c:pt idx="6">
                  <c:v>0</c:v>
                </c:pt>
                <c:pt idx="7">
                  <c:v>30.71</c:v>
                </c:pt>
                <c:pt idx="8">
                  <c:v>15.76</c:v>
                </c:pt>
                <c:pt idx="9">
                  <c:v>0</c:v>
                </c:pt>
                <c:pt idx="10">
                  <c:v>0</c:v>
                </c:pt>
                <c:pt idx="11">
                  <c:v>0</c:v>
                </c:pt>
                <c:pt idx="12">
                  <c:v>0</c:v>
                </c:pt>
                <c:pt idx="13">
                  <c:v>0</c:v>
                </c:pt>
                <c:pt idx="14">
                  <c:v>0</c:v>
                </c:pt>
                <c:pt idx="15">
                  <c:v>0</c:v>
                </c:pt>
                <c:pt idx="16">
                  <c:v>0</c:v>
                </c:pt>
                <c:pt idx="17">
                  <c:v>0</c:v>
                </c:pt>
                <c:pt idx="18">
                  <c:v>22.56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611</Words>
  <Characters>2169</Characters>
  <Lines>86</Lines>
  <Paragraphs>24</Paragraphs>
  <TotalTime>26</TotalTime>
  <ScaleCrop>false</ScaleCrop>
  <LinksUpToDate>false</LinksUpToDate>
  <CharactersWithSpaces>2170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2023-08-04T23:55:00Z</dcterms:created>
  <dc:creator>王明新TIAD</dc:creator>
  <cp:lastModifiedBy>uos</cp:lastModifiedBy>
  <cp:lastPrinted>2023-08-04T17:00:00Z</cp:lastPrinted>
  <dcterms:modified xsi:type="dcterms:W3CDTF">2025-09-18T14:52:06Z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