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316001</w:t>
      </w:r>
    </w:p>
    <w:p w14:paraId="7533B336">
      <w:pPr>
        <w:spacing w:line="600" w:lineRule="auto"/>
        <w:jc w:val="left"/>
        <w:rPr>
          <w:rFonts w:hint="eastAsia" w:ascii="楷体_GB2312" w:hAnsi="楷体_GB2312" w:eastAsia="楷体_GB2312" w:cs="楷体_GB2312"/>
          <w:color w:val="000000"/>
          <w:sz w:val="40"/>
          <w:szCs w:val="40"/>
          <w:lang w:eastAsia="zh-CN"/>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：中共石家庄市鹿泉区委机构编制委员会办公室</w:t>
      </w:r>
      <w:r>
        <w:rPr>
          <w:rFonts w:hint="eastAsia" w:ascii="楷体_GB2312" w:hAnsi="楷体_GB2312" w:eastAsia="楷体_GB2312" w:cs="楷体_GB2312"/>
          <w:color w:val="000000"/>
          <w:sz w:val="40"/>
          <w:szCs w:val="40"/>
          <w:lang w:eastAsia="zh-CN"/>
        </w:rPr>
        <w:t>（本级）</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20F557EC">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中共石家庄市鹿泉区委机构编制委员会办公室</w:t>
      </w:r>
      <w:r>
        <w:rPr>
          <w:rFonts w:hint="eastAsia" w:ascii="Times New Roman" w:eastAsia="方正小标宋_GBK"/>
          <w:b w:val="0"/>
          <w:sz w:val="72"/>
          <w:szCs w:val="72"/>
          <w:lang w:eastAsia="zh-CN"/>
        </w:rPr>
        <w:t>（</w:t>
      </w:r>
      <w:r>
        <w:rPr>
          <w:rFonts w:ascii="Times New Roman" w:eastAsia="方正小标宋_GBK"/>
          <w:b w:val="0"/>
          <w:sz w:val="72"/>
          <w:szCs w:val="72"/>
        </w:rPr>
        <w:t>本级</w:t>
      </w:r>
      <w:r>
        <w:rPr>
          <w:rFonts w:hint="eastAsia" w:ascii="Times New Roman" w:eastAsia="方正小标宋_GBK"/>
          <w:b w:val="0"/>
          <w:sz w:val="72"/>
          <w:szCs w:val="72"/>
          <w:lang w:eastAsia="zh-CN"/>
        </w:rPr>
        <w:t>）</w:t>
      </w:r>
    </w:p>
    <w:p w14:paraId="6202F336">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w:t>
      </w:r>
      <w:bookmarkStart w:id="0" w:name="_GoBack"/>
      <w:bookmarkEnd w:id="0"/>
      <w:r>
        <w:rPr>
          <w:rFonts w:ascii="Times New Roman" w:eastAsia="方正小标宋_GBK"/>
          <w:b w:val="0"/>
          <w:sz w:val="72"/>
          <w:szCs w:val="72"/>
        </w:rPr>
        <w:t>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08686D34">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中共石家庄市鹿泉区委机构编制委员会办公室(本级)(单位名称，加盖公章）</w:t>
      </w:r>
    </w:p>
    <w:p w14:paraId="4BFB6623">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3B341B2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4F3BAFFE">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14:paraId="7539772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737EE2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60F5E9BC">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3B72330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6AA887C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3EFCB7A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033D0D3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0B67D20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6248F0B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09664A0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3B04B75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13E8DEC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4F70D603">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5B03FF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6C291A5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7236081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199B4DC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45E5C5A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00D044A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14F1D48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52995AC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25A08A6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211D946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2B8C1EF5">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0B7C01B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14:paraId="75E3D8C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61037491">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eastAsia="zh-CN"/>
        </w:rPr>
        <w:t>（一）</w:t>
      </w:r>
      <w:r>
        <w:rPr>
          <w:rFonts w:ascii="Times New Roman" w:eastAsia="仿宋_GB2312"/>
          <w:b w:val="0"/>
          <w:sz w:val="32"/>
          <w:szCs w:val="32"/>
        </w:rPr>
        <w:t>贯彻落实党中央和省、市、区委关于行政管理体制和机构改革以及机构编制管理的政策法规，执行相关政策规定和地方性法规、规章等规范性文件并监督实施。管理和指导区纪委监委机关及其派驻机构、区委各机关、区人大机关、区政府各部门、区政协机关、人民团体区级机关（以下简称“党政群机关”），以及事业单位机构编制工作。组织开展行政管理体制改革、事业 单位管理体制改革及机构编制工作基础性、创新性和前瞻性研究。 ​</w:t>
      </w:r>
    </w:p>
    <w:p w14:paraId="58468B2E">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（二）组织拟订全区行政管理体制改革和区委、区</w:t>
      </w:r>
    </w:p>
    <w:p w14:paraId="19B11CA5">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政府机构改革方案并组织实施。负责全区行政管理体制</w:t>
      </w:r>
    </w:p>
    <w:p w14:paraId="489451D7">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和机构改革以及机构编制管理工作；负责行政执法体制</w:t>
      </w:r>
    </w:p>
    <w:p w14:paraId="298B529D">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改革工作。</w:t>
      </w:r>
    </w:p>
    <w:p w14:paraId="1A34A292">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（三）按照规定权限，负责区级党政群机关以及部</w:t>
      </w:r>
    </w:p>
    <w:p w14:paraId="60C111EB">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门派出机构的职能配置、机构设置、人员编制和领导职</w:t>
      </w:r>
    </w:p>
    <w:p w14:paraId="0EA8D6E4">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数管理工作；负责协调区委、区政府各部门职能配置及</w:t>
      </w:r>
    </w:p>
    <w:p w14:paraId="709C4E3D">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其调整，协调区委、区政府各部门之间以及区直部门与</w:t>
      </w:r>
    </w:p>
    <w:p w14:paraId="06012442">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乡（镇、区）之间职责分工。</w:t>
      </w:r>
    </w:p>
    <w:p w14:paraId="471B253C">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（四）组织拟订全区事业单位管理体制改革和机构</w:t>
      </w:r>
    </w:p>
    <w:p w14:paraId="3CA21EA0">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改革方案。拟订各类事业单位人员编制管理办法并组织</w:t>
      </w:r>
    </w:p>
    <w:p w14:paraId="30E94688">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实施。按照规定权限，负责区委、区政府直属事业单位</w:t>
      </w:r>
    </w:p>
    <w:p w14:paraId="0D213308">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和区直部门所属事业单位的职能配置、机构设置、人员编制和领导职数管理工作。</w:t>
      </w:r>
    </w:p>
    <w:p w14:paraId="3DD494AE">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（五）负责各乡（镇）的行政管理体制改革、事业</w:t>
      </w:r>
    </w:p>
    <w:p w14:paraId="67105503">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单位管理体制改革和机构改革工作，审核上报机构改革</w:t>
      </w:r>
    </w:p>
    <w:p w14:paraId="3CB897E3">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方案。审核上报各乡（镇）机构编制分类。</w:t>
      </w:r>
    </w:p>
    <w:p w14:paraId="56B4B8EB">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（六）负责全区党政群机关统一社会信用代码赋码</w:t>
      </w:r>
    </w:p>
    <w:p w14:paraId="6B388D86">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管理工作，负责全区事业单位法人登记管理和监督检查</w:t>
      </w:r>
    </w:p>
    <w:p w14:paraId="2FEE1502">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工作。</w:t>
      </w:r>
    </w:p>
    <w:p w14:paraId="5D2994AD">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（七）负责全区开发区（园区）行政管理体制改革</w:t>
      </w:r>
    </w:p>
    <w:p w14:paraId="44C83571">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工作。贯彻落实开发区（园区）机构编制管理办法；负责全区开发区（园区）职能配置、机构设置、人员编制和领导职数审核及上报工作。</w:t>
      </w:r>
    </w:p>
    <w:p w14:paraId="2C1E869D">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（八）负责全区机构编制的总量控制、动态管理。</w:t>
      </w:r>
    </w:p>
    <w:p w14:paraId="4F0C984E">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组织拟订区本级年度编制使用计划，审核全区机关事业</w:t>
      </w:r>
    </w:p>
    <w:p w14:paraId="21923935">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单位招录、招聘和政策性安置等计划；负责全区机关事</w:t>
      </w:r>
    </w:p>
    <w:p w14:paraId="6A2C4D7B">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业单位编制使用核准；负责机构编制实名制管理工作；</w:t>
      </w:r>
    </w:p>
    <w:p w14:paraId="303003BC">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建立健全机构编制部门与有关部门的协调配合约束机</w:t>
      </w:r>
    </w:p>
    <w:p w14:paraId="03B9261F">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制。</w:t>
      </w:r>
    </w:p>
    <w:p w14:paraId="13173CCE">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（九）负责跟踪评估、监督检查全区行政、事业单</w:t>
      </w:r>
    </w:p>
    <w:p w14:paraId="7BA942BE">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位管理体制改革、机构改革及机构编制政策执行情况；</w:t>
      </w:r>
    </w:p>
    <w:p w14:paraId="4E802F03">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负责受理违反机构编制法规、纪律的检举、控告和投诉，</w:t>
      </w:r>
    </w:p>
    <w:p w14:paraId="5AF7A638">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对违反机构编制法规、纪律问题进行调查处理。</w:t>
      </w:r>
    </w:p>
    <w:p w14:paraId="6D49FA22">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（十）负责全区机构编制电子政务和信息化工作。</w:t>
      </w:r>
    </w:p>
    <w:p w14:paraId="5AD9F77C">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负责全区机构编制统计工作；负责机构编制网站的管理、使用和维护；负责党政群机关、事业单位网上名称管理</w:t>
      </w:r>
    </w:p>
    <w:p w14:paraId="52A5AF57">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工作。</w:t>
      </w:r>
    </w:p>
    <w:p w14:paraId="39F192AE">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（十一）完成区委、区政府和区委机构编制委员会</w:t>
      </w:r>
    </w:p>
    <w:p w14:paraId="3FC774E1">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交办的其他任务。</w:t>
      </w:r>
    </w:p>
    <w:p w14:paraId="14DC02B8">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（十二）有关职责分工。区委编办负责全区公益类</w:t>
      </w:r>
    </w:p>
    <w:p w14:paraId="475D016D">
      <w:pPr>
        <w:widowControl/>
        <w:spacing w:before="0" w:beforeLines="0" w:beforeAutospacing="0" w:after="0" w:afterLines="0" w:afterAutospacing="0" w:line="360" w:lineRule="auto"/>
        <w:jc w:val="left"/>
        <w:rPr>
          <w:rFonts w:hint="eastAsia" w:ascii="Times New Roman" w:eastAsia="仿宋_GB2312"/>
          <w:b w:val="0"/>
          <w:sz w:val="32"/>
          <w:szCs w:val="32"/>
        </w:rPr>
      </w:pPr>
      <w:r>
        <w:rPr>
          <w:rFonts w:hint="eastAsia" w:ascii="Times New Roman" w:eastAsia="仿宋_GB2312"/>
          <w:b w:val="0"/>
          <w:sz w:val="32"/>
          <w:szCs w:val="32"/>
        </w:rPr>
        <w:t>事业单位管理体制改革工作。区发展和改革局负责生产</w:t>
      </w:r>
    </w:p>
    <w:p w14:paraId="4616C2E8">
      <w:pPr>
        <w:widowControl/>
        <w:spacing w:before="0" w:beforeLines="0" w:beforeAutospacing="0" w:after="0" w:afterLines="0" w:afterAutospacing="0" w:line="360" w:lineRule="auto"/>
        <w:jc w:val="left"/>
        <w:rPr>
          <w:rFonts w:ascii="Times New Roman" w:eastAsia="仿宋_GB2312"/>
          <w:b w:val="0"/>
          <w:sz w:val="32"/>
          <w:szCs w:val="32"/>
        </w:rPr>
      </w:pPr>
      <w:r>
        <w:rPr>
          <w:rFonts w:hint="eastAsia" w:ascii="Times New Roman" w:eastAsia="仿宋_GB2312"/>
          <w:b w:val="0"/>
          <w:sz w:val="32"/>
          <w:szCs w:val="32"/>
        </w:rPr>
        <w:t>经营类事业单位管理体制改革工作。</w:t>
      </w:r>
    </w:p>
    <w:p w14:paraId="71315E3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2AA5F89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hint="eastAsia" w:ascii="Times New Roman" w:eastAsia="仿宋_GB2312"/>
          <w:b w:val="0"/>
          <w:sz w:val="32"/>
          <w:szCs w:val="32"/>
        </w:rPr>
        <w:t>从决算编报单位构成看，纳入2024年度本部门决算汇编范围的独立核算单位（以下简称“单位”）共1个，</w:t>
      </w:r>
      <w:r>
        <w:rPr>
          <w:rFonts w:ascii="Times New Roman" w:eastAsia="仿宋_GB2312"/>
          <w:b w:val="0"/>
          <w:sz w:val="32"/>
          <w:szCs w:val="32"/>
        </w:rPr>
        <w:t>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中共石家庄市鹿泉区委机构编制委员会办公室(本级)</w:t>
            </w:r>
          </w:p>
        </w:tc>
        <w:tc>
          <w:tcPr>
            <w:tcW w:w="2445" w:type="dxa"/>
          </w:tcPr>
          <w:p w14:paraId="2E443189">
            <w:pPr>
              <w:spacing w:line="720" w:lineRule="auto"/>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177FBC85">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部门（单位）：中共石家庄市鹿泉区委机构编制委员会办公室(本级)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208.79</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30.71</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15.76</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22.56</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部门（单位）：中共石家庄市鹿泉区委机构编制委员会办公室(本级)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277.82</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277.82</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208.79</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208.79</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062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ADD3DF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20131</w:t>
            </w:r>
          </w:p>
        </w:tc>
        <w:tc>
          <w:tcPr>
            <w:tcW w:w="1160" w:type="dxa"/>
            <w:tcBorders>
              <w:top w:val="nil"/>
              <w:left w:val="nil"/>
              <w:bottom w:val="single" w:color="000000" w:sz="4" w:space="0"/>
              <w:right w:val="single" w:color="000000" w:sz="4" w:space="0"/>
            </w:tcBorders>
            <w:noWrap/>
            <w:vAlign w:val="center"/>
          </w:tcPr>
          <w:p w14:paraId="663EC17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党委办公厅（室）及相关机构事务</w:t>
            </w:r>
          </w:p>
        </w:tc>
        <w:tc>
          <w:tcPr>
            <w:tcW w:w="1037" w:type="dxa"/>
            <w:tcBorders>
              <w:top w:val="nil"/>
              <w:left w:val="nil"/>
              <w:bottom w:val="single" w:color="000000" w:sz="4" w:space="0"/>
              <w:right w:val="single" w:color="000000" w:sz="4" w:space="0"/>
            </w:tcBorders>
            <w:noWrap/>
            <w:vAlign w:val="center"/>
          </w:tcPr>
          <w:p w14:paraId="2DD53FA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208.79</w:t>
            </w:r>
          </w:p>
        </w:tc>
        <w:tc>
          <w:tcPr>
            <w:tcW w:w="1037" w:type="dxa"/>
            <w:tcBorders>
              <w:top w:val="nil"/>
              <w:left w:val="nil"/>
              <w:bottom w:val="single" w:color="000000" w:sz="4" w:space="0"/>
              <w:right w:val="single" w:color="000000" w:sz="4" w:space="0"/>
            </w:tcBorders>
            <w:noWrap/>
            <w:vAlign w:val="center"/>
          </w:tcPr>
          <w:p w14:paraId="293F81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208.79</w:t>
            </w:r>
          </w:p>
        </w:tc>
        <w:tc>
          <w:tcPr>
            <w:tcW w:w="1037" w:type="dxa"/>
            <w:tcBorders>
              <w:top w:val="nil"/>
              <w:left w:val="nil"/>
              <w:bottom w:val="single" w:color="000000" w:sz="4" w:space="0"/>
              <w:right w:val="single" w:color="000000" w:sz="4" w:space="0"/>
            </w:tcBorders>
            <w:noWrap/>
            <w:vAlign w:val="center"/>
          </w:tcPr>
          <w:p w14:paraId="4598FD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8E83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18717D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7DBB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ECCCD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2D87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083D53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2013101</w:t>
            </w:r>
          </w:p>
        </w:tc>
        <w:tc>
          <w:tcPr>
            <w:tcW w:w="1160" w:type="dxa"/>
            <w:tcBorders>
              <w:top w:val="nil"/>
              <w:left w:val="nil"/>
              <w:bottom w:val="single" w:color="000000" w:sz="4" w:space="0"/>
              <w:right w:val="single" w:color="000000" w:sz="4" w:space="0"/>
            </w:tcBorders>
            <w:noWrap/>
            <w:vAlign w:val="center"/>
          </w:tcPr>
          <w:p w14:paraId="20F09F5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14:paraId="1E70AC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208.79</w:t>
            </w:r>
          </w:p>
        </w:tc>
        <w:tc>
          <w:tcPr>
            <w:tcW w:w="1037" w:type="dxa"/>
            <w:tcBorders>
              <w:top w:val="nil"/>
              <w:left w:val="nil"/>
              <w:bottom w:val="single" w:color="000000" w:sz="4" w:space="0"/>
              <w:right w:val="single" w:color="000000" w:sz="4" w:space="0"/>
            </w:tcBorders>
            <w:noWrap/>
            <w:vAlign w:val="center"/>
          </w:tcPr>
          <w:p w14:paraId="7342A9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208.79</w:t>
            </w:r>
          </w:p>
        </w:tc>
        <w:tc>
          <w:tcPr>
            <w:tcW w:w="1037" w:type="dxa"/>
            <w:tcBorders>
              <w:top w:val="nil"/>
              <w:left w:val="nil"/>
              <w:bottom w:val="single" w:color="000000" w:sz="4" w:space="0"/>
              <w:right w:val="single" w:color="000000" w:sz="4" w:space="0"/>
            </w:tcBorders>
            <w:noWrap/>
            <w:vAlign w:val="center"/>
          </w:tcPr>
          <w:p w14:paraId="7BB916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BD87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29A1A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05F3C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00DC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B1BD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ABC07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0C01D2C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2CCB21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30.71</w:t>
            </w:r>
          </w:p>
        </w:tc>
        <w:tc>
          <w:tcPr>
            <w:tcW w:w="1037" w:type="dxa"/>
            <w:tcBorders>
              <w:top w:val="nil"/>
              <w:left w:val="nil"/>
              <w:bottom w:val="single" w:color="000000" w:sz="4" w:space="0"/>
              <w:right w:val="single" w:color="000000" w:sz="4" w:space="0"/>
            </w:tcBorders>
            <w:noWrap/>
            <w:vAlign w:val="center"/>
          </w:tcPr>
          <w:p w14:paraId="3114F1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30.71</w:t>
            </w:r>
          </w:p>
        </w:tc>
        <w:tc>
          <w:tcPr>
            <w:tcW w:w="1037" w:type="dxa"/>
            <w:tcBorders>
              <w:top w:val="nil"/>
              <w:left w:val="nil"/>
              <w:bottom w:val="single" w:color="000000" w:sz="4" w:space="0"/>
              <w:right w:val="single" w:color="000000" w:sz="4" w:space="0"/>
            </w:tcBorders>
            <w:noWrap/>
            <w:vAlign w:val="center"/>
          </w:tcPr>
          <w:p w14:paraId="7D58F2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5BDF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DAD91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03CE3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529A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3FCA4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7B7986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45BC62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284F66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30.71</w:t>
            </w:r>
          </w:p>
        </w:tc>
        <w:tc>
          <w:tcPr>
            <w:tcW w:w="1037" w:type="dxa"/>
            <w:tcBorders>
              <w:top w:val="nil"/>
              <w:left w:val="nil"/>
              <w:bottom w:val="single" w:color="000000" w:sz="4" w:space="0"/>
              <w:right w:val="single" w:color="000000" w:sz="4" w:space="0"/>
            </w:tcBorders>
            <w:noWrap/>
            <w:vAlign w:val="center"/>
          </w:tcPr>
          <w:p w14:paraId="60F5F0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30.71</w:t>
            </w:r>
          </w:p>
        </w:tc>
        <w:tc>
          <w:tcPr>
            <w:tcW w:w="1037" w:type="dxa"/>
            <w:tcBorders>
              <w:top w:val="nil"/>
              <w:left w:val="nil"/>
              <w:bottom w:val="single" w:color="000000" w:sz="4" w:space="0"/>
              <w:right w:val="single" w:color="000000" w:sz="4" w:space="0"/>
            </w:tcBorders>
            <w:noWrap/>
            <w:vAlign w:val="center"/>
          </w:tcPr>
          <w:p w14:paraId="28BBD3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402A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3C97F9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20014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6D0E7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C148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FA3DE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14:paraId="7C007B4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14:paraId="446CC2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7.61</w:t>
            </w:r>
          </w:p>
        </w:tc>
        <w:tc>
          <w:tcPr>
            <w:tcW w:w="1037" w:type="dxa"/>
            <w:tcBorders>
              <w:top w:val="nil"/>
              <w:left w:val="nil"/>
              <w:bottom w:val="single" w:color="000000" w:sz="4" w:space="0"/>
              <w:right w:val="single" w:color="000000" w:sz="4" w:space="0"/>
            </w:tcBorders>
            <w:noWrap/>
            <w:vAlign w:val="center"/>
          </w:tcPr>
          <w:p w14:paraId="470B1C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7.61</w:t>
            </w:r>
          </w:p>
        </w:tc>
        <w:tc>
          <w:tcPr>
            <w:tcW w:w="1037" w:type="dxa"/>
            <w:tcBorders>
              <w:top w:val="nil"/>
              <w:left w:val="nil"/>
              <w:bottom w:val="single" w:color="000000" w:sz="4" w:space="0"/>
              <w:right w:val="single" w:color="000000" w:sz="4" w:space="0"/>
            </w:tcBorders>
            <w:noWrap/>
            <w:vAlign w:val="center"/>
          </w:tcPr>
          <w:p w14:paraId="694597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379B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36F1B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5C5A0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76A5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EB1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3370BE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72A3742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1FA122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23.11</w:t>
            </w:r>
          </w:p>
        </w:tc>
        <w:tc>
          <w:tcPr>
            <w:tcW w:w="1037" w:type="dxa"/>
            <w:tcBorders>
              <w:top w:val="nil"/>
              <w:left w:val="nil"/>
              <w:bottom w:val="single" w:color="000000" w:sz="4" w:space="0"/>
              <w:right w:val="single" w:color="000000" w:sz="4" w:space="0"/>
            </w:tcBorders>
            <w:noWrap/>
            <w:vAlign w:val="center"/>
          </w:tcPr>
          <w:p w14:paraId="07082C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23.11</w:t>
            </w:r>
          </w:p>
        </w:tc>
        <w:tc>
          <w:tcPr>
            <w:tcW w:w="1037" w:type="dxa"/>
            <w:tcBorders>
              <w:top w:val="nil"/>
              <w:left w:val="nil"/>
              <w:bottom w:val="single" w:color="000000" w:sz="4" w:space="0"/>
              <w:right w:val="single" w:color="000000" w:sz="4" w:space="0"/>
            </w:tcBorders>
            <w:noWrap/>
            <w:vAlign w:val="center"/>
          </w:tcPr>
          <w:p w14:paraId="625575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07A60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EAC29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48976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169C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6DC13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C31E1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7001BC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5AD87D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15.76</w:t>
            </w:r>
          </w:p>
        </w:tc>
        <w:tc>
          <w:tcPr>
            <w:tcW w:w="1037" w:type="dxa"/>
            <w:tcBorders>
              <w:top w:val="nil"/>
              <w:left w:val="nil"/>
              <w:bottom w:val="single" w:color="000000" w:sz="4" w:space="0"/>
              <w:right w:val="single" w:color="000000" w:sz="4" w:space="0"/>
            </w:tcBorders>
            <w:noWrap/>
            <w:vAlign w:val="center"/>
          </w:tcPr>
          <w:p w14:paraId="49C374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15.76</w:t>
            </w:r>
          </w:p>
        </w:tc>
        <w:tc>
          <w:tcPr>
            <w:tcW w:w="1037" w:type="dxa"/>
            <w:tcBorders>
              <w:top w:val="nil"/>
              <w:left w:val="nil"/>
              <w:bottom w:val="single" w:color="000000" w:sz="4" w:space="0"/>
              <w:right w:val="single" w:color="000000" w:sz="4" w:space="0"/>
            </w:tcBorders>
            <w:noWrap/>
            <w:vAlign w:val="center"/>
          </w:tcPr>
          <w:p w14:paraId="16D9B8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42727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52D15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3F3D7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7E07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E9E8F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72A61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5DE63B4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0CC52A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15.76</w:t>
            </w:r>
          </w:p>
        </w:tc>
        <w:tc>
          <w:tcPr>
            <w:tcW w:w="1037" w:type="dxa"/>
            <w:tcBorders>
              <w:top w:val="nil"/>
              <w:left w:val="nil"/>
              <w:bottom w:val="single" w:color="000000" w:sz="4" w:space="0"/>
              <w:right w:val="single" w:color="000000" w:sz="4" w:space="0"/>
            </w:tcBorders>
            <w:noWrap/>
            <w:vAlign w:val="center"/>
          </w:tcPr>
          <w:p w14:paraId="3034F00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15.76</w:t>
            </w:r>
          </w:p>
        </w:tc>
        <w:tc>
          <w:tcPr>
            <w:tcW w:w="1037" w:type="dxa"/>
            <w:tcBorders>
              <w:top w:val="nil"/>
              <w:left w:val="nil"/>
              <w:bottom w:val="single" w:color="000000" w:sz="4" w:space="0"/>
              <w:right w:val="single" w:color="000000" w:sz="4" w:space="0"/>
            </w:tcBorders>
            <w:noWrap/>
            <w:vAlign w:val="center"/>
          </w:tcPr>
          <w:p w14:paraId="6D07AA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06A3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75476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68624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5712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863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4B7F7E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14:paraId="394939B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14:paraId="142E6A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15.76</w:t>
            </w:r>
          </w:p>
        </w:tc>
        <w:tc>
          <w:tcPr>
            <w:tcW w:w="1037" w:type="dxa"/>
            <w:tcBorders>
              <w:top w:val="nil"/>
              <w:left w:val="nil"/>
              <w:bottom w:val="single" w:color="000000" w:sz="4" w:space="0"/>
              <w:right w:val="single" w:color="000000" w:sz="4" w:space="0"/>
            </w:tcBorders>
            <w:noWrap/>
            <w:vAlign w:val="center"/>
          </w:tcPr>
          <w:p w14:paraId="5513D1E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15.76</w:t>
            </w:r>
          </w:p>
        </w:tc>
        <w:tc>
          <w:tcPr>
            <w:tcW w:w="1037" w:type="dxa"/>
            <w:tcBorders>
              <w:top w:val="nil"/>
              <w:left w:val="nil"/>
              <w:bottom w:val="single" w:color="000000" w:sz="4" w:space="0"/>
              <w:right w:val="single" w:color="000000" w:sz="4" w:space="0"/>
            </w:tcBorders>
            <w:noWrap/>
            <w:vAlign w:val="center"/>
          </w:tcPr>
          <w:p w14:paraId="71744E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EAC74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68300E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94562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CF751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6E03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D2B8E3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328C5E3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7ACD72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22.56</w:t>
            </w:r>
          </w:p>
        </w:tc>
        <w:tc>
          <w:tcPr>
            <w:tcW w:w="1037" w:type="dxa"/>
            <w:tcBorders>
              <w:top w:val="nil"/>
              <w:left w:val="nil"/>
              <w:bottom w:val="single" w:color="000000" w:sz="4" w:space="0"/>
              <w:right w:val="single" w:color="000000" w:sz="4" w:space="0"/>
            </w:tcBorders>
            <w:noWrap/>
            <w:vAlign w:val="center"/>
          </w:tcPr>
          <w:p w14:paraId="5C7FA9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22.56</w:t>
            </w:r>
          </w:p>
        </w:tc>
        <w:tc>
          <w:tcPr>
            <w:tcW w:w="1037" w:type="dxa"/>
            <w:tcBorders>
              <w:top w:val="nil"/>
              <w:left w:val="nil"/>
              <w:bottom w:val="single" w:color="000000" w:sz="4" w:space="0"/>
              <w:right w:val="single" w:color="000000" w:sz="4" w:space="0"/>
            </w:tcBorders>
            <w:noWrap/>
            <w:vAlign w:val="center"/>
          </w:tcPr>
          <w:p w14:paraId="17694D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C8D1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92EA2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BCAAA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6F71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6A0F3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9555A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38DE836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646FE0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22.56</w:t>
            </w:r>
          </w:p>
        </w:tc>
        <w:tc>
          <w:tcPr>
            <w:tcW w:w="1037" w:type="dxa"/>
            <w:tcBorders>
              <w:top w:val="nil"/>
              <w:left w:val="nil"/>
              <w:bottom w:val="single" w:color="000000" w:sz="4" w:space="0"/>
              <w:right w:val="single" w:color="000000" w:sz="4" w:space="0"/>
            </w:tcBorders>
            <w:noWrap/>
            <w:vAlign w:val="center"/>
          </w:tcPr>
          <w:p w14:paraId="370360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22.56</w:t>
            </w:r>
          </w:p>
        </w:tc>
        <w:tc>
          <w:tcPr>
            <w:tcW w:w="1037" w:type="dxa"/>
            <w:tcBorders>
              <w:top w:val="nil"/>
              <w:left w:val="nil"/>
              <w:bottom w:val="single" w:color="000000" w:sz="4" w:space="0"/>
              <w:right w:val="single" w:color="000000" w:sz="4" w:space="0"/>
            </w:tcBorders>
            <w:noWrap/>
            <w:vAlign w:val="center"/>
          </w:tcPr>
          <w:p w14:paraId="5294D4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1B09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9C8CB8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5979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38DD3A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AFA31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743A29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1C8D889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72A5B6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22.56</w:t>
            </w:r>
          </w:p>
        </w:tc>
        <w:tc>
          <w:tcPr>
            <w:tcW w:w="1037" w:type="dxa"/>
            <w:tcBorders>
              <w:top w:val="nil"/>
              <w:left w:val="nil"/>
              <w:bottom w:val="single" w:color="000000" w:sz="4" w:space="0"/>
              <w:right w:val="single" w:color="000000" w:sz="4" w:space="0"/>
            </w:tcBorders>
            <w:noWrap/>
            <w:vAlign w:val="center"/>
          </w:tcPr>
          <w:p w14:paraId="6D5EC6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22.56</w:t>
            </w:r>
          </w:p>
        </w:tc>
        <w:tc>
          <w:tcPr>
            <w:tcW w:w="1037" w:type="dxa"/>
            <w:tcBorders>
              <w:top w:val="nil"/>
              <w:left w:val="nil"/>
              <w:bottom w:val="single" w:color="000000" w:sz="4" w:space="0"/>
              <w:right w:val="single" w:color="000000" w:sz="4" w:space="0"/>
            </w:tcBorders>
            <w:noWrap/>
            <w:vAlign w:val="center"/>
          </w:tcPr>
          <w:p w14:paraId="390F6B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A25E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49D95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66B86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AED47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部门（单位）：中共石家庄市鹿泉区委机构编制委员会办公室(本级)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074756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F7A5C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w:t>
            </w:r>
          </w:p>
        </w:tc>
        <w:tc>
          <w:tcPr>
            <w:tcW w:w="635" w:type="pct"/>
            <w:tcBorders>
              <w:top w:val="nil"/>
              <w:left w:val="nil"/>
              <w:bottom w:val="single" w:color="000000" w:sz="4" w:space="0"/>
              <w:right w:val="single" w:color="000000" w:sz="4" w:space="0"/>
            </w:tcBorders>
            <w:noWrap/>
            <w:vAlign w:val="center"/>
          </w:tcPr>
          <w:p w14:paraId="7B7ACC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党委办公厅（室）及相关机构事务</w:t>
            </w:r>
          </w:p>
        </w:tc>
        <w:tc>
          <w:tcPr>
            <w:tcW w:w="603" w:type="pct"/>
            <w:tcBorders>
              <w:top w:val="nil"/>
              <w:left w:val="nil"/>
              <w:bottom w:val="single" w:color="000000" w:sz="4" w:space="0"/>
              <w:right w:val="single" w:color="000000" w:sz="4" w:space="0"/>
            </w:tcBorders>
            <w:noWrap/>
            <w:vAlign w:val="center"/>
          </w:tcPr>
          <w:p w14:paraId="21F441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602" w:type="pct"/>
            <w:gridSpan w:val="2"/>
            <w:tcBorders>
              <w:top w:val="nil"/>
              <w:left w:val="nil"/>
              <w:bottom w:val="single" w:color="000000" w:sz="4" w:space="0"/>
              <w:right w:val="single" w:color="000000" w:sz="4" w:space="0"/>
            </w:tcBorders>
            <w:noWrap/>
            <w:vAlign w:val="center"/>
          </w:tcPr>
          <w:p w14:paraId="361A56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602" w:type="pct"/>
            <w:tcBorders>
              <w:top w:val="nil"/>
              <w:left w:val="nil"/>
              <w:bottom w:val="single" w:color="000000" w:sz="4" w:space="0"/>
              <w:right w:val="single" w:color="000000" w:sz="4" w:space="0"/>
            </w:tcBorders>
            <w:noWrap/>
            <w:vAlign w:val="center"/>
          </w:tcPr>
          <w:p w14:paraId="76EB8EB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3450B7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0A31F5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11B2108">
            <w:pPr>
              <w:jc w:val="right"/>
              <w:rPr>
                <w:rFonts w:hint="default" w:ascii="Times New Roman" w:hAnsi="Times New Roman" w:eastAsia="宋体" w:cs="Times New Roman"/>
                <w:i w:val="0"/>
                <w:iCs w:val="0"/>
                <w:color w:val="000000"/>
                <w:sz w:val="20"/>
                <w:szCs w:val="20"/>
                <w:highlight w:val="none"/>
                <w:u w:val="none"/>
              </w:rPr>
            </w:pPr>
          </w:p>
        </w:tc>
      </w:tr>
      <w:tr w14:paraId="7234EA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E3FF8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2013101</w:t>
            </w:r>
          </w:p>
        </w:tc>
        <w:tc>
          <w:tcPr>
            <w:tcW w:w="635" w:type="pct"/>
            <w:tcBorders>
              <w:top w:val="nil"/>
              <w:left w:val="nil"/>
              <w:bottom w:val="single" w:color="000000" w:sz="4" w:space="0"/>
              <w:right w:val="single" w:color="000000" w:sz="4" w:space="0"/>
            </w:tcBorders>
            <w:noWrap/>
            <w:vAlign w:val="center"/>
          </w:tcPr>
          <w:p w14:paraId="00E4E7B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47DF58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602" w:type="pct"/>
            <w:gridSpan w:val="2"/>
            <w:tcBorders>
              <w:top w:val="nil"/>
              <w:left w:val="nil"/>
              <w:bottom w:val="single" w:color="000000" w:sz="4" w:space="0"/>
              <w:right w:val="single" w:color="000000" w:sz="4" w:space="0"/>
            </w:tcBorders>
            <w:noWrap/>
            <w:vAlign w:val="center"/>
          </w:tcPr>
          <w:p w14:paraId="56CFAE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602" w:type="pct"/>
            <w:tcBorders>
              <w:top w:val="nil"/>
              <w:left w:val="nil"/>
              <w:bottom w:val="single" w:color="000000" w:sz="4" w:space="0"/>
              <w:right w:val="single" w:color="000000" w:sz="4" w:space="0"/>
            </w:tcBorders>
            <w:noWrap/>
            <w:vAlign w:val="center"/>
          </w:tcPr>
          <w:p w14:paraId="4CC7CF2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F542F6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82D1CA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90A6225">
            <w:pPr>
              <w:jc w:val="right"/>
              <w:rPr>
                <w:rFonts w:hint="default" w:ascii="Times New Roman" w:hAnsi="Times New Roman" w:eastAsia="宋体" w:cs="Times New Roman"/>
                <w:i w:val="0"/>
                <w:iCs w:val="0"/>
                <w:color w:val="000000"/>
                <w:sz w:val="20"/>
                <w:szCs w:val="20"/>
                <w:highlight w:val="none"/>
                <w:u w:val="none"/>
              </w:rPr>
            </w:pPr>
          </w:p>
        </w:tc>
      </w:tr>
      <w:tr w14:paraId="4D77DF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875E7E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782F89E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623546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30.71</w:t>
            </w:r>
          </w:p>
        </w:tc>
        <w:tc>
          <w:tcPr>
            <w:tcW w:w="602" w:type="pct"/>
            <w:gridSpan w:val="2"/>
            <w:tcBorders>
              <w:top w:val="nil"/>
              <w:left w:val="nil"/>
              <w:bottom w:val="single" w:color="000000" w:sz="4" w:space="0"/>
              <w:right w:val="single" w:color="000000" w:sz="4" w:space="0"/>
            </w:tcBorders>
            <w:noWrap/>
            <w:vAlign w:val="center"/>
          </w:tcPr>
          <w:p w14:paraId="48C65B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30.71</w:t>
            </w:r>
          </w:p>
        </w:tc>
        <w:tc>
          <w:tcPr>
            <w:tcW w:w="602" w:type="pct"/>
            <w:tcBorders>
              <w:top w:val="nil"/>
              <w:left w:val="nil"/>
              <w:bottom w:val="single" w:color="000000" w:sz="4" w:space="0"/>
              <w:right w:val="single" w:color="000000" w:sz="4" w:space="0"/>
            </w:tcBorders>
            <w:noWrap/>
            <w:vAlign w:val="center"/>
          </w:tcPr>
          <w:p w14:paraId="331B4C4B">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BBEBDD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638AAD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7A79D7F">
            <w:pPr>
              <w:jc w:val="right"/>
              <w:rPr>
                <w:rFonts w:hint="default" w:ascii="Times New Roman" w:hAnsi="Times New Roman" w:eastAsia="宋体" w:cs="Times New Roman"/>
                <w:i w:val="0"/>
                <w:iCs w:val="0"/>
                <w:color w:val="000000"/>
                <w:sz w:val="20"/>
                <w:szCs w:val="20"/>
                <w:highlight w:val="none"/>
                <w:u w:val="none"/>
              </w:rPr>
            </w:pPr>
          </w:p>
        </w:tc>
      </w:tr>
      <w:tr w14:paraId="20214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01847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593D77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27211E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30.71</w:t>
            </w:r>
          </w:p>
        </w:tc>
        <w:tc>
          <w:tcPr>
            <w:tcW w:w="602" w:type="pct"/>
            <w:gridSpan w:val="2"/>
            <w:tcBorders>
              <w:top w:val="nil"/>
              <w:left w:val="nil"/>
              <w:bottom w:val="single" w:color="000000" w:sz="4" w:space="0"/>
              <w:right w:val="single" w:color="000000" w:sz="4" w:space="0"/>
            </w:tcBorders>
            <w:noWrap/>
            <w:vAlign w:val="center"/>
          </w:tcPr>
          <w:p w14:paraId="037D65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30.71</w:t>
            </w:r>
          </w:p>
        </w:tc>
        <w:tc>
          <w:tcPr>
            <w:tcW w:w="602" w:type="pct"/>
            <w:tcBorders>
              <w:top w:val="nil"/>
              <w:left w:val="nil"/>
              <w:bottom w:val="single" w:color="000000" w:sz="4" w:space="0"/>
              <w:right w:val="single" w:color="000000" w:sz="4" w:space="0"/>
            </w:tcBorders>
            <w:noWrap/>
            <w:vAlign w:val="center"/>
          </w:tcPr>
          <w:p w14:paraId="0DB478C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C37DCA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17767E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E671159">
            <w:pPr>
              <w:jc w:val="right"/>
              <w:rPr>
                <w:rFonts w:hint="default" w:ascii="Times New Roman" w:hAnsi="Times New Roman" w:eastAsia="宋体" w:cs="Times New Roman"/>
                <w:i w:val="0"/>
                <w:iCs w:val="0"/>
                <w:color w:val="000000"/>
                <w:sz w:val="20"/>
                <w:szCs w:val="20"/>
                <w:highlight w:val="none"/>
                <w:u w:val="none"/>
              </w:rPr>
            </w:pPr>
          </w:p>
        </w:tc>
      </w:tr>
      <w:tr w14:paraId="3E195E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E054C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14:paraId="03AFFB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14:paraId="452DED4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7.61</w:t>
            </w:r>
          </w:p>
        </w:tc>
        <w:tc>
          <w:tcPr>
            <w:tcW w:w="602" w:type="pct"/>
            <w:gridSpan w:val="2"/>
            <w:tcBorders>
              <w:top w:val="nil"/>
              <w:left w:val="nil"/>
              <w:bottom w:val="single" w:color="000000" w:sz="4" w:space="0"/>
              <w:right w:val="single" w:color="000000" w:sz="4" w:space="0"/>
            </w:tcBorders>
            <w:noWrap/>
            <w:vAlign w:val="center"/>
          </w:tcPr>
          <w:p w14:paraId="0D9F91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7.61</w:t>
            </w:r>
          </w:p>
        </w:tc>
        <w:tc>
          <w:tcPr>
            <w:tcW w:w="602" w:type="pct"/>
            <w:tcBorders>
              <w:top w:val="nil"/>
              <w:left w:val="nil"/>
              <w:bottom w:val="single" w:color="000000" w:sz="4" w:space="0"/>
              <w:right w:val="single" w:color="000000" w:sz="4" w:space="0"/>
            </w:tcBorders>
            <w:noWrap/>
            <w:vAlign w:val="center"/>
          </w:tcPr>
          <w:p w14:paraId="644E6AA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53A4F6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2E1314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A090956">
            <w:pPr>
              <w:jc w:val="right"/>
              <w:rPr>
                <w:rFonts w:hint="default" w:ascii="Times New Roman" w:hAnsi="Times New Roman" w:eastAsia="宋体" w:cs="Times New Roman"/>
                <w:i w:val="0"/>
                <w:iCs w:val="0"/>
                <w:color w:val="000000"/>
                <w:sz w:val="20"/>
                <w:szCs w:val="20"/>
                <w:highlight w:val="none"/>
                <w:u w:val="none"/>
              </w:rPr>
            </w:pPr>
          </w:p>
        </w:tc>
      </w:tr>
      <w:tr w14:paraId="627780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DC9D7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3AA16A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66DBCD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23.11</w:t>
            </w:r>
          </w:p>
        </w:tc>
        <w:tc>
          <w:tcPr>
            <w:tcW w:w="602" w:type="pct"/>
            <w:gridSpan w:val="2"/>
            <w:tcBorders>
              <w:top w:val="nil"/>
              <w:left w:val="nil"/>
              <w:bottom w:val="single" w:color="000000" w:sz="4" w:space="0"/>
              <w:right w:val="single" w:color="000000" w:sz="4" w:space="0"/>
            </w:tcBorders>
            <w:noWrap/>
            <w:vAlign w:val="center"/>
          </w:tcPr>
          <w:p w14:paraId="380A9B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23.11</w:t>
            </w:r>
          </w:p>
        </w:tc>
        <w:tc>
          <w:tcPr>
            <w:tcW w:w="602" w:type="pct"/>
            <w:tcBorders>
              <w:top w:val="nil"/>
              <w:left w:val="nil"/>
              <w:bottom w:val="single" w:color="000000" w:sz="4" w:space="0"/>
              <w:right w:val="single" w:color="000000" w:sz="4" w:space="0"/>
            </w:tcBorders>
            <w:noWrap/>
            <w:vAlign w:val="center"/>
          </w:tcPr>
          <w:p w14:paraId="63C19E9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365419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5B1ADA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71AB7E6">
            <w:pPr>
              <w:jc w:val="right"/>
              <w:rPr>
                <w:rFonts w:hint="default" w:ascii="Times New Roman" w:hAnsi="Times New Roman" w:eastAsia="宋体" w:cs="Times New Roman"/>
                <w:i w:val="0"/>
                <w:iCs w:val="0"/>
                <w:color w:val="000000"/>
                <w:sz w:val="20"/>
                <w:szCs w:val="20"/>
                <w:highlight w:val="none"/>
                <w:u w:val="none"/>
              </w:rPr>
            </w:pPr>
          </w:p>
        </w:tc>
      </w:tr>
      <w:tr w14:paraId="3BA5F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338D2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6B945F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4608BC8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602" w:type="pct"/>
            <w:gridSpan w:val="2"/>
            <w:tcBorders>
              <w:top w:val="nil"/>
              <w:left w:val="nil"/>
              <w:bottom w:val="single" w:color="000000" w:sz="4" w:space="0"/>
              <w:right w:val="single" w:color="000000" w:sz="4" w:space="0"/>
            </w:tcBorders>
            <w:noWrap/>
            <w:vAlign w:val="center"/>
          </w:tcPr>
          <w:p w14:paraId="217439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602" w:type="pct"/>
            <w:tcBorders>
              <w:top w:val="nil"/>
              <w:left w:val="nil"/>
              <w:bottom w:val="single" w:color="000000" w:sz="4" w:space="0"/>
              <w:right w:val="single" w:color="000000" w:sz="4" w:space="0"/>
            </w:tcBorders>
            <w:noWrap/>
            <w:vAlign w:val="center"/>
          </w:tcPr>
          <w:p w14:paraId="2FFDBE9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1A421A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3180CC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E5E2F35">
            <w:pPr>
              <w:jc w:val="right"/>
              <w:rPr>
                <w:rFonts w:hint="default" w:ascii="Times New Roman" w:hAnsi="Times New Roman" w:eastAsia="宋体" w:cs="Times New Roman"/>
                <w:i w:val="0"/>
                <w:iCs w:val="0"/>
                <w:color w:val="000000"/>
                <w:sz w:val="20"/>
                <w:szCs w:val="20"/>
                <w:highlight w:val="none"/>
                <w:u w:val="none"/>
              </w:rPr>
            </w:pPr>
          </w:p>
        </w:tc>
      </w:tr>
      <w:tr w14:paraId="12A2DC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4467C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349CAD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6BC364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602" w:type="pct"/>
            <w:gridSpan w:val="2"/>
            <w:tcBorders>
              <w:top w:val="nil"/>
              <w:left w:val="nil"/>
              <w:bottom w:val="single" w:color="000000" w:sz="4" w:space="0"/>
              <w:right w:val="single" w:color="000000" w:sz="4" w:space="0"/>
            </w:tcBorders>
            <w:noWrap/>
            <w:vAlign w:val="center"/>
          </w:tcPr>
          <w:p w14:paraId="0CB77D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602" w:type="pct"/>
            <w:tcBorders>
              <w:top w:val="nil"/>
              <w:left w:val="nil"/>
              <w:bottom w:val="single" w:color="000000" w:sz="4" w:space="0"/>
              <w:right w:val="single" w:color="000000" w:sz="4" w:space="0"/>
            </w:tcBorders>
            <w:noWrap/>
            <w:vAlign w:val="center"/>
          </w:tcPr>
          <w:p w14:paraId="0B7650D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A7C42C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28D0D8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BC7EA46">
            <w:pPr>
              <w:jc w:val="right"/>
              <w:rPr>
                <w:rFonts w:hint="default" w:ascii="Times New Roman" w:hAnsi="Times New Roman" w:eastAsia="宋体" w:cs="Times New Roman"/>
                <w:i w:val="0"/>
                <w:iCs w:val="0"/>
                <w:color w:val="000000"/>
                <w:sz w:val="20"/>
                <w:szCs w:val="20"/>
                <w:highlight w:val="none"/>
                <w:u w:val="none"/>
              </w:rPr>
            </w:pPr>
          </w:p>
        </w:tc>
      </w:tr>
      <w:tr w14:paraId="7BFD9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EF8C86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14:paraId="35CEF4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14:paraId="166300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602" w:type="pct"/>
            <w:gridSpan w:val="2"/>
            <w:tcBorders>
              <w:top w:val="nil"/>
              <w:left w:val="nil"/>
              <w:bottom w:val="single" w:color="000000" w:sz="4" w:space="0"/>
              <w:right w:val="single" w:color="000000" w:sz="4" w:space="0"/>
            </w:tcBorders>
            <w:noWrap/>
            <w:vAlign w:val="center"/>
          </w:tcPr>
          <w:p w14:paraId="51F24B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602" w:type="pct"/>
            <w:tcBorders>
              <w:top w:val="nil"/>
              <w:left w:val="nil"/>
              <w:bottom w:val="single" w:color="000000" w:sz="4" w:space="0"/>
              <w:right w:val="single" w:color="000000" w:sz="4" w:space="0"/>
            </w:tcBorders>
            <w:noWrap/>
            <w:vAlign w:val="center"/>
          </w:tcPr>
          <w:p w14:paraId="69E022B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97E5A05">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B69C6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70ED321">
            <w:pPr>
              <w:jc w:val="right"/>
              <w:rPr>
                <w:rFonts w:hint="default" w:ascii="Times New Roman" w:hAnsi="Times New Roman" w:eastAsia="宋体" w:cs="Times New Roman"/>
                <w:i w:val="0"/>
                <w:iCs w:val="0"/>
                <w:color w:val="000000"/>
                <w:sz w:val="20"/>
                <w:szCs w:val="20"/>
                <w:highlight w:val="none"/>
                <w:u w:val="none"/>
              </w:rPr>
            </w:pPr>
          </w:p>
        </w:tc>
      </w:tr>
      <w:tr w14:paraId="70CF96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0E803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77C64B8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527476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602" w:type="pct"/>
            <w:gridSpan w:val="2"/>
            <w:tcBorders>
              <w:top w:val="nil"/>
              <w:left w:val="nil"/>
              <w:bottom w:val="single" w:color="000000" w:sz="4" w:space="0"/>
              <w:right w:val="single" w:color="000000" w:sz="4" w:space="0"/>
            </w:tcBorders>
            <w:noWrap/>
            <w:vAlign w:val="center"/>
          </w:tcPr>
          <w:p w14:paraId="63A2EF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602" w:type="pct"/>
            <w:tcBorders>
              <w:top w:val="nil"/>
              <w:left w:val="nil"/>
              <w:bottom w:val="single" w:color="000000" w:sz="4" w:space="0"/>
              <w:right w:val="single" w:color="000000" w:sz="4" w:space="0"/>
            </w:tcBorders>
            <w:noWrap/>
            <w:vAlign w:val="center"/>
          </w:tcPr>
          <w:p w14:paraId="65AB476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CC4823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C90E85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E92A99B">
            <w:pPr>
              <w:jc w:val="right"/>
              <w:rPr>
                <w:rFonts w:hint="default" w:ascii="Times New Roman" w:hAnsi="Times New Roman" w:eastAsia="宋体" w:cs="Times New Roman"/>
                <w:i w:val="0"/>
                <w:iCs w:val="0"/>
                <w:color w:val="000000"/>
                <w:sz w:val="20"/>
                <w:szCs w:val="20"/>
                <w:highlight w:val="none"/>
                <w:u w:val="none"/>
              </w:rPr>
            </w:pPr>
          </w:p>
        </w:tc>
      </w:tr>
      <w:tr w14:paraId="3E475E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D0F67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3A8219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35A2A1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602" w:type="pct"/>
            <w:gridSpan w:val="2"/>
            <w:tcBorders>
              <w:top w:val="nil"/>
              <w:left w:val="nil"/>
              <w:bottom w:val="single" w:color="000000" w:sz="4" w:space="0"/>
              <w:right w:val="single" w:color="000000" w:sz="4" w:space="0"/>
            </w:tcBorders>
            <w:noWrap/>
            <w:vAlign w:val="center"/>
          </w:tcPr>
          <w:p w14:paraId="62F444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602" w:type="pct"/>
            <w:tcBorders>
              <w:top w:val="nil"/>
              <w:left w:val="nil"/>
              <w:bottom w:val="single" w:color="000000" w:sz="4" w:space="0"/>
              <w:right w:val="single" w:color="000000" w:sz="4" w:space="0"/>
            </w:tcBorders>
            <w:noWrap/>
            <w:vAlign w:val="center"/>
          </w:tcPr>
          <w:p w14:paraId="7262295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E7DADF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BBFBDA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6C4B16">
            <w:pPr>
              <w:jc w:val="right"/>
              <w:rPr>
                <w:rFonts w:hint="default" w:ascii="Times New Roman" w:hAnsi="Times New Roman" w:eastAsia="宋体" w:cs="Times New Roman"/>
                <w:i w:val="0"/>
                <w:iCs w:val="0"/>
                <w:color w:val="000000"/>
                <w:sz w:val="20"/>
                <w:szCs w:val="20"/>
                <w:highlight w:val="none"/>
                <w:u w:val="none"/>
              </w:rPr>
            </w:pPr>
          </w:p>
        </w:tc>
      </w:tr>
      <w:tr w14:paraId="47E9A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A37B1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4E5DEA8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6A7140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602" w:type="pct"/>
            <w:gridSpan w:val="2"/>
            <w:tcBorders>
              <w:top w:val="nil"/>
              <w:left w:val="nil"/>
              <w:bottom w:val="single" w:color="000000" w:sz="4" w:space="0"/>
              <w:right w:val="single" w:color="000000" w:sz="4" w:space="0"/>
            </w:tcBorders>
            <w:noWrap/>
            <w:vAlign w:val="center"/>
          </w:tcPr>
          <w:p w14:paraId="0F869A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602" w:type="pct"/>
            <w:tcBorders>
              <w:top w:val="nil"/>
              <w:left w:val="nil"/>
              <w:bottom w:val="single" w:color="000000" w:sz="4" w:space="0"/>
              <w:right w:val="single" w:color="000000" w:sz="4" w:space="0"/>
            </w:tcBorders>
            <w:noWrap/>
            <w:vAlign w:val="center"/>
          </w:tcPr>
          <w:p w14:paraId="3C00F59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32B3EB3">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B7F584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4DFA748">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部门（单位）：中共石家庄市鹿泉区委机构编制委员会办公室(本级)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208.79</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208.79</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30.71</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30.71</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15.76</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15.76</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22.56</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22.56</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277.82</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040"/>
        <w:gridCol w:w="2812"/>
        <w:gridCol w:w="1171"/>
        <w:gridCol w:w="639"/>
        <w:gridCol w:w="670"/>
        <w:gridCol w:w="320"/>
        <w:gridCol w:w="1045"/>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编制部门（单位）：中共石家庄市鹿泉区委机构编制委员会办公室(本级)</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277.82</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p>
        </w:tc>
      </w:tr>
      <w:tr w14:paraId="42A4E9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2D4D30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w:t>
            </w:r>
          </w:p>
        </w:tc>
        <w:tc>
          <w:tcPr>
            <w:tcW w:w="756" w:type="pct"/>
            <w:tcBorders>
              <w:top w:val="single" w:color="auto" w:sz="4" w:space="0"/>
              <w:left w:val="single" w:color="auto" w:sz="4" w:space="0"/>
              <w:bottom w:val="single" w:color="auto" w:sz="4" w:space="0"/>
              <w:right w:val="single" w:color="auto" w:sz="4" w:space="0"/>
            </w:tcBorders>
            <w:noWrap/>
            <w:vAlign w:val="center"/>
          </w:tcPr>
          <w:p w14:paraId="7F51C6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党委办公厅（室）及相关机构事务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0BBA7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47F37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1218" w:type="pct"/>
            <w:tcBorders>
              <w:top w:val="single" w:color="auto" w:sz="4" w:space="0"/>
              <w:left w:val="single" w:color="auto" w:sz="4" w:space="0"/>
              <w:bottom w:val="single" w:color="auto" w:sz="4" w:space="0"/>
              <w:right w:val="single" w:color="auto" w:sz="4" w:space="0"/>
            </w:tcBorders>
            <w:noWrap/>
            <w:vAlign w:val="center"/>
          </w:tcPr>
          <w:p w14:paraId="1A8E1BBE">
            <w:pPr>
              <w:jc w:val="right"/>
              <w:rPr>
                <w:rFonts w:hint="default" w:ascii="Times New Roman" w:hAnsi="Times New Roman" w:eastAsia="宋体" w:cs="Times New Roman"/>
                <w:i w:val="0"/>
                <w:iCs w:val="0"/>
                <w:color w:val="000000"/>
                <w:sz w:val="20"/>
                <w:szCs w:val="20"/>
                <w:highlight w:val="none"/>
                <w:u w:val="none"/>
              </w:rPr>
            </w:pPr>
          </w:p>
        </w:tc>
      </w:tr>
      <w:tr w14:paraId="78EE3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80229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2013101</w:t>
            </w:r>
          </w:p>
        </w:tc>
        <w:tc>
          <w:tcPr>
            <w:tcW w:w="756" w:type="pct"/>
            <w:tcBorders>
              <w:top w:val="single" w:color="auto" w:sz="4" w:space="0"/>
              <w:left w:val="single" w:color="auto" w:sz="4" w:space="0"/>
              <w:bottom w:val="single" w:color="auto" w:sz="4" w:space="0"/>
              <w:right w:val="single" w:color="auto" w:sz="4" w:space="0"/>
            </w:tcBorders>
            <w:noWrap/>
            <w:vAlign w:val="center"/>
          </w:tcPr>
          <w:p w14:paraId="6BBF21D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89907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8BF72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208.79</w:t>
            </w:r>
          </w:p>
        </w:tc>
        <w:tc>
          <w:tcPr>
            <w:tcW w:w="1218" w:type="pct"/>
            <w:tcBorders>
              <w:top w:val="single" w:color="auto" w:sz="4" w:space="0"/>
              <w:left w:val="single" w:color="auto" w:sz="4" w:space="0"/>
              <w:bottom w:val="single" w:color="auto" w:sz="4" w:space="0"/>
              <w:right w:val="single" w:color="auto" w:sz="4" w:space="0"/>
            </w:tcBorders>
            <w:noWrap/>
            <w:vAlign w:val="center"/>
          </w:tcPr>
          <w:p w14:paraId="3919064B">
            <w:pPr>
              <w:jc w:val="right"/>
              <w:rPr>
                <w:rFonts w:hint="default" w:ascii="Times New Roman" w:hAnsi="Times New Roman" w:eastAsia="宋体" w:cs="Times New Roman"/>
                <w:i w:val="0"/>
                <w:iCs w:val="0"/>
                <w:color w:val="000000"/>
                <w:sz w:val="20"/>
                <w:szCs w:val="20"/>
                <w:highlight w:val="none"/>
                <w:u w:val="none"/>
              </w:rPr>
            </w:pPr>
          </w:p>
        </w:tc>
      </w:tr>
      <w:tr w14:paraId="71ADEC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0579B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34FACDC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F88B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EE7C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30.71</w:t>
            </w:r>
          </w:p>
        </w:tc>
        <w:tc>
          <w:tcPr>
            <w:tcW w:w="1218" w:type="pct"/>
            <w:tcBorders>
              <w:top w:val="single" w:color="auto" w:sz="4" w:space="0"/>
              <w:left w:val="single" w:color="auto" w:sz="4" w:space="0"/>
              <w:bottom w:val="single" w:color="auto" w:sz="4" w:space="0"/>
              <w:right w:val="single" w:color="auto" w:sz="4" w:space="0"/>
            </w:tcBorders>
            <w:noWrap/>
            <w:vAlign w:val="center"/>
          </w:tcPr>
          <w:p w14:paraId="58E1AA0A">
            <w:pPr>
              <w:jc w:val="right"/>
              <w:rPr>
                <w:rFonts w:hint="default" w:ascii="Times New Roman" w:hAnsi="Times New Roman" w:eastAsia="宋体" w:cs="Times New Roman"/>
                <w:i w:val="0"/>
                <w:iCs w:val="0"/>
                <w:color w:val="000000"/>
                <w:sz w:val="20"/>
                <w:szCs w:val="20"/>
                <w:highlight w:val="none"/>
                <w:u w:val="none"/>
              </w:rPr>
            </w:pPr>
          </w:p>
        </w:tc>
      </w:tr>
      <w:tr w14:paraId="7062AE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0964C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0BA3FA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AF11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74E0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30.71</w:t>
            </w:r>
          </w:p>
        </w:tc>
        <w:tc>
          <w:tcPr>
            <w:tcW w:w="1218" w:type="pct"/>
            <w:tcBorders>
              <w:top w:val="single" w:color="auto" w:sz="4" w:space="0"/>
              <w:left w:val="single" w:color="auto" w:sz="4" w:space="0"/>
              <w:bottom w:val="single" w:color="auto" w:sz="4" w:space="0"/>
              <w:right w:val="single" w:color="auto" w:sz="4" w:space="0"/>
            </w:tcBorders>
            <w:noWrap/>
            <w:vAlign w:val="center"/>
          </w:tcPr>
          <w:p w14:paraId="30E1AB77">
            <w:pPr>
              <w:jc w:val="right"/>
              <w:rPr>
                <w:rFonts w:hint="default" w:ascii="Times New Roman" w:hAnsi="Times New Roman" w:eastAsia="宋体" w:cs="Times New Roman"/>
                <w:i w:val="0"/>
                <w:iCs w:val="0"/>
                <w:color w:val="000000"/>
                <w:sz w:val="20"/>
                <w:szCs w:val="20"/>
                <w:highlight w:val="none"/>
                <w:u w:val="none"/>
              </w:rPr>
            </w:pPr>
          </w:p>
        </w:tc>
      </w:tr>
      <w:tr w14:paraId="347D33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8D248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56" w:type="pct"/>
            <w:tcBorders>
              <w:top w:val="single" w:color="auto" w:sz="4" w:space="0"/>
              <w:left w:val="single" w:color="auto" w:sz="4" w:space="0"/>
              <w:bottom w:val="single" w:color="auto" w:sz="4" w:space="0"/>
              <w:right w:val="single" w:color="auto" w:sz="4" w:space="0"/>
            </w:tcBorders>
            <w:noWrap/>
            <w:vAlign w:val="center"/>
          </w:tcPr>
          <w:p w14:paraId="4A0A163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02B0E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378D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7.61</w:t>
            </w:r>
          </w:p>
        </w:tc>
        <w:tc>
          <w:tcPr>
            <w:tcW w:w="1218" w:type="pct"/>
            <w:tcBorders>
              <w:top w:val="single" w:color="auto" w:sz="4" w:space="0"/>
              <w:left w:val="single" w:color="auto" w:sz="4" w:space="0"/>
              <w:bottom w:val="single" w:color="auto" w:sz="4" w:space="0"/>
              <w:right w:val="single" w:color="auto" w:sz="4" w:space="0"/>
            </w:tcBorders>
            <w:noWrap/>
            <w:vAlign w:val="center"/>
          </w:tcPr>
          <w:p w14:paraId="01FEC474">
            <w:pPr>
              <w:jc w:val="right"/>
              <w:rPr>
                <w:rFonts w:hint="default" w:ascii="Times New Roman" w:hAnsi="Times New Roman" w:eastAsia="宋体" w:cs="Times New Roman"/>
                <w:i w:val="0"/>
                <w:iCs w:val="0"/>
                <w:color w:val="000000"/>
                <w:sz w:val="20"/>
                <w:szCs w:val="20"/>
                <w:highlight w:val="none"/>
                <w:u w:val="none"/>
              </w:rPr>
            </w:pPr>
          </w:p>
        </w:tc>
      </w:tr>
      <w:tr w14:paraId="76889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5F48AF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6EFA786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401E0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C5B3A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23.11</w:t>
            </w:r>
          </w:p>
        </w:tc>
        <w:tc>
          <w:tcPr>
            <w:tcW w:w="1218" w:type="pct"/>
            <w:tcBorders>
              <w:top w:val="single" w:color="auto" w:sz="4" w:space="0"/>
              <w:left w:val="single" w:color="auto" w:sz="4" w:space="0"/>
              <w:bottom w:val="single" w:color="auto" w:sz="4" w:space="0"/>
              <w:right w:val="single" w:color="auto" w:sz="4" w:space="0"/>
            </w:tcBorders>
            <w:noWrap/>
            <w:vAlign w:val="center"/>
          </w:tcPr>
          <w:p w14:paraId="2D674392">
            <w:pPr>
              <w:jc w:val="right"/>
              <w:rPr>
                <w:rFonts w:hint="default" w:ascii="Times New Roman" w:hAnsi="Times New Roman" w:eastAsia="宋体" w:cs="Times New Roman"/>
                <w:i w:val="0"/>
                <w:iCs w:val="0"/>
                <w:color w:val="000000"/>
                <w:sz w:val="20"/>
                <w:szCs w:val="20"/>
                <w:highlight w:val="none"/>
                <w:u w:val="none"/>
              </w:rPr>
            </w:pPr>
          </w:p>
        </w:tc>
      </w:tr>
      <w:tr w14:paraId="7ED39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619C1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7A379B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97257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DC06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1218" w:type="pct"/>
            <w:tcBorders>
              <w:top w:val="single" w:color="auto" w:sz="4" w:space="0"/>
              <w:left w:val="single" w:color="auto" w:sz="4" w:space="0"/>
              <w:bottom w:val="single" w:color="auto" w:sz="4" w:space="0"/>
              <w:right w:val="single" w:color="auto" w:sz="4" w:space="0"/>
            </w:tcBorders>
            <w:noWrap/>
            <w:vAlign w:val="center"/>
          </w:tcPr>
          <w:p w14:paraId="3B2CC0A1">
            <w:pPr>
              <w:jc w:val="right"/>
              <w:rPr>
                <w:rFonts w:hint="default" w:ascii="Times New Roman" w:hAnsi="Times New Roman" w:eastAsia="宋体" w:cs="Times New Roman"/>
                <w:i w:val="0"/>
                <w:iCs w:val="0"/>
                <w:color w:val="000000"/>
                <w:sz w:val="20"/>
                <w:szCs w:val="20"/>
                <w:highlight w:val="none"/>
                <w:u w:val="none"/>
              </w:rPr>
            </w:pPr>
          </w:p>
        </w:tc>
      </w:tr>
      <w:tr w14:paraId="1D774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458CA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60A5CA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21ABC0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370F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1218" w:type="pct"/>
            <w:tcBorders>
              <w:top w:val="single" w:color="auto" w:sz="4" w:space="0"/>
              <w:left w:val="single" w:color="auto" w:sz="4" w:space="0"/>
              <w:bottom w:val="single" w:color="auto" w:sz="4" w:space="0"/>
              <w:right w:val="single" w:color="auto" w:sz="4" w:space="0"/>
            </w:tcBorders>
            <w:noWrap/>
            <w:vAlign w:val="center"/>
          </w:tcPr>
          <w:p w14:paraId="7958E3C0">
            <w:pPr>
              <w:jc w:val="right"/>
              <w:rPr>
                <w:rFonts w:hint="default" w:ascii="Times New Roman" w:hAnsi="Times New Roman" w:eastAsia="宋体" w:cs="Times New Roman"/>
                <w:i w:val="0"/>
                <w:iCs w:val="0"/>
                <w:color w:val="000000"/>
                <w:sz w:val="20"/>
                <w:szCs w:val="20"/>
                <w:highlight w:val="none"/>
                <w:u w:val="none"/>
              </w:rPr>
            </w:pPr>
          </w:p>
        </w:tc>
      </w:tr>
      <w:tr w14:paraId="7C59E2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5E073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14:paraId="542D3B9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3C69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33D7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15.76</w:t>
            </w:r>
          </w:p>
        </w:tc>
        <w:tc>
          <w:tcPr>
            <w:tcW w:w="1218" w:type="pct"/>
            <w:tcBorders>
              <w:top w:val="single" w:color="auto" w:sz="4" w:space="0"/>
              <w:left w:val="single" w:color="auto" w:sz="4" w:space="0"/>
              <w:bottom w:val="single" w:color="auto" w:sz="4" w:space="0"/>
              <w:right w:val="single" w:color="auto" w:sz="4" w:space="0"/>
            </w:tcBorders>
            <w:noWrap/>
            <w:vAlign w:val="center"/>
          </w:tcPr>
          <w:p w14:paraId="5B7FD616">
            <w:pPr>
              <w:jc w:val="right"/>
              <w:rPr>
                <w:rFonts w:hint="default" w:ascii="Times New Roman" w:hAnsi="Times New Roman" w:eastAsia="宋体" w:cs="Times New Roman"/>
                <w:i w:val="0"/>
                <w:iCs w:val="0"/>
                <w:color w:val="000000"/>
                <w:sz w:val="20"/>
                <w:szCs w:val="20"/>
                <w:highlight w:val="none"/>
                <w:u w:val="none"/>
              </w:rPr>
            </w:pPr>
          </w:p>
        </w:tc>
      </w:tr>
      <w:tr w14:paraId="2F6403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F3C2B0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3DF2628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2110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1905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1218" w:type="pct"/>
            <w:tcBorders>
              <w:top w:val="single" w:color="auto" w:sz="4" w:space="0"/>
              <w:left w:val="single" w:color="auto" w:sz="4" w:space="0"/>
              <w:bottom w:val="single" w:color="auto" w:sz="4" w:space="0"/>
              <w:right w:val="single" w:color="auto" w:sz="4" w:space="0"/>
            </w:tcBorders>
            <w:noWrap/>
            <w:vAlign w:val="center"/>
          </w:tcPr>
          <w:p w14:paraId="57AB769B">
            <w:pPr>
              <w:jc w:val="right"/>
              <w:rPr>
                <w:rFonts w:hint="default" w:ascii="Times New Roman" w:hAnsi="Times New Roman" w:eastAsia="宋体" w:cs="Times New Roman"/>
                <w:i w:val="0"/>
                <w:iCs w:val="0"/>
                <w:color w:val="000000"/>
                <w:sz w:val="20"/>
                <w:szCs w:val="20"/>
                <w:highlight w:val="none"/>
                <w:u w:val="none"/>
              </w:rPr>
            </w:pPr>
          </w:p>
        </w:tc>
      </w:tr>
      <w:tr w14:paraId="6EA3E7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837F8E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31302DD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26C701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EDA8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1218" w:type="pct"/>
            <w:tcBorders>
              <w:top w:val="single" w:color="auto" w:sz="4" w:space="0"/>
              <w:left w:val="single" w:color="auto" w:sz="4" w:space="0"/>
              <w:bottom w:val="single" w:color="auto" w:sz="4" w:space="0"/>
              <w:right w:val="single" w:color="auto" w:sz="4" w:space="0"/>
            </w:tcBorders>
            <w:noWrap/>
            <w:vAlign w:val="center"/>
          </w:tcPr>
          <w:p w14:paraId="3B5D29B5">
            <w:pPr>
              <w:jc w:val="right"/>
              <w:rPr>
                <w:rFonts w:hint="default" w:ascii="Times New Roman" w:hAnsi="Times New Roman" w:eastAsia="宋体" w:cs="Times New Roman"/>
                <w:i w:val="0"/>
                <w:iCs w:val="0"/>
                <w:color w:val="000000"/>
                <w:sz w:val="20"/>
                <w:szCs w:val="20"/>
                <w:highlight w:val="none"/>
                <w:u w:val="none"/>
              </w:rPr>
            </w:pPr>
          </w:p>
        </w:tc>
      </w:tr>
      <w:tr w14:paraId="697C9E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F06EA6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2727BE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CCA07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21AF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22.56</w:t>
            </w:r>
          </w:p>
        </w:tc>
        <w:tc>
          <w:tcPr>
            <w:tcW w:w="1218" w:type="pct"/>
            <w:tcBorders>
              <w:top w:val="single" w:color="auto" w:sz="4" w:space="0"/>
              <w:left w:val="single" w:color="auto" w:sz="4" w:space="0"/>
              <w:bottom w:val="single" w:color="auto" w:sz="4" w:space="0"/>
              <w:right w:val="single" w:color="auto" w:sz="4" w:space="0"/>
            </w:tcBorders>
            <w:noWrap/>
            <w:vAlign w:val="center"/>
          </w:tcPr>
          <w:p w14:paraId="1858F2D7">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部门（单位）：中共石家庄市鹿泉区委机构编制委员会办公室(本级)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243.82</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26.66</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59.60</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4.37</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38.65</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0.38</w:t>
            </w: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43.10</w:t>
            </w: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0.48</w:t>
            </w: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36.52</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23.11</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5.73</w:t>
            </w: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15.76</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4.51</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0.32</w:t>
            </w: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22.56</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0.42</w:t>
            </w: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7.35</w:t>
            </w: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7.35</w:t>
            </w: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4.66</w:t>
            </w: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1.29</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1.44</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0.31</w:t>
            </w: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6.98</w:t>
            </w: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0.27</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251.17</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26.66</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部门（单位）：中共石家庄市鹿泉区委机构编制委员会办公室(本级)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部门（单位）：中共石家庄市鹿泉区委机构编制委员会办公室(本级)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部门（单位）：中共石家庄市鹿泉区委机构编制委员会办公室(本级)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0.31</w:t>
            </w: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0.31</w:t>
            </w: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0.31</w:t>
            </w: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0.31</w:t>
            </w: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0.31</w:t>
            </w: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0.31</w:t>
            </w: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7A21D2D9">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1BEF3B3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539081D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本单位2024年度收、支总计（含结转和结余）均为277.82万元。与2023年度决算相比，收支各增加11.44万元，增长4.3%，主要原因是人员经费增长15.5万元，公用经费减少4.06万元。</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554ABC0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7089B65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277.82万元，其中：财政拨款收入277.82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497D98E4">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5505A20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本单位2024年度本年支出合计277.82万元，其中：基本支出277.82万元，占100.0%；项目支出0.00万元，占0.0%；上缴上级支出0.00万元，占0.0%；经营支出0.00万元，占0.0%；对附属单位补助支出0.00万元，占0.0%。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6D94EC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1EE03E1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5B46496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本单位2024年度财政拨款收、支总计（含结转和结余）均为277.82万元。与2023年度相比，财政拨款收支各增加11.44万元，增长4.3%，主要原因是人员经费增长15.5万元，公用经费减少4.06万元。</w:t>
      </w:r>
    </w:p>
    <w:p w14:paraId="702B7BE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277.82万元,比上年增加11.44万元，增长4.3%，主要原因是人员经费增长15.5万元，公用经费减少4.06万元；本年支出277.82万元，比上年增加11.44万元，增长4.3%，主要原因是人员经费增长15.5万元，公用经费减少4.06万元。具体情况如下：</w:t>
      </w:r>
    </w:p>
    <w:p w14:paraId="7DD15D75">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277.82万元,比上年增加11.44万元，增长4.3%，主要原因是人员经费增长15.5万元，公用经费减少4.06万元；本年支出277.82万元，比上年增加11.44万元，增长4.3%，主要原因是人员经费增长15.5万元，公用经费减少4.06万元。</w:t>
      </w:r>
    </w:p>
    <w:p w14:paraId="669AE2C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w:t>
      </w:r>
      <w:r>
        <w:rPr>
          <w:rFonts w:hint="eastAsia" w:ascii="Times New Roman" w:eastAsia="仿宋_GB2312"/>
          <w:b w:val="0"/>
          <w:sz w:val="32"/>
          <w:szCs w:val="32"/>
          <w:lang w:eastAsia="zh-CN"/>
        </w:rPr>
        <w:t>与上年持平，主要原因是本单位无政府性基金</w:t>
      </w:r>
      <w:r>
        <w:rPr>
          <w:rFonts w:ascii="Times New Roman" w:eastAsia="仿宋_GB2312"/>
          <w:b w:val="0"/>
          <w:sz w:val="32"/>
          <w:szCs w:val="32"/>
        </w:rPr>
        <w:t>；本年支出0.00万元，</w:t>
      </w:r>
      <w:r>
        <w:rPr>
          <w:rFonts w:hint="eastAsia" w:ascii="Times New Roman" w:eastAsia="仿宋_GB2312"/>
          <w:b w:val="0"/>
          <w:sz w:val="32"/>
          <w:szCs w:val="32"/>
          <w:lang w:eastAsia="zh-CN"/>
        </w:rPr>
        <w:t>与上年持平，主要原因是本单位无政府性基金</w:t>
      </w:r>
      <w:r>
        <w:rPr>
          <w:rFonts w:ascii="Times New Roman" w:eastAsia="仿宋_GB2312"/>
          <w:b w:val="0"/>
          <w:sz w:val="32"/>
          <w:szCs w:val="32"/>
        </w:rPr>
        <w:t>。</w:t>
      </w:r>
    </w:p>
    <w:p w14:paraId="225A441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w:t>
      </w:r>
      <w:r>
        <w:rPr>
          <w:rFonts w:hint="eastAsia" w:ascii="Times New Roman" w:eastAsia="仿宋_GB2312"/>
          <w:b w:val="0"/>
          <w:sz w:val="32"/>
          <w:szCs w:val="32"/>
          <w:lang w:eastAsia="zh-CN"/>
        </w:rPr>
        <w:t>与上年持平，主要原因是本单位无国有资本经营性收入</w:t>
      </w:r>
      <w:r>
        <w:rPr>
          <w:rFonts w:ascii="Times New Roman" w:eastAsia="仿宋_GB2312"/>
          <w:b w:val="0"/>
          <w:sz w:val="32"/>
          <w:szCs w:val="32"/>
        </w:rPr>
        <w:t>；本年支出0.00万元，</w:t>
      </w:r>
      <w:r>
        <w:rPr>
          <w:rFonts w:hint="eastAsia" w:ascii="Times New Roman" w:eastAsia="仿宋_GB2312"/>
          <w:b w:val="0"/>
          <w:sz w:val="32"/>
          <w:szCs w:val="32"/>
          <w:lang w:eastAsia="zh-CN"/>
        </w:rPr>
        <w:t>与上年持平，主要原因是本单位无国有资本经营性收入</w:t>
      </w:r>
      <w:r>
        <w:rPr>
          <w:rFonts w:ascii="Times New Roman" w:eastAsia="仿宋_GB2312"/>
          <w:b w:val="0"/>
          <w:sz w:val="32"/>
          <w:szCs w:val="32"/>
        </w:rPr>
        <w:t>。</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BF8E14E">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12F6D4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本单位2024年度财政拨款本年收入277.82万元，完成年初预算的95.5%，比年初预算减少12.96万元，决算数小于预算数主要原因是树立过紧日子的思想，厉行勤俭节约 ；本年支出277.82万元，完成年初预算的95.5%，比年初预算减少12.96万元，决算数小于预算数主要原因是树立过紧日子的思想，厉行勤俭节约 。具体情况如下：</w:t>
      </w:r>
    </w:p>
    <w:p w14:paraId="03C878C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95.5%，比年初预算减少12.96万元，主要原因是树立过紧日子的思想，厉行勤俭节约；支出完成年初预算的95.5%，比年初预算减少12.96万元，主要原因是树立过紧日子的思想，厉行勤俭节约。</w:t>
      </w:r>
    </w:p>
    <w:p w14:paraId="427B6ED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w:t>
      </w:r>
      <w:r>
        <w:rPr>
          <w:rFonts w:hint="eastAsia" w:ascii="Times New Roman" w:eastAsia="仿宋_GB2312"/>
          <w:b w:val="0"/>
          <w:sz w:val="32"/>
          <w:szCs w:val="32"/>
        </w:rPr>
        <w:t>主要原因是本单位无政府性基金</w:t>
      </w:r>
      <w:r>
        <w:rPr>
          <w:rFonts w:hint="eastAsia" w:ascii="Times New Roman" w:eastAsia="仿宋_GB2312"/>
          <w:b w:val="0"/>
          <w:sz w:val="32"/>
          <w:szCs w:val="32"/>
          <w:lang w:eastAsia="zh-CN"/>
        </w:rPr>
        <w:t>；</w:t>
      </w:r>
      <w:r>
        <w:rPr>
          <w:rFonts w:ascii="Times New Roman" w:eastAsia="仿宋_GB2312"/>
          <w:b w:val="0"/>
          <w:sz w:val="32"/>
          <w:szCs w:val="32"/>
        </w:rPr>
        <w:t>支出完成年初预算的0.0%，比年初预算增加0.00万元，</w:t>
      </w:r>
      <w:r>
        <w:rPr>
          <w:rFonts w:hint="eastAsia" w:ascii="Times New Roman" w:eastAsia="仿宋_GB2312"/>
          <w:b w:val="0"/>
          <w:sz w:val="32"/>
          <w:szCs w:val="32"/>
        </w:rPr>
        <w:t>主要原因是本单位无政府性基金</w:t>
      </w:r>
      <w:r>
        <w:rPr>
          <w:rFonts w:ascii="Times New Roman" w:eastAsia="仿宋_GB2312"/>
          <w:b w:val="0"/>
          <w:sz w:val="32"/>
          <w:szCs w:val="32"/>
        </w:rPr>
        <w:t>。</w:t>
      </w:r>
    </w:p>
    <w:p w14:paraId="4D2E6B3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w:t>
      </w:r>
      <w:r>
        <w:rPr>
          <w:rFonts w:hint="eastAsia" w:ascii="Times New Roman" w:eastAsia="仿宋_GB2312"/>
          <w:b w:val="0"/>
          <w:sz w:val="32"/>
          <w:szCs w:val="32"/>
        </w:rPr>
        <w:t>主要原因是本单位无国有资本经营性收入</w:t>
      </w:r>
      <w:r>
        <w:rPr>
          <w:rFonts w:ascii="Times New Roman" w:eastAsia="仿宋_GB2312"/>
          <w:b w:val="0"/>
          <w:sz w:val="32"/>
          <w:szCs w:val="32"/>
        </w:rPr>
        <w:t>；支出完成年初预算的0.0%，比年初预算增加0.00万元，</w:t>
      </w:r>
      <w:r>
        <w:rPr>
          <w:rFonts w:hint="eastAsia" w:ascii="Times New Roman" w:eastAsia="仿宋_GB2312"/>
          <w:b w:val="0"/>
          <w:sz w:val="32"/>
          <w:szCs w:val="32"/>
        </w:rPr>
        <w:t>主要原因是本单位无国有资本经营性收入</w:t>
      </w:r>
      <w:r>
        <w:rPr>
          <w:rFonts w:ascii="Times New Roman" w:eastAsia="仿宋_GB2312"/>
          <w:b w:val="0"/>
          <w:sz w:val="32"/>
          <w:szCs w:val="32"/>
        </w:rPr>
        <w:t>。</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023875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4866358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2024年度财政拨款支出277.82万元，主要用于以下方面：</w:t>
      </w:r>
    </w:p>
    <w:p w14:paraId="0280D86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51C414D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一般公共服务（类）支出208.79万元，占75.</w:t>
      </w:r>
      <w:r>
        <w:rPr>
          <w:rFonts w:hint="eastAsia" w:ascii="Times New Roman" w:eastAsia="仿宋_GB2312"/>
          <w:b w:val="0"/>
          <w:sz w:val="32"/>
          <w:szCs w:val="32"/>
          <w:lang w:val="en-US" w:eastAsia="zh-CN"/>
        </w:rPr>
        <w:t>15</w:t>
      </w:r>
      <w:r>
        <w:rPr>
          <w:rFonts w:ascii="Times New Roman" w:eastAsia="仿宋_GB2312"/>
          <w:b w:val="0"/>
          <w:sz w:val="32"/>
          <w:szCs w:val="32"/>
        </w:rPr>
        <w:t>%，主要用于</w:t>
      </w:r>
      <w:r>
        <w:rPr>
          <w:rFonts w:hint="eastAsia" w:ascii="Times New Roman" w:eastAsia="仿宋_GB2312"/>
          <w:b w:val="0"/>
          <w:sz w:val="32"/>
          <w:szCs w:val="32"/>
        </w:rPr>
        <w:t>主要用于保障正常运转，支持履行职能</w:t>
      </w:r>
      <w:r>
        <w:rPr>
          <w:rFonts w:ascii="Times New Roman" w:eastAsia="仿宋_GB2312"/>
          <w:b w:val="0"/>
          <w:sz w:val="32"/>
          <w:szCs w:val="32"/>
        </w:rPr>
        <w:t>等支出；社会保障和就业 （类）支出30.71万元，占11.</w:t>
      </w:r>
      <w:r>
        <w:rPr>
          <w:rFonts w:hint="eastAsia" w:ascii="Times New Roman" w:eastAsia="仿宋_GB2312"/>
          <w:b w:val="0"/>
          <w:sz w:val="32"/>
          <w:szCs w:val="32"/>
          <w:lang w:val="en-US" w:eastAsia="zh-CN"/>
        </w:rPr>
        <w:t>05</w:t>
      </w:r>
      <w:r>
        <w:rPr>
          <w:rFonts w:ascii="Times New Roman" w:eastAsia="仿宋_GB2312"/>
          <w:b w:val="0"/>
          <w:sz w:val="32"/>
          <w:szCs w:val="32"/>
        </w:rPr>
        <w:t>%，</w:t>
      </w:r>
      <w:r>
        <w:rPr>
          <w:rFonts w:hint="eastAsia" w:ascii="Times New Roman" w:eastAsia="仿宋_GB2312"/>
          <w:b w:val="0"/>
          <w:sz w:val="32"/>
          <w:szCs w:val="32"/>
        </w:rPr>
        <w:t>主要用于缴纳保险职业年金等支出</w:t>
      </w:r>
      <w:r>
        <w:rPr>
          <w:rFonts w:ascii="Times New Roman" w:eastAsia="仿宋_GB2312"/>
          <w:b w:val="0"/>
          <w:sz w:val="32"/>
          <w:szCs w:val="32"/>
        </w:rPr>
        <w:t>；卫生健康（类）支出15.76万元，占5.</w:t>
      </w:r>
      <w:r>
        <w:rPr>
          <w:rFonts w:hint="eastAsia" w:ascii="Times New Roman" w:eastAsia="仿宋_GB2312"/>
          <w:b w:val="0"/>
          <w:sz w:val="32"/>
          <w:szCs w:val="32"/>
          <w:lang w:val="en-US" w:eastAsia="zh-CN"/>
        </w:rPr>
        <w:t>6</w:t>
      </w:r>
      <w:r>
        <w:rPr>
          <w:rFonts w:ascii="Times New Roman" w:eastAsia="仿宋_GB2312"/>
          <w:b w:val="0"/>
          <w:sz w:val="32"/>
          <w:szCs w:val="32"/>
        </w:rPr>
        <w:t>7%，</w:t>
      </w:r>
      <w:r>
        <w:rPr>
          <w:rFonts w:hint="eastAsia" w:ascii="Times New Roman" w:eastAsia="仿宋_GB2312"/>
          <w:b w:val="0"/>
          <w:sz w:val="32"/>
          <w:szCs w:val="32"/>
        </w:rPr>
        <w:t>主要用于缴纳医疗保险</w:t>
      </w:r>
      <w:r>
        <w:rPr>
          <w:rFonts w:hint="eastAsia" w:ascii="Times New Roman" w:eastAsia="仿宋_GB2312"/>
          <w:b w:val="0"/>
          <w:sz w:val="32"/>
          <w:szCs w:val="32"/>
          <w:lang w:eastAsia="zh-CN"/>
        </w:rPr>
        <w:t>；</w:t>
      </w:r>
      <w:r>
        <w:rPr>
          <w:rFonts w:ascii="Times New Roman" w:eastAsia="仿宋_GB2312"/>
          <w:b w:val="0"/>
          <w:sz w:val="32"/>
          <w:szCs w:val="32"/>
        </w:rPr>
        <w:t>住房保障（类）支出22.56万元，占8.1</w:t>
      </w:r>
      <w:r>
        <w:rPr>
          <w:rFonts w:hint="eastAsia" w:ascii="Times New Roman" w:eastAsia="仿宋_GB2312"/>
          <w:b w:val="0"/>
          <w:sz w:val="32"/>
          <w:szCs w:val="32"/>
          <w:lang w:val="en-US" w:eastAsia="zh-CN"/>
        </w:rPr>
        <w:t>2</w:t>
      </w:r>
      <w:r>
        <w:rPr>
          <w:rFonts w:ascii="Times New Roman" w:eastAsia="仿宋_GB2312"/>
          <w:b w:val="0"/>
          <w:sz w:val="32"/>
          <w:szCs w:val="32"/>
        </w:rPr>
        <w:t>%，</w:t>
      </w:r>
      <w:r>
        <w:rPr>
          <w:rFonts w:hint="eastAsia" w:ascii="Times New Roman" w:eastAsia="仿宋_GB2312"/>
          <w:b w:val="0"/>
          <w:sz w:val="32"/>
          <w:szCs w:val="32"/>
          <w:lang w:eastAsia="zh-CN"/>
        </w:rPr>
        <w:t>主要用于</w:t>
      </w:r>
      <w:r>
        <w:rPr>
          <w:rFonts w:hint="eastAsia" w:ascii="Times New Roman" w:eastAsia="仿宋_GB2312"/>
          <w:b w:val="0"/>
          <w:sz w:val="32"/>
          <w:szCs w:val="32"/>
        </w:rPr>
        <w:t>缴纳住房公积金</w:t>
      </w:r>
      <w:r>
        <w:rPr>
          <w:rFonts w:ascii="Times New Roman" w:eastAsia="仿宋_GB2312"/>
          <w:b w:val="0"/>
          <w:sz w:val="32"/>
          <w:szCs w:val="32"/>
        </w:rPr>
        <w:t>。</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04B7521">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2ACD632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2024年度财政拨款基本支出277.82万元，其中：</w:t>
      </w:r>
    </w:p>
    <w:p w14:paraId="280E1AB7">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人员经费251.17万元，主要包括基本工资、津贴补贴、奖金、绩效工资、机关事业部门基本养老保险缴费、职工基本医疗保险缴费、公务员医疗补助缴费、住房公积金、医疗费、其他社会保障缴费</w:t>
      </w:r>
      <w:r>
        <w:rPr>
          <w:rFonts w:hint="eastAsia" w:ascii="Times New Roman" w:eastAsia="仿宋_GB2312"/>
          <w:b w:val="0"/>
          <w:sz w:val="32"/>
          <w:szCs w:val="32"/>
          <w:lang w:eastAsia="zh-CN"/>
        </w:rPr>
        <w:t>。</w:t>
      </w:r>
    </w:p>
    <w:p w14:paraId="7DED9F2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公用经费26.66万元，主要包括办公费、印刷费、咨询费、邮电费、差旅费、维修（护）费、委托业务费、工会经费、福利费、公务用车运行维护费、其他交通费用、其他商品和服务支出。</w:t>
      </w:r>
    </w:p>
    <w:p w14:paraId="2FA50D2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0DF68033">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182505C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0.31万元，支出决算为0.31万元，完成预算的100.0%，较预算增加0.00万元，增长0.0%，主要原因是树立过紧日子的思想，厉行勤俭节约；较2023年度决算减少0.01万元，降低3.1%，主要原因是树立过紧日子的思想，厉行勤俭节约。</w:t>
      </w:r>
    </w:p>
    <w:p w14:paraId="7E5166D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455AA16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较上年持平。因公出国（境）团组0个、共0人、参加其他单位组织的因公出国（境）团组0个、共0人/无本部门组织的出国（境）团组。</w:t>
      </w:r>
    </w:p>
    <w:p w14:paraId="41325CF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本单位2024年度公务用车购置及运行维护费预算为0.31万元，支出决算0.31万元，完成预算的100.0%,较预算增加0.00万元，增长0.0%,主要</w:t>
      </w:r>
      <w:r>
        <w:rPr>
          <w:rFonts w:hint="eastAsia" w:ascii="Times New Roman" w:eastAsia="仿宋_GB2312"/>
          <w:b w:val="0"/>
          <w:sz w:val="32"/>
          <w:szCs w:val="32"/>
          <w:lang w:eastAsia="zh-CN"/>
        </w:rPr>
        <w:t>原因</w:t>
      </w:r>
      <w:r>
        <w:rPr>
          <w:rFonts w:ascii="Times New Roman" w:eastAsia="仿宋_GB2312"/>
          <w:b w:val="0"/>
          <w:sz w:val="32"/>
          <w:szCs w:val="32"/>
        </w:rPr>
        <w:t>是树立过紧日子的思想，厉行勤俭节约；较上年减少0.01万元，降低3.1%,主要原因是树立过紧日子的思想，厉行勤俭节约。其中：</w:t>
      </w:r>
    </w:p>
    <w:p w14:paraId="725C080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 万元。公务用车购置费支出较预算增加0.00万元，增长0.0%；较上年增加0.00万元，增长0.00%,</w:t>
      </w:r>
      <w:r>
        <w:rPr>
          <w:rFonts w:hint="eastAsia" w:ascii="Times New Roman" w:eastAsia="仿宋_GB2312"/>
          <w:b w:val="0"/>
          <w:sz w:val="32"/>
          <w:szCs w:val="32"/>
        </w:rPr>
        <w:t>主要原因是未发生公务用车购置支出</w:t>
      </w:r>
      <w:r>
        <w:rPr>
          <w:rFonts w:ascii="Times New Roman" w:eastAsia="仿宋_GB2312"/>
          <w:b w:val="0"/>
          <w:sz w:val="32"/>
          <w:szCs w:val="32"/>
        </w:rPr>
        <w:t>。</w:t>
      </w:r>
    </w:p>
    <w:p w14:paraId="5A4A587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公务用车运行维护费支出0.31万元：</w:t>
      </w:r>
      <w:r>
        <w:rPr>
          <w:rFonts w:ascii="Times New Roman" w:eastAsia="仿宋_GB2312"/>
          <w:b w:val="0"/>
          <w:sz w:val="32"/>
          <w:szCs w:val="32"/>
        </w:rPr>
        <w:t>本单位2024年度单位公务用车保有量1辆，发生运行维护费支出0.31万元。公车运行维护费支出较预算增加0.00万元，增长0.0%,主要原因是树立过紧日子的思想，厉行勤俭节约；较上年减少0.01万元，降低3.1%，主要原因是树立过紧日子的思想，厉行勤俭节约。</w:t>
      </w:r>
    </w:p>
    <w:p w14:paraId="081C61E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未发生公务接待费用支出；较上年度增加0.00万元，增长0.00%,主要原因是未发生公务接待费用支出。本年度共发生公务接待0批次、0人次。</w:t>
      </w:r>
    </w:p>
    <w:p w14:paraId="1B99F40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5FB6C59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本单位2024年度机关运行经费支出26.66万元，较2023年度减少4.05万元，降低13.2%。主要原因是树立过紧日子的思想，厉行勤俭节约。</w:t>
      </w:r>
    </w:p>
    <w:p w14:paraId="4785E91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75416E7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1.26万元，从采购类型来看，政府采购货物支出0.88万元、政府采购工程支出0.00万元、政府采购服务支出0.38万元。授予中小企业合同金额1.19万元，占政府采购支出总额的94.4%，其中授予小微企业合同金额1.19万元，占政府采购支出总额的94.4%。</w:t>
      </w:r>
    </w:p>
    <w:p w14:paraId="2A52787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060127E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1辆，比上年增加0辆，主要是与上年持平。其中，副部（省）级及以上领导用车0辆，主要负责人用车0辆，机要通信用车0辆，应急保障用车1辆，执法执勤用车0辆，特种专业技术用车0辆，离退休干部用车0辆，其他用车0辆，其他用车主要是0辆。单位价值100万元（含）以上设备（不含车辆）0台（套）。</w:t>
      </w:r>
    </w:p>
    <w:p w14:paraId="229AED5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07015C2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16A790D3">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根据预算绩效管理要求，本部门组织对 202</w:t>
      </w:r>
      <w:r>
        <w:rPr>
          <w:rFonts w:hint="eastAsia" w:ascii="Times New Roman" w:eastAsia="仿宋_GB2312"/>
          <w:b w:val="0"/>
          <w:sz w:val="32"/>
          <w:szCs w:val="32"/>
          <w:lang w:val="en-US" w:eastAsia="zh-CN"/>
        </w:rPr>
        <w:t>4</w:t>
      </w:r>
      <w:r>
        <w:rPr>
          <w:rFonts w:hint="eastAsia" w:ascii="Times New Roman" w:eastAsia="仿宋_GB2312"/>
          <w:b w:val="0"/>
          <w:sz w:val="32"/>
          <w:szCs w:val="32"/>
        </w:rPr>
        <w:t>年度一般公共预算项目支出全面开展绩效自评，202</w:t>
      </w:r>
      <w:r>
        <w:rPr>
          <w:rFonts w:hint="eastAsia" w:ascii="Times New Roman" w:eastAsia="仿宋_GB2312"/>
          <w:b w:val="0"/>
          <w:sz w:val="32"/>
          <w:szCs w:val="32"/>
          <w:lang w:val="en-US" w:eastAsia="zh-CN"/>
        </w:rPr>
        <w:t>4</w:t>
      </w:r>
      <w:r>
        <w:rPr>
          <w:rFonts w:hint="eastAsia" w:ascii="Times New Roman" w:eastAsia="仿宋_GB2312"/>
          <w:b w:val="0"/>
          <w:sz w:val="32"/>
          <w:szCs w:val="32"/>
        </w:rPr>
        <w:t>年度无一级项目、二级项目，共涉及资金 0 万元。202</w:t>
      </w:r>
      <w:r>
        <w:rPr>
          <w:rFonts w:hint="eastAsia" w:ascii="Times New Roman" w:eastAsia="仿宋_GB2312"/>
          <w:b w:val="0"/>
          <w:sz w:val="32"/>
          <w:szCs w:val="32"/>
          <w:lang w:val="en-US" w:eastAsia="zh-CN"/>
        </w:rPr>
        <w:t>4</w:t>
      </w:r>
      <w:r>
        <w:rPr>
          <w:rFonts w:hint="eastAsia" w:ascii="Times New Roman" w:eastAsia="仿宋_GB2312"/>
          <w:b w:val="0"/>
          <w:sz w:val="32"/>
          <w:szCs w:val="32"/>
        </w:rPr>
        <w:t>年度无政府性基金预算项目预算及支出。202</w:t>
      </w:r>
      <w:r>
        <w:rPr>
          <w:rFonts w:hint="eastAsia" w:ascii="Times New Roman" w:eastAsia="仿宋_GB2312"/>
          <w:b w:val="0"/>
          <w:sz w:val="32"/>
          <w:szCs w:val="32"/>
          <w:lang w:val="en-US" w:eastAsia="zh-CN"/>
        </w:rPr>
        <w:t>4</w:t>
      </w:r>
      <w:r>
        <w:rPr>
          <w:rFonts w:hint="eastAsia" w:ascii="Times New Roman" w:eastAsia="仿宋_GB2312"/>
          <w:b w:val="0"/>
          <w:sz w:val="32"/>
          <w:szCs w:val="32"/>
        </w:rPr>
        <w:t>年度无国有资本经营预算项目预算及支出。</w:t>
      </w:r>
    </w:p>
    <w:p w14:paraId="2C4B0B5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0C58B600">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本部门 202</w:t>
      </w:r>
      <w:r>
        <w:rPr>
          <w:rFonts w:hint="eastAsia" w:ascii="Times New Roman" w:eastAsia="仿宋_GB2312"/>
          <w:b w:val="0"/>
          <w:sz w:val="32"/>
          <w:szCs w:val="32"/>
          <w:lang w:val="en-US" w:eastAsia="zh-CN"/>
        </w:rPr>
        <w:t>4</w:t>
      </w:r>
      <w:r>
        <w:rPr>
          <w:rFonts w:hint="eastAsia" w:ascii="Times New Roman" w:eastAsia="仿宋_GB2312"/>
          <w:b w:val="0"/>
          <w:sz w:val="32"/>
          <w:szCs w:val="32"/>
        </w:rPr>
        <w:t>年度无一般公共预算项目支出。</w:t>
      </w:r>
    </w:p>
    <w:p w14:paraId="361079B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2781B8A3">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无。</w:t>
      </w:r>
    </w:p>
    <w:p w14:paraId="0BC42052">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6B5CF67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14:paraId="21DC20A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3A2BDE02">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53F5B20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6DA77E2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6BF0FF8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560E80F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5BDEB95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18A9AE7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2D802BF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4151373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6F9DE49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64FDED4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4E6F216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44A949B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6CBD4F7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4BBD816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3870C4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5DBACFD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3FAAA58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6B208AE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roman"/>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Noto Music"/>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Calibri Light">
    <w:altName w:val="DejaVu Sans"/>
    <w:panose1 w:val="020F0302020204030204"/>
    <w:charset w:val="00"/>
    <w:family w:val="auto"/>
    <w:pitch w:val="default"/>
    <w:sig w:usb0="00000000" w:usb1="00000000" w:usb2="00000009" w:usb3="00000000" w:csb0="200001FF"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方正仿宋_GB2312">
    <w:altName w:val="方正仿宋_GBK"/>
    <w:panose1 w:val="02000000000000000000"/>
    <w:charset w:val="86"/>
    <w:family w:val="auto"/>
    <w:pitch w:val="default"/>
    <w:sig w:usb0="00000000" w:usb1="00000000" w:usb2="00000012" w:usb3="00000000" w:csb0="00040001" w:csb1="00000000"/>
  </w:font>
  <w:font w:name="Noto Music">
    <w:panose1 w:val="020B0502040504020204"/>
    <w:charset w:val="00"/>
    <w:family w:val="auto"/>
    <w:pitch w:val="default"/>
    <w:sig w:usb0="00000003" w:usb1="02006000" w:usb2="01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7E1508">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FEC5F5">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884E7B">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C7826"/>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7BE66D"/>
    <w:rsid w:val="2F9F3DC1"/>
    <w:rsid w:val="2FFC7AC2"/>
    <w:rsid w:val="301430AF"/>
    <w:rsid w:val="30630612"/>
    <w:rsid w:val="308E59B0"/>
    <w:rsid w:val="30B10568"/>
    <w:rsid w:val="30E55DD3"/>
    <w:rsid w:val="30E60399"/>
    <w:rsid w:val="31356AA5"/>
    <w:rsid w:val="313E22F0"/>
    <w:rsid w:val="31B0194C"/>
    <w:rsid w:val="31CE17D1"/>
    <w:rsid w:val="31FF61A0"/>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BF1A42"/>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CADC94"/>
    <w:rsid w:val="3DD56F21"/>
    <w:rsid w:val="3DEF6699"/>
    <w:rsid w:val="3E1057AF"/>
    <w:rsid w:val="3E6C0DFA"/>
    <w:rsid w:val="3E740322"/>
    <w:rsid w:val="3E7F4380"/>
    <w:rsid w:val="3E8D171B"/>
    <w:rsid w:val="3EA5630D"/>
    <w:rsid w:val="3EBA731B"/>
    <w:rsid w:val="3EE33949"/>
    <w:rsid w:val="3EFB5800"/>
    <w:rsid w:val="3F1F5D35"/>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9B63D3"/>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6FC144"/>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6F0182"/>
    <w:rsid w:val="577F37E7"/>
    <w:rsid w:val="579C7F80"/>
    <w:rsid w:val="57B30D7C"/>
    <w:rsid w:val="57F5C146"/>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9AD8A"/>
    <w:rsid w:val="5F2C5C7C"/>
    <w:rsid w:val="5F36141C"/>
    <w:rsid w:val="5F3FC67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7D52F8"/>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DFC7A23"/>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2BBC3A3"/>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8FB8295"/>
    <w:rsid w:val="79285B3A"/>
    <w:rsid w:val="79490B03"/>
    <w:rsid w:val="79625CA9"/>
    <w:rsid w:val="79A91196"/>
    <w:rsid w:val="7A0B32D3"/>
    <w:rsid w:val="7AC13CD3"/>
    <w:rsid w:val="7AE10264"/>
    <w:rsid w:val="7AE4248E"/>
    <w:rsid w:val="7B1F1452"/>
    <w:rsid w:val="7B4A207F"/>
    <w:rsid w:val="7B936F45"/>
    <w:rsid w:val="7BA47419"/>
    <w:rsid w:val="7BB10D45"/>
    <w:rsid w:val="7BB44151"/>
    <w:rsid w:val="7C656A39"/>
    <w:rsid w:val="7CB93996"/>
    <w:rsid w:val="7CBE0F99"/>
    <w:rsid w:val="7D4E45F1"/>
    <w:rsid w:val="7D9CF1F4"/>
    <w:rsid w:val="7DFB6D82"/>
    <w:rsid w:val="7E1D71D1"/>
    <w:rsid w:val="7E246254"/>
    <w:rsid w:val="7E553215"/>
    <w:rsid w:val="7E6D090F"/>
    <w:rsid w:val="7ECC66B2"/>
    <w:rsid w:val="7F2914C3"/>
    <w:rsid w:val="7F3BC3AA"/>
    <w:rsid w:val="7F5F2ED6"/>
    <w:rsid w:val="7F8F4887"/>
    <w:rsid w:val="7FA837EF"/>
    <w:rsid w:val="7FC36955"/>
    <w:rsid w:val="7FDF4E21"/>
    <w:rsid w:val="7FE903A0"/>
    <w:rsid w:val="7FF07065"/>
    <w:rsid w:val="7FF97946"/>
    <w:rsid w:val="7FFE7888"/>
    <w:rsid w:val="8FFDF322"/>
    <w:rsid w:val="B71DEBFF"/>
    <w:rsid w:val="BFE8AEEE"/>
    <w:rsid w:val="BFFF9EA5"/>
    <w:rsid w:val="C5F98735"/>
    <w:rsid w:val="D67FFC8D"/>
    <w:rsid w:val="D7DFF72D"/>
    <w:rsid w:val="DBFCACB6"/>
    <w:rsid w:val="E3EF3EBF"/>
    <w:rsid w:val="EEFEC05C"/>
    <w:rsid w:val="EF9ECD73"/>
    <w:rsid w:val="FDEFFA44"/>
    <w:rsid w:val="FEDFCF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266.38</c:v>
                </c:pt>
                <c:pt idx="1">
                  <c:v>277.82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2778221.28</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2778221.28</c:v>
                </c:pt>
                <c:pt idx="1">
                  <c:v>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266.38</c:v>
                </c:pt>
                <c:pt idx="1">
                  <c:v>266.38</c:v>
                </c:pt>
                <c:pt idx="2">
                  <c:v>266.38</c:v>
                </c:pt>
                <c:pt idx="3">
                  <c:v>266.38</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277.82</c:v>
                </c:pt>
                <c:pt idx="1">
                  <c:v>277.82</c:v>
                </c:pt>
                <c:pt idx="2">
                  <c:v>277.82</c:v>
                </c:pt>
                <c:pt idx="3">
                  <c:v>277.82</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290.78</c:v>
                </c:pt>
                <c:pt idx="1">
                  <c:v>290.78</c:v>
                </c:pt>
                <c:pt idx="2">
                  <c:v>290.78</c:v>
                </c:pt>
                <c:pt idx="3">
                  <c:v>290.78</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277.82</c:v>
                </c:pt>
                <c:pt idx="1">
                  <c:v>277.82</c:v>
                </c:pt>
                <c:pt idx="2">
                  <c:v>277.82</c:v>
                </c:pt>
                <c:pt idx="3">
                  <c:v>277.82</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208.79</c:v>
                </c:pt>
                <c:pt idx="1">
                  <c:v>0</c:v>
                </c:pt>
                <c:pt idx="2">
                  <c:v>0</c:v>
                </c:pt>
                <c:pt idx="3">
                  <c:v>0</c:v>
                </c:pt>
                <c:pt idx="4">
                  <c:v>0</c:v>
                </c:pt>
                <c:pt idx="5">
                  <c:v>0</c:v>
                </c:pt>
                <c:pt idx="6">
                  <c:v>0</c:v>
                </c:pt>
                <c:pt idx="7">
                  <c:v>30.71</c:v>
                </c:pt>
                <c:pt idx="8">
                  <c:v>15.76</c:v>
                </c:pt>
                <c:pt idx="9">
                  <c:v>0</c:v>
                </c:pt>
                <c:pt idx="10">
                  <c:v>0</c:v>
                </c:pt>
                <c:pt idx="11">
                  <c:v>0</c:v>
                </c:pt>
                <c:pt idx="12">
                  <c:v>0</c:v>
                </c:pt>
                <c:pt idx="13">
                  <c:v>0</c:v>
                </c:pt>
                <c:pt idx="14">
                  <c:v>0</c:v>
                </c:pt>
                <c:pt idx="15">
                  <c:v>0</c:v>
                </c:pt>
                <c:pt idx="16">
                  <c:v>0</c:v>
                </c:pt>
                <c:pt idx="17">
                  <c:v>0</c:v>
                </c:pt>
                <c:pt idx="18">
                  <c:v>22.56</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37</Pages>
  <Words>611</Words>
  <Characters>2169</Characters>
  <Lines>86</Lines>
  <Paragraphs>24</Paragraphs>
  <TotalTime>0</TotalTime>
  <ScaleCrop>false</ScaleCrop>
  <LinksUpToDate>false</LinksUpToDate>
  <CharactersWithSpaces>2170</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2023-08-05T15:55:00Z</dcterms:created>
  <dc:creator>王明新TIAD</dc:creator>
  <cp:lastModifiedBy>uos</cp:lastModifiedBy>
  <cp:lastPrinted>2023-08-05T09:00:00Z</cp:lastPrinted>
  <dcterms:modified xsi:type="dcterms:W3CDTF">2025-09-19T09:56:41Z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