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9"/>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0"/>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1"/>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JUHC8XbAAAACwEAAA8AAAAAAAAAAQAgAAAA&#10;IgAAAGRycy9kb3ducmV2LnhtbFBLAQIUABQAAAAIAIdO4kBqgGFVJQMAAPYIAAAOAAAAAAAAAAEA&#10;IAAAACoBAABkcnMvZTJvRG9jLnhtbFBLBQYAAAAABgAGAFkBAADB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3"/>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ZqWWv2AAAAAsBAAAPAAAAAAAA&#10;AAEAIAAAACIAAABkcnMvZG93bnJldi54bWxQSwECFAAUAAAACACHTuJA5W10YaABAAARAwAADgAA&#10;AAAAAAABACAAAAAnAQAAZHJzL2Uyb0RvYy54bWxQSwUGAAAAAAYABgBZAQAAOQU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rPr>
          <w:rFonts w:hint="eastAsia"/>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566004</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：石家庄市鹿泉区海山公园</w:t>
      </w:r>
    </w:p>
    <w:p>
      <w:pPr>
        <w:spacing w:line="600" w:lineRule="auto"/>
        <w:jc w:val="left"/>
        <w:rPr>
          <w:rFonts w:hint="default" w:ascii="楷体_GB2312" w:hAnsi="楷体_GB2312" w:eastAsia="楷体_GB2312" w:cs="楷体_GB2312"/>
          <w:color w:val="000000"/>
          <w:sz w:val="40"/>
          <w:szCs w:val="40"/>
          <w:lang w:val="en-US" w:eastAsia="zh-CN"/>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hint="eastAsia"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概况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eastAsia" w:ascii="黑体" w:hAnsi="宋体" w:eastAsia="黑体" w:cs="黑体"/>
          <w:i w:val="0"/>
          <w:iCs w:val="0"/>
          <w:caps w:val="0"/>
          <w:color w:val="000000"/>
          <w:spacing w:val="0"/>
          <w:sz w:val="32"/>
          <w:szCs w:val="32"/>
          <w:highlight w:val="none"/>
          <w:shd w:val="clear" w:fill="FFFFFF"/>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单位</w:t>
      </w:r>
      <w:r>
        <w:rPr>
          <w:rFonts w:hint="eastAsia" w:ascii="黑体" w:hAnsi="宋体" w:eastAsia="黑体" w:cs="黑体"/>
          <w:i w:val="0"/>
          <w:iCs w:val="0"/>
          <w:caps w:val="0"/>
          <w:color w:val="000000"/>
          <w:spacing w:val="0"/>
          <w:sz w:val="32"/>
          <w:szCs w:val="32"/>
          <w:highlight w:val="none"/>
          <w:shd w:val="clear" w:fill="FFFFFF"/>
        </w:rPr>
        <w:t>职责</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eastAsia" w:ascii="仿宋" w:hAnsi="仿宋" w:eastAsia="仿宋" w:cs="仿宋"/>
          <w:b w:val="0"/>
          <w:bCs/>
          <w:sz w:val="32"/>
          <w:szCs w:val="32"/>
          <w:lang w:eastAsia="zh-CN"/>
        </w:rPr>
      </w:pPr>
      <w:r>
        <w:rPr>
          <w:rFonts w:hint="eastAsia" w:ascii="仿宋" w:hAnsi="仿宋" w:eastAsia="仿宋" w:cs="仿宋"/>
          <w:b w:val="0"/>
          <w:bCs/>
          <w:sz w:val="32"/>
          <w:szCs w:val="32"/>
          <w:lang w:eastAsia="zh-CN"/>
        </w:rPr>
        <w:t>石家庄市鹿泉区海山公园的工作职能是：</w:t>
      </w:r>
    </w:p>
    <w:p>
      <w:pPr>
        <w:keepNext/>
        <w:keepLines/>
        <w:spacing w:line="580" w:lineRule="exact"/>
        <w:jc w:val="left"/>
        <w:outlineLvl w:val="0"/>
        <w:rPr>
          <w:rFonts w:hint="eastAsia" w:ascii="仿宋" w:hAnsi="仿宋" w:eastAsia="仿宋" w:cs="仿宋"/>
          <w:b w:val="0"/>
          <w:bCs/>
          <w:sz w:val="32"/>
          <w:szCs w:val="32"/>
          <w:lang w:eastAsia="zh-CN"/>
        </w:rPr>
      </w:pPr>
      <w:r>
        <w:rPr>
          <w:rFonts w:hint="eastAsia" w:ascii="仿宋" w:hAnsi="仿宋" w:eastAsia="仿宋" w:cs="仿宋"/>
          <w:b w:val="0"/>
          <w:bCs/>
          <w:sz w:val="32"/>
          <w:szCs w:val="32"/>
          <w:lang w:eastAsia="zh-CN"/>
        </w:rPr>
        <w:t>公园管理、设施维护、养护公园花草、树木、便道等。使各种设施充分发挥其功能，为市民提供服务。</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本单位</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 xml:space="preserve">”）共 </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3"/>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349"/>
        <w:gridCol w:w="2581"/>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349"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581"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349" w:type="dxa"/>
            <w:vAlign w:val="top"/>
          </w:tcPr>
          <w:p>
            <w:pPr>
              <w:spacing w:line="560" w:lineRule="exact"/>
              <w:rPr>
                <w:rFonts w:ascii="仿宋_GB2312" w:hAnsi="Calibri" w:eastAsia="仿宋_GB2312" w:cs="ArialUnicodeMS"/>
                <w:kern w:val="0"/>
                <w:sz w:val="28"/>
                <w:szCs w:val="28"/>
              </w:rPr>
            </w:pPr>
            <w:r>
              <w:rPr>
                <w:rFonts w:hint="eastAsia" w:ascii="仿宋_GB2312" w:eastAsia="仿宋_GB2312" w:cs="仿宋_GB2312"/>
                <w:kern w:val="0"/>
                <w:sz w:val="28"/>
                <w:szCs w:val="28"/>
                <w:lang w:eastAsia="zh-CN"/>
              </w:rPr>
              <w:t>石家庄市鹿泉区海山公园</w:t>
            </w:r>
          </w:p>
        </w:tc>
        <w:tc>
          <w:tcPr>
            <w:tcW w:w="2581" w:type="dxa"/>
            <w:vAlign w:val="top"/>
          </w:tcPr>
          <w:p>
            <w:pPr>
              <w:spacing w:line="560" w:lineRule="exact"/>
              <w:jc w:val="center"/>
              <w:rPr>
                <w:rFonts w:ascii="仿宋_GB2312" w:hAnsi="Calibri" w:eastAsia="仿宋_GB2312" w:cs="ArialUnicodeMS"/>
                <w:kern w:val="0"/>
                <w:sz w:val="28"/>
                <w:szCs w:val="28"/>
              </w:rPr>
            </w:pPr>
            <w:r>
              <w:rPr>
                <w:rFonts w:hint="eastAsia" w:ascii="仿宋_GB2312" w:eastAsia="仿宋_GB2312" w:cs="仿宋_GB2312"/>
                <w:kern w:val="0"/>
                <w:sz w:val="28"/>
                <w:szCs w:val="28"/>
              </w:rPr>
              <w:t>财政补助事业单位</w:t>
            </w:r>
          </w:p>
        </w:tc>
        <w:tc>
          <w:tcPr>
            <w:tcW w:w="2665" w:type="dxa"/>
            <w:vAlign w:val="top"/>
          </w:tcPr>
          <w:p>
            <w:pPr>
              <w:spacing w:line="560" w:lineRule="exact"/>
              <w:jc w:val="center"/>
              <w:rPr>
                <w:rFonts w:ascii="仿宋_GB2312" w:hAnsi="Calibri" w:eastAsia="仿宋_GB2312" w:cs="ArialUnicodeMS"/>
                <w:kern w:val="0"/>
                <w:sz w:val="28"/>
                <w:szCs w:val="28"/>
              </w:rPr>
            </w:pPr>
            <w:r>
              <w:rPr>
                <w:rFonts w:hint="eastAsia" w:ascii="仿宋_GB2312" w:eastAsia="仿宋_GB2312" w:cs="仿宋_GB2312"/>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决算报表</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7" w:type="default"/>
          <w:pgSz w:w="11906" w:h="16838"/>
          <w:pgMar w:top="1531" w:right="1984" w:bottom="1531" w:left="2098" w:header="851" w:footer="992" w:gutter="0"/>
          <w:cols w:space="720" w:num="1"/>
          <w:docGrid w:type="lines" w:linePitch="312" w:charSpace="0"/>
        </w:sectPr>
      </w:pPr>
    </w:p>
    <w:tbl>
      <w:tblPr>
        <w:tblStyle w:val="13"/>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编制单位（单位）：石家庄市鹿泉区海山公园</w:t>
            </w:r>
          </w:p>
        </w:tc>
        <w:tc>
          <w:tcPr>
            <w:tcW w:w="2945" w:type="dxa"/>
            <w:gridSpan w:val="2"/>
            <w:tcBorders>
              <w:top w:val="nil"/>
              <w:left w:val="nil"/>
              <w:bottom w:val="single" w:color="auto" w:sz="4" w:space="0"/>
              <w:right w:val="nil"/>
            </w:tcBorders>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2,961.11</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672.44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2,074.47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119.65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2,961.11</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2,959.07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4.06</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2,965.16</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2,965.16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注：1.本表反映单位本年度的总收支和年末结转结余情况。2.本套报表金额转换时可能存在尾数误差。</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3"/>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编制单位（单位）：石家庄市鹿泉区海山公园                                                                                                         </w:t>
            </w:r>
          </w:p>
        </w:tc>
        <w:tc>
          <w:tcPr>
            <w:tcW w:w="3405" w:type="dxa"/>
            <w:gridSpan w:val="4"/>
            <w:tcBorders>
              <w:top w:val="nil"/>
              <w:left w:val="nil"/>
              <w:bottom w:val="single" w:color="auto" w:sz="4" w:space="0"/>
              <w:right w:val="nil"/>
            </w:tcBorders>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2,961.11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2,961.11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672.44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672.44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668.03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668.03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472.28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472.28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132.09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132.09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63.67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63.67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退役安置</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退役士兵安置</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92.52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92.52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92.52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92.52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92.52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92.52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2,076.51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2,076.51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1,287.12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1,287.12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2120199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其他城乡社区管理事务支出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1,287.12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1,287.12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2120399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其他城乡社区公共设施支出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774.39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774.39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774.39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774.39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119.65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119.65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119.65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119.65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119.65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119.65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3"/>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编制单位（单位）：石家庄市鹿泉区海山公园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2,959.07</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1,999.43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959.64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672.44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668.03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668.03</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668.03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472.28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472.28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132.09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132.09</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63.67</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63.67</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92.52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92.52</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92.52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92.52</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92.52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92.52</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2,074.47</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1,119.23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955.24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1,286.74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1,119.23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167.52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1,286.74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1,119.23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167.52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15.35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15.35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772.37</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772.37</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772.37</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772.37</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119.65</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119.65</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119.65</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编制单位（单位）：石家庄市鹿泉区海山公园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2,961.11</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672.44</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672.44</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92.52</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92.52</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2,074.47</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2,074.47</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119.65</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119.65</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2,961.11</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2,959.07</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2,959.07</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4.06</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6.10</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5.83</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0.27</w:t>
            </w: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3.79</w:t>
            </w: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0.27</w:t>
            </w: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2,965.16</w:t>
            </w:r>
          </w:p>
        </w:tc>
        <w:tc>
          <w:tcPr>
            <w:tcW w:w="2098" w:type="dxa"/>
            <w:gridSpan w:val="2"/>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2,965.16</w:t>
            </w:r>
          </w:p>
        </w:tc>
        <w:tc>
          <w:tcPr>
            <w:tcW w:w="1219" w:type="dxa"/>
            <w:tcBorders>
              <w:top w:val="nil"/>
              <w:left w:val="nil"/>
              <w:bottom w:val="single" w:color="000000" w:sz="8" w:space="0"/>
              <w:right w:val="single" w:color="000000" w:sz="4" w:space="0"/>
            </w:tcBorders>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2,964.89</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0.27</w:t>
            </w:r>
          </w:p>
        </w:tc>
        <w:tc>
          <w:tcPr>
            <w:tcW w:w="1219" w:type="dxa"/>
            <w:tcBorders>
              <w:top w:val="nil"/>
              <w:left w:val="nil"/>
              <w:bottom w:val="single" w:color="000000" w:sz="8"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3"/>
        <w:tblW w:w="9092"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89"/>
        <w:gridCol w:w="1435"/>
        <w:gridCol w:w="789"/>
        <w:gridCol w:w="1467"/>
        <w:gridCol w:w="1527"/>
        <w:gridCol w:w="729"/>
        <w:gridCol w:w="22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092" w:type="dxa"/>
            <w:gridSpan w:val="7"/>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092" w:type="dxa"/>
            <w:gridSpan w:val="7"/>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3113" w:type="dxa"/>
            <w:gridSpan w:val="3"/>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编制单位（单位）：石家庄市鹿泉区海山公园</w:t>
            </w:r>
          </w:p>
        </w:tc>
        <w:tc>
          <w:tcPr>
            <w:tcW w:w="2994" w:type="dxa"/>
            <w:gridSpan w:val="2"/>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985" w:type="dxa"/>
            <w:gridSpan w:val="2"/>
            <w:tcBorders>
              <w:top w:val="nil"/>
              <w:left w:val="nil"/>
              <w:bottom w:val="single" w:color="auto" w:sz="4" w:space="0"/>
              <w:right w:val="nil"/>
            </w:tcBorders>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5" w:hRule="atLeast"/>
        </w:trPr>
        <w:tc>
          <w:tcPr>
            <w:tcW w:w="232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768" w:type="dxa"/>
            <w:gridSpan w:val="5"/>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889"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435"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256" w:type="dxa"/>
            <w:gridSpan w:val="2"/>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256" w:type="dxa"/>
            <w:gridSpan w:val="2"/>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256"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7" w:hRule="atLeast"/>
        </w:trPr>
        <w:tc>
          <w:tcPr>
            <w:tcW w:w="88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88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2,959.07</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1,999.43</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959.64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672.44</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668.03</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668.03</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668.03</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472.28</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472.28</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132.09</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132.09</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63.67</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63.67</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4.40</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4.40</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92.52</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92.52</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92.52</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92.52</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92.52</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92.52</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2,074.47</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1,119.23</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955.24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1,286.74</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1,119.23</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167.52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1,286.74</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1,119.23</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167.52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15.35</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0.35</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772.37</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772.37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772.37</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772.37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119.65</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119.65</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119.65</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119.65</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119.65</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119.65</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092" w:type="dxa"/>
            <w:gridSpan w:val="7"/>
            <w:tcBorders>
              <w:top w:val="single" w:color="auto" w:sz="4" w:space="0"/>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编制单位（单位）：石家庄市鹿泉区海山公园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1,407.70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114.43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206.28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31.86</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63.12</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254.60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468.68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132.09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0.14</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63.67</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0.87</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52.16</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40.36</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7.09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119.65</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16.83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477.29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466.49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3.30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7.43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34.50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7.61</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8.69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10.03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1,884.99</w:t>
            </w:r>
          </w:p>
        </w:tc>
        <w:tc>
          <w:tcPr>
            <w:tcW w:w="6520" w:type="dxa"/>
            <w:gridSpan w:val="7"/>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114.43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3"/>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编制单位（单位）：石家庄市鹿泉区海山公园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0.27</w:t>
            </w: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0.27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0.27</w:t>
            </w: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0.27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1474"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130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0.27</w:t>
            </w: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0.27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2121302</w:t>
            </w:r>
          </w:p>
        </w:tc>
        <w:tc>
          <w:tcPr>
            <w:tcW w:w="1474"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城市环境卫生</w:t>
            </w:r>
          </w:p>
        </w:tc>
        <w:tc>
          <w:tcPr>
            <w:tcW w:w="130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0.27</w:t>
            </w: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0.27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3"/>
        <w:tblW w:w="80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8041" w:type="dxa"/>
            <w:gridSpan w:val="9"/>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8041" w:type="dxa"/>
            <w:gridSpan w:val="9"/>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2748" w:type="dxa"/>
            <w:gridSpan w:val="2"/>
            <w:tcBorders>
              <w:top w:val="nil"/>
              <w:left w:val="nil"/>
              <w:bottom w:val="single" w:color="auto" w:sz="4" w:space="0"/>
              <w:right w:val="nil"/>
            </w:tcBorders>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编制单位（单位）：石家庄市鹿泉区海山公园</w:t>
            </w:r>
          </w:p>
        </w:tc>
        <w:tc>
          <w:tcPr>
            <w:tcW w:w="2680" w:type="dxa"/>
            <w:gridSpan w:val="4"/>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613"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4044" w:type="dxa"/>
            <w:gridSpan w:val="3"/>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3997" w:type="dxa"/>
            <w:gridSpan w:val="6"/>
            <w:vMerge w:val="restart"/>
            <w:tcBorders>
              <w:top w:val="single" w:color="auto" w:sz="4" w:space="0"/>
              <w:left w:val="single" w:color="auto"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4044" w:type="dxa"/>
            <w:gridSpan w:val="3"/>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3997" w:type="dxa"/>
            <w:gridSpan w:val="6"/>
            <w:vMerge w:val="continue"/>
            <w:tcBorders>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017"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322" w:type="dxa"/>
            <w:vMerge w:val="restart"/>
            <w:tcBorders>
              <w:top w:val="nil"/>
              <w:left w:val="nil"/>
              <w:right w:val="single" w:color="000000"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017" w:type="dxa"/>
            <w:vMerge w:val="continue"/>
            <w:tcBorders>
              <w:top w:val="single" w:color="auto" w:sz="4" w:space="0"/>
              <w:left w:val="single" w:color="auto"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22"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44" w:type="dxa"/>
            <w:gridSpan w:val="3"/>
            <w:tcBorders>
              <w:top w:val="single" w:color="auto" w:sz="4" w:space="0"/>
              <w:left w:val="single" w:color="auto" w:sz="4" w:space="0"/>
              <w:bottom w:val="single" w:color="000000" w:sz="4" w:space="0"/>
              <w:right w:val="single" w:color="auto"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332"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44"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2"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041" w:type="dxa"/>
            <w:gridSpan w:val="9"/>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val="0"/>
          <w:bCs/>
          <w:color w:val="auto"/>
          <w:kern w:val="0"/>
          <w:sz w:val="32"/>
          <w:szCs w:val="32"/>
          <w:highlight w:val="none"/>
        </w:rPr>
        <w:t>本</w:t>
      </w:r>
      <w:r>
        <w:rPr>
          <w:rFonts w:hint="eastAsia" w:ascii="仿宋_GB2312" w:hAnsi="宋体" w:eastAsia="仿宋_GB2312"/>
          <w:b w:val="0"/>
          <w:bCs/>
          <w:color w:val="auto"/>
          <w:kern w:val="0"/>
          <w:sz w:val="32"/>
          <w:szCs w:val="32"/>
          <w:highlight w:val="none"/>
          <w:lang w:eastAsia="zh-CN"/>
        </w:rPr>
        <w:t>单位</w:t>
      </w:r>
      <w:r>
        <w:rPr>
          <w:rFonts w:hint="eastAsia" w:ascii="仿宋_GB2312" w:hAnsi="宋体" w:eastAsia="仿宋_GB2312"/>
          <w:b w:val="0"/>
          <w:bCs/>
          <w:color w:val="auto"/>
          <w:kern w:val="0"/>
          <w:sz w:val="32"/>
          <w:szCs w:val="32"/>
          <w:highlight w:val="none"/>
        </w:rPr>
        <w:t>本年度无相关支出情况，按要求空表列示</w:t>
      </w:r>
      <w:r>
        <w:rPr>
          <w:rFonts w:hint="eastAsia" w:ascii="仿宋_GB2312" w:hAnsi="宋体" w:eastAsia="仿宋_GB2312"/>
          <w:b/>
          <w:color w:val="auto"/>
          <w:kern w:val="0"/>
          <w:sz w:val="32"/>
          <w:szCs w:val="32"/>
          <w:highlight w:val="none"/>
        </w:rPr>
        <w:br w:type="page"/>
      </w:r>
    </w:p>
    <w:tbl>
      <w:tblPr>
        <w:tblStyle w:val="13"/>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编制单位（单位）：石家庄市鹿泉区海山公园</w:t>
            </w:r>
          </w:p>
        </w:tc>
        <w:tc>
          <w:tcPr>
            <w:tcW w:w="2166"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22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77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133"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18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pPr>
        <w:jc w:val="left"/>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r>
        <w:rPr>
          <w:rFonts w:hint="eastAsia" w:ascii="仿宋_GB2312" w:hAnsi="宋体" w:eastAsia="仿宋_GB2312"/>
          <w:b w:val="0"/>
          <w:bCs/>
          <w:color w:val="auto"/>
          <w:kern w:val="0"/>
          <w:sz w:val="32"/>
          <w:szCs w:val="32"/>
          <w:highlight w:val="none"/>
        </w:rPr>
        <w:t>本</w:t>
      </w:r>
      <w:r>
        <w:rPr>
          <w:rFonts w:hint="eastAsia" w:ascii="仿宋_GB2312" w:hAnsi="宋体" w:eastAsia="仿宋_GB2312"/>
          <w:b w:val="0"/>
          <w:bCs/>
          <w:color w:val="auto"/>
          <w:kern w:val="0"/>
          <w:sz w:val="32"/>
          <w:szCs w:val="32"/>
          <w:highlight w:val="none"/>
          <w:lang w:eastAsia="zh-CN"/>
        </w:rPr>
        <w:t>单位</w:t>
      </w:r>
      <w:r>
        <w:rPr>
          <w:rFonts w:hint="eastAsia" w:ascii="仿宋_GB2312" w:hAnsi="宋体" w:eastAsia="仿宋_GB2312"/>
          <w:b w:val="0"/>
          <w:bCs/>
          <w:color w:val="auto"/>
          <w:kern w:val="0"/>
          <w:sz w:val="32"/>
          <w:szCs w:val="32"/>
          <w:highlight w:val="none"/>
        </w:rPr>
        <w:t>本年度无相关支出情况，按要求空表列示</w:t>
      </w:r>
      <w:r>
        <w:rPr>
          <w:rFonts w:hint="eastAsia" w:ascii="仿宋_GB2312" w:hAnsi="宋体" w:eastAsia="仿宋_GB2312"/>
          <w:b/>
          <w:color w:val="auto"/>
          <w:kern w:val="0"/>
          <w:sz w:val="32"/>
          <w:szCs w:val="32"/>
          <w:highlight w:val="none"/>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lang w:eastAsia="zh-CN"/>
        </w:rPr>
        <w:t>单位</w:t>
      </w:r>
      <w:r>
        <w:rPr>
          <w:rFonts w:hint="eastAsia" w:ascii="黑体" w:hAnsi="宋体" w:eastAsia="黑体" w:cs="黑体"/>
          <w:i w:val="0"/>
          <w:iCs w:val="0"/>
          <w:caps w:val="0"/>
          <w:color w:val="000000"/>
          <w:spacing w:val="-20"/>
          <w:sz w:val="72"/>
          <w:szCs w:val="72"/>
          <w:highlight w:val="none"/>
          <w:shd w:val="clear" w:fill="FFFFFF"/>
        </w:rPr>
        <w:t>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本单位</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2,965.16</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减少74.19万元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下降2.44%，</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val="en-US" w:eastAsia="zh-CN"/>
        </w:rPr>
        <w:t>2023年初公用经费预算减少，</w:t>
      </w:r>
      <w:r>
        <w:rPr>
          <w:rFonts w:hint="eastAsia" w:ascii="Times New Roman" w:hAnsi="Times New Roman" w:eastAsia="仿宋_GB2312" w:cs="Times New Roman"/>
          <w:kern w:val="2"/>
          <w:sz w:val="32"/>
          <w:szCs w:val="32"/>
          <w:lang w:eastAsia="zh-CN"/>
        </w:rPr>
        <w:t>日常公用经费支出减少</w:t>
      </w:r>
      <w:bookmarkStart w:id="0" w:name="_GoBack"/>
      <w:bookmarkEnd w:id="0"/>
      <w:r>
        <w:rPr>
          <w:rFonts w:hint="default" w:ascii="Times New Roman" w:hAnsi="Times New Roman" w:eastAsia="仿宋_GB2312" w:cs="Times New Roman"/>
          <w:kern w:val="2"/>
          <w:sz w:val="32"/>
          <w:szCs w:val="32"/>
          <w:lang w:val="en-US" w:eastAsia="zh-CN" w:bidi="ar-SA"/>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2,961.11</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2,961.11</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pPr>
        <w:adjustRightInd w:val="0"/>
        <w:snapToGrid w:val="0"/>
        <w:spacing w:line="580" w:lineRule="exact"/>
        <w:rPr>
          <w:rFonts w:hint="default" w:ascii="Times New Roman" w:hAnsi="Times New Roman" w:eastAsia="仿宋_GB2312" w:cs="Times New Roman"/>
          <w:kern w:val="2"/>
          <w:sz w:val="32"/>
          <w:szCs w:val="32"/>
          <w:highlight w:val="none"/>
          <w:lang w:val="en-US" w:eastAsia="zh-CN"/>
        </w:rPr>
      </w:pPr>
      <w:r>
        <w:rPr>
          <w:rFonts w:hint="eastAsia" w:ascii="Times New Roman" w:hAnsi="Times New Roman" w:eastAsia="仿宋_GB2312" w:cs="Times New Roman"/>
          <w:kern w:val="2"/>
          <w:sz w:val="32"/>
          <w:szCs w:val="32"/>
          <w:highlight w:val="none"/>
          <w:lang w:val="en-US" w:eastAsia="zh-CN"/>
        </w:rPr>
        <w:t xml:space="preserve">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2,959.07万元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1,999.43万元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占67.57%；</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959.64万元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占32.43%；</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256530" cy="2988310"/>
            <wp:effectExtent l="5080" t="4445" r="15240" b="1714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年度财政拨款本年收入2,961.11</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color w:val="auto"/>
          <w:kern w:val="2"/>
          <w:sz w:val="32"/>
          <w:szCs w:val="32"/>
          <w:lang w:val="zh-CN" w:eastAsia="zh-CN" w:bidi="ar-SA"/>
        </w:rPr>
        <w:t>减少69.43万元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降低2.29%，</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5名职工退休</w:t>
      </w:r>
      <w:r>
        <w:rPr>
          <w:rFonts w:hint="default" w:ascii="Times New Roman" w:hAnsi="Times New Roman" w:eastAsia="仿宋_GB2312" w:cs="Times New Roman"/>
          <w:color w:val="auto"/>
          <w:kern w:val="2"/>
          <w:sz w:val="32"/>
          <w:szCs w:val="32"/>
          <w:lang w:val="zh-CN" w:eastAsia="zh-CN" w:bidi="ar-SA"/>
        </w:rPr>
        <w:t>；本年支出 2,959.07</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减少76.23万元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降低2.51%，</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5名职工退休</w:t>
      </w:r>
      <w:r>
        <w:rPr>
          <w:rFonts w:hint="default" w:ascii="Times New Roman" w:hAnsi="Times New Roman" w:eastAsia="仿宋_GB2312" w:cs="Times New Roman"/>
          <w:color w:val="auto"/>
          <w:kern w:val="2"/>
          <w:sz w:val="32"/>
          <w:szCs w:val="32"/>
          <w:lang w:val="zh-CN" w:eastAsia="zh-CN" w:bidi="ar-SA"/>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highlight w:val="none"/>
          <w:lang w:val="zh-CN"/>
        </w:rPr>
      </w:pPr>
      <w:r>
        <w:rPr>
          <w:rFonts w:hint="default" w:ascii="Times New Roman" w:hAnsi="Times New Roman" w:eastAsia="仿宋_GB2312" w:cs="Times New Roman"/>
          <w:kern w:val="2"/>
          <w:sz w:val="32"/>
          <w:szCs w:val="32"/>
          <w:lang w:val="zh-CN"/>
        </w:rPr>
        <w:t xml:space="preserve">1. </w:t>
      </w:r>
      <w:r>
        <w:rPr>
          <w:rFonts w:hint="default" w:ascii="Times New Roman" w:hAnsi="Times New Roman" w:eastAsia="仿宋_GB2312" w:cs="Times New Roman"/>
          <w:kern w:val="2"/>
          <w:sz w:val="32"/>
          <w:szCs w:val="32"/>
          <w:highlight w:val="none"/>
          <w:lang w:val="zh-CN"/>
        </w:rPr>
        <w:t>一般公共预算财政拨款本年收入2,961.11</w:t>
      </w:r>
      <w:r>
        <w:rPr>
          <w:rFonts w:hint="default" w:ascii="Times New Roman" w:hAnsi="Times New Roman" w:eastAsia="仿宋_GB2312" w:cs="Times New Roman"/>
          <w:kern w:val="2"/>
          <w:sz w:val="32"/>
          <w:szCs w:val="32"/>
          <w:highlight w:val="none"/>
          <w:lang w:val="zh-CN" w:eastAsia="zh-CN"/>
        </w:rPr>
        <w:t>万元</w:t>
      </w:r>
      <w:r>
        <w:rPr>
          <w:rFonts w:hint="default" w:ascii="Times New Roman" w:hAnsi="Times New Roman" w:eastAsia="仿宋_GB2312" w:cs="Times New Roman"/>
          <w:kern w:val="2"/>
          <w:sz w:val="32"/>
          <w:szCs w:val="32"/>
          <w:highlight w:val="none"/>
          <w:lang w:val="zh-CN"/>
        </w:rPr>
        <w:t>,比上年</w:t>
      </w:r>
      <w:r>
        <w:rPr>
          <w:rFonts w:hint="eastAsia" w:ascii="Times New Roman" w:hAnsi="Times New Roman" w:eastAsia="仿宋_GB2312" w:cs="Times New Roman"/>
          <w:sz w:val="30"/>
          <w:szCs w:val="30"/>
          <w:highlight w:val="none"/>
          <w:lang w:val="zh-CN"/>
        </w:rPr>
        <w:t>增加14.87万元，增长0.5%，</w:t>
      </w:r>
      <w:r>
        <w:rPr>
          <w:rFonts w:hint="default" w:ascii="Times New Roman" w:hAnsi="Times New Roman" w:eastAsia="仿宋_GB2312" w:cs="Times New Roman"/>
          <w:kern w:val="2"/>
          <w:sz w:val="32"/>
          <w:szCs w:val="32"/>
          <w:highlight w:val="none"/>
          <w:lang w:val="zh-CN"/>
        </w:rPr>
        <w:t>主要是</w:t>
      </w:r>
      <w:r>
        <w:rPr>
          <w:rFonts w:hint="eastAsia" w:ascii="Times New Roman" w:hAnsi="Times New Roman" w:eastAsia="仿宋_GB2312" w:cs="Times New Roman"/>
          <w:kern w:val="2"/>
          <w:sz w:val="32"/>
          <w:szCs w:val="32"/>
          <w:highlight w:val="none"/>
          <w:lang w:val="en-US" w:eastAsia="zh-CN"/>
        </w:rPr>
        <w:t>2023年初公用经费预算增加</w:t>
      </w:r>
      <w:r>
        <w:rPr>
          <w:rFonts w:hint="default" w:ascii="Times New Roman" w:hAnsi="Times New Roman" w:eastAsia="仿宋_GB2312" w:cs="Times New Roman"/>
          <w:kern w:val="2"/>
          <w:sz w:val="32"/>
          <w:szCs w:val="32"/>
          <w:highlight w:val="none"/>
          <w:lang w:val="zh-CN"/>
        </w:rPr>
        <w:t>；本年支出2,959.07</w:t>
      </w:r>
      <w:r>
        <w:rPr>
          <w:rFonts w:hint="default" w:ascii="Times New Roman" w:hAnsi="Times New Roman" w:eastAsia="仿宋_GB2312" w:cs="Times New Roman"/>
          <w:kern w:val="2"/>
          <w:sz w:val="32"/>
          <w:szCs w:val="32"/>
          <w:highlight w:val="none"/>
          <w:lang w:val="en-US" w:eastAsia="zh-CN"/>
        </w:rPr>
        <w:t>万</w:t>
      </w:r>
      <w:r>
        <w:rPr>
          <w:rFonts w:hint="default" w:ascii="Times New Roman" w:hAnsi="Times New Roman" w:eastAsia="仿宋_GB2312" w:cs="Times New Roman"/>
          <w:kern w:val="2"/>
          <w:sz w:val="32"/>
          <w:szCs w:val="32"/>
          <w:highlight w:val="none"/>
          <w:lang w:val="zh-CN"/>
        </w:rPr>
        <w:t>元，比上年</w:t>
      </w:r>
      <w:r>
        <w:rPr>
          <w:rFonts w:hint="eastAsia" w:ascii="Times New Roman" w:hAnsi="Times New Roman" w:eastAsia="仿宋_GB2312" w:cs="Times New Roman"/>
          <w:sz w:val="30"/>
          <w:szCs w:val="30"/>
          <w:highlight w:val="none"/>
          <w:lang w:val="zh-CN"/>
        </w:rPr>
        <w:t>增加13.04万元</w:t>
      </w:r>
      <w:r>
        <w:rPr>
          <w:rFonts w:hint="default" w:ascii="Times New Roman" w:hAnsi="Times New Roman" w:eastAsia="仿宋_GB2312" w:cs="Times New Roman"/>
          <w:kern w:val="2"/>
          <w:sz w:val="32"/>
          <w:szCs w:val="32"/>
          <w:highlight w:val="none"/>
          <w:lang w:val="zh-CN"/>
        </w:rPr>
        <w:t>，</w:t>
      </w:r>
      <w:r>
        <w:rPr>
          <w:rFonts w:hint="eastAsia" w:ascii="Times New Roman" w:hAnsi="Times New Roman" w:eastAsia="仿宋_GB2312" w:cs="Times New Roman"/>
          <w:sz w:val="30"/>
          <w:szCs w:val="30"/>
          <w:highlight w:val="none"/>
          <w:lang w:val="zh-CN"/>
        </w:rPr>
        <w:t>增长0.44%，</w:t>
      </w:r>
      <w:r>
        <w:rPr>
          <w:rFonts w:hint="default" w:ascii="Times New Roman" w:hAnsi="Times New Roman" w:eastAsia="仿宋_GB2312" w:cs="Times New Roman"/>
          <w:kern w:val="2"/>
          <w:sz w:val="32"/>
          <w:szCs w:val="32"/>
          <w:highlight w:val="none"/>
          <w:lang w:val="zh-CN"/>
        </w:rPr>
        <w:t>主要是</w:t>
      </w:r>
      <w:r>
        <w:rPr>
          <w:rFonts w:hint="eastAsia" w:ascii="Times New Roman" w:hAnsi="Times New Roman" w:eastAsia="仿宋_GB2312" w:cs="Times New Roman"/>
          <w:kern w:val="2"/>
          <w:sz w:val="32"/>
          <w:szCs w:val="32"/>
          <w:lang w:eastAsia="zh-CN"/>
        </w:rPr>
        <w:t>日常公用经费支出增加</w:t>
      </w:r>
      <w:r>
        <w:rPr>
          <w:rFonts w:hint="default" w:ascii="Times New Roman" w:hAnsi="Times New Roman" w:eastAsia="仿宋_GB2312" w:cs="Times New Roman"/>
          <w:kern w:val="2"/>
          <w:sz w:val="32"/>
          <w:szCs w:val="32"/>
          <w:highlight w:val="none"/>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减少84.3万元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降低100%，</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en-US" w:eastAsia="zh-CN"/>
        </w:rPr>
        <w:t>2023年政府性基金收入</w:t>
      </w:r>
      <w:r>
        <w:rPr>
          <w:rFonts w:hint="default" w:ascii="Times New Roman" w:hAnsi="Times New Roman" w:eastAsia="仿宋_GB2312" w:cs="Times New Roman"/>
          <w:kern w:val="2"/>
          <w:sz w:val="32"/>
          <w:szCs w:val="32"/>
          <w:lang w:val="zh-CN"/>
        </w:rPr>
        <w:t>；本年支出 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减少89.27万元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降低100%，</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en-US" w:eastAsia="zh-CN"/>
        </w:rPr>
        <w:t>2023年政府性基金支出</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446395" cy="3140075"/>
            <wp:effectExtent l="4445" t="4445" r="16510" b="17780"/>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年度财政拨款本年收入2,961.11万元，完成年初预算的96.17%，比年初预算</w:t>
      </w:r>
      <w:r>
        <w:rPr>
          <w:rFonts w:hint="eastAsia" w:ascii="Times New Roman" w:hAnsi="Times New Roman" w:eastAsia="仿宋_GB2312" w:cs="Times New Roman"/>
          <w:sz w:val="30"/>
          <w:szCs w:val="30"/>
          <w:highlight w:val="none"/>
          <w:lang w:val="zh-CN"/>
        </w:rPr>
        <w:t>减少117.85万元</w:t>
      </w:r>
      <w:r>
        <w:rPr>
          <w:rFonts w:hint="default" w:ascii="Times New Roman" w:hAnsi="Times New Roman" w:eastAsia="仿宋_GB2312" w:cs="Times New Roman"/>
          <w:color w:val="auto"/>
          <w:kern w:val="2"/>
          <w:sz w:val="32"/>
          <w:szCs w:val="32"/>
          <w:lang w:val="zh-CN" w:eastAsia="zh-CN" w:bidi="ar-SA"/>
        </w:rPr>
        <w:t>，决算数小于预算数主要原因是</w:t>
      </w:r>
      <w:r>
        <w:rPr>
          <w:rFonts w:hint="eastAsia" w:ascii="Times New Roman" w:hAnsi="Times New Roman" w:eastAsia="仿宋_GB2312" w:cs="Times New Roman"/>
          <w:color w:val="auto"/>
          <w:kern w:val="2"/>
          <w:sz w:val="32"/>
          <w:szCs w:val="32"/>
          <w:lang w:val="zh-CN" w:eastAsia="zh-CN" w:bidi="ar-SA"/>
        </w:rPr>
        <w:t>职工退休</w:t>
      </w:r>
      <w:r>
        <w:rPr>
          <w:rFonts w:hint="default" w:ascii="Times New Roman" w:hAnsi="Times New Roman" w:eastAsia="仿宋_GB2312" w:cs="Times New Roman"/>
          <w:color w:val="auto"/>
          <w:kern w:val="2"/>
          <w:sz w:val="32"/>
          <w:szCs w:val="32"/>
          <w:lang w:val="zh-CN" w:eastAsia="zh-CN" w:bidi="ar-SA"/>
        </w:rPr>
        <w:t>；本年支出2,959.07万元，完成年初预算的96.11%，比年初预算</w:t>
      </w:r>
      <w:r>
        <w:rPr>
          <w:rFonts w:hint="eastAsia" w:ascii="Times New Roman" w:hAnsi="Times New Roman" w:eastAsia="仿宋_GB2312" w:cs="Times New Roman"/>
          <w:sz w:val="30"/>
          <w:szCs w:val="30"/>
          <w:highlight w:val="none"/>
          <w:lang w:val="zh-CN"/>
        </w:rPr>
        <w:t>减少119.89万元</w:t>
      </w:r>
      <w:r>
        <w:rPr>
          <w:rFonts w:hint="default" w:ascii="Times New Roman" w:hAnsi="Times New Roman" w:eastAsia="仿宋_GB2312" w:cs="Times New Roman"/>
          <w:color w:val="auto"/>
          <w:kern w:val="2"/>
          <w:sz w:val="32"/>
          <w:szCs w:val="32"/>
          <w:lang w:val="zh-CN" w:eastAsia="zh-CN" w:bidi="ar-SA"/>
        </w:rPr>
        <w:t>，决算数小于</w:t>
      </w:r>
      <w:r>
        <w:rPr>
          <w:rFonts w:hint="default" w:ascii="Times New Roman" w:hAnsi="Times New Roman" w:eastAsia="仿宋_GB2312" w:cs="Times New Roman"/>
          <w:kern w:val="2"/>
          <w:sz w:val="32"/>
          <w:szCs w:val="32"/>
          <w:lang w:val="zh-CN"/>
        </w:rPr>
        <w:t>预算数主要原因是</w:t>
      </w:r>
      <w:r>
        <w:rPr>
          <w:rFonts w:hint="eastAsia" w:ascii="Times New Roman" w:hAnsi="Times New Roman" w:eastAsia="仿宋_GB2312" w:cs="Times New Roman"/>
          <w:kern w:val="2"/>
          <w:sz w:val="32"/>
          <w:szCs w:val="32"/>
          <w:lang w:val="zh-CN"/>
        </w:rPr>
        <w:t>职工退休</w:t>
      </w:r>
      <w:r>
        <w:rPr>
          <w:rFonts w:hint="default"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收入2,961.11万元，完成年初预算的 96.17%，比年初预算</w:t>
      </w:r>
      <w:r>
        <w:rPr>
          <w:rFonts w:hint="eastAsia" w:ascii="Times New Roman" w:hAnsi="Times New Roman" w:eastAsia="仿宋_GB2312" w:cs="Times New Roman"/>
          <w:sz w:val="30"/>
          <w:szCs w:val="30"/>
          <w:highlight w:val="none"/>
          <w:lang w:val="zh-CN"/>
        </w:rPr>
        <w:t>减少117.85万元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职工退休</w:t>
      </w:r>
      <w:r>
        <w:rPr>
          <w:rFonts w:hint="default" w:ascii="Times New Roman" w:hAnsi="Times New Roman" w:eastAsia="仿宋_GB2312" w:cs="Times New Roman"/>
          <w:kern w:val="2"/>
          <w:sz w:val="32"/>
          <w:szCs w:val="32"/>
          <w:lang w:val="zh-CN"/>
        </w:rPr>
        <w:t>；本年支出2,959.07万元，完成年初预算的96.11%，比年初预算</w:t>
      </w:r>
      <w:r>
        <w:rPr>
          <w:rFonts w:hint="eastAsia" w:ascii="Times New Roman" w:hAnsi="Times New Roman" w:eastAsia="仿宋_GB2312" w:cs="Times New Roman"/>
          <w:sz w:val="30"/>
          <w:szCs w:val="30"/>
          <w:highlight w:val="none"/>
          <w:lang w:val="zh-CN"/>
        </w:rPr>
        <w:t>减少119.89万元</w:t>
      </w:r>
      <w:r>
        <w:rPr>
          <w:rFonts w:hint="default" w:ascii="Times New Roman" w:hAnsi="Times New Roman" w:eastAsia="仿宋_GB2312" w:cs="Times New Roman"/>
          <w:kern w:val="2"/>
          <w:sz w:val="32"/>
          <w:szCs w:val="32"/>
          <w:lang w:val="zh-CN"/>
        </w:rPr>
        <w:t>，主要原因是主要是</w:t>
      </w:r>
      <w:r>
        <w:rPr>
          <w:rFonts w:hint="eastAsia" w:ascii="Times New Roman" w:hAnsi="Times New Roman" w:eastAsia="仿宋_GB2312" w:cs="Times New Roman"/>
          <w:kern w:val="2"/>
          <w:sz w:val="32"/>
          <w:szCs w:val="32"/>
          <w:lang w:val="zh-CN"/>
        </w:rPr>
        <w:t>职工退休</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年度财政拨款支出2,959.07万元，主要用于以下方面：</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社会保障和就业 （类）支出672.44万元，占22.72%；卫生健康（类）支出92.52万元，占3.13%；城乡社区（类）支出2,074.47万元，占70.11%；住房保障（类）支出119.65万元，占4.04%；</w:t>
      </w:r>
      <w:r>
        <w:rPr>
          <w:rFonts w:ascii="Times New Roman" w:hAnsi="Times New Roman" w:eastAsia="仿宋_GB2312"/>
          <w:kern w:val="2"/>
          <w:sz w:val="32"/>
          <w:szCs w:val="32"/>
          <w:lang w:val="zh-CN"/>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pStyle w:val="10"/>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年度财政拨款基本支出1,999.43万元，其中：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人员经费1,884.99万元，主要包括基本工资、津贴补贴、奖金、绩效工资、机关事业</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基本养老保险缴费、职业年金缴费、职工基本医疗保险缴费、公务员医疗补助缴费、住房公积金、其他社会保障缴费、 退休费、 抚恤金、生活补助、奖励金。</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公用经费114.43万元，主要包括办公费电费、邮电费、取暖费、维修（护）费、委托业务费、工会经费、福利费、其他商品和服务支出。</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年度“三公”经费财政拨款支出预算为0万元，支出决算为0万元，完成预算的0%，较预算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与</w:t>
      </w:r>
      <w:r>
        <w:rPr>
          <w:rFonts w:hint="default" w:ascii="Times New Roman" w:hAnsi="Times New Roman" w:eastAsia="仿宋_GB2312" w:cs="Times New Roman"/>
          <w:color w:val="auto"/>
          <w:kern w:val="2"/>
          <w:sz w:val="32"/>
          <w:szCs w:val="32"/>
          <w:lang w:val="zh-CN" w:eastAsia="zh-CN" w:bidi="ar-SA"/>
        </w:rPr>
        <w:t>2022年度决算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本单位</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kern w:val="2"/>
          <w:sz w:val="32"/>
          <w:szCs w:val="32"/>
          <w:lang w:val="zh-CN" w:eastAsia="zh-CN" w:bidi="ar-SA"/>
        </w:rPr>
        <w:t>较</w:t>
      </w:r>
      <w:r>
        <w:rPr>
          <w:rFonts w:hint="eastAsia" w:ascii="Times New Roman" w:hAnsi="Times New Roman" w:eastAsia="仿宋_GB2312" w:cs="Times New Roman"/>
          <w:color w:val="auto"/>
          <w:kern w:val="2"/>
          <w:sz w:val="32"/>
          <w:szCs w:val="32"/>
          <w:lang w:val="en-US" w:eastAsia="zh-CN" w:bidi="ar-SA"/>
        </w:rPr>
        <w:t>2022年度决算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个、共</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人</w:t>
      </w:r>
      <w:r>
        <w:rPr>
          <w:rFonts w:hint="eastAsia"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kern w:val="2"/>
          <w:sz w:val="32"/>
          <w:szCs w:val="32"/>
          <w:lang w:val="en-US" w:eastAsia="zh-CN" w:bidi="ar-SA"/>
        </w:rPr>
        <w:t>无本</w:t>
      </w:r>
      <w:r>
        <w:rPr>
          <w:rFonts w:hint="eastAsia" w:ascii="Times New Roman" w:hAnsi="Times New Roman" w:eastAsia="仿宋_GB2312" w:cs="Times New Roman"/>
          <w:color w:val="auto"/>
          <w:kern w:val="2"/>
          <w:sz w:val="32"/>
          <w:szCs w:val="32"/>
          <w:lang w:val="en-US" w:eastAsia="zh-CN" w:bidi="ar-SA"/>
        </w:rPr>
        <w:t>单位</w:t>
      </w:r>
      <w:r>
        <w:rPr>
          <w:rFonts w:hint="default" w:ascii="Times New Roman" w:hAnsi="Times New Roman" w:eastAsia="仿宋_GB2312" w:cs="Times New Roman"/>
          <w:color w:val="auto"/>
          <w:kern w:val="2"/>
          <w:sz w:val="32"/>
          <w:szCs w:val="32"/>
          <w:lang w:val="en-US" w:eastAsia="zh-CN" w:bidi="ar-SA"/>
        </w:rPr>
        <w:t>组织的出国（境）团组。</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年度公务用车购置及运行维护费预算为0万元，支出决算 0万元，较预算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与</w:t>
      </w:r>
      <w:r>
        <w:rPr>
          <w:rFonts w:hint="eastAsia" w:ascii="Times New Roman" w:hAnsi="Times New Roman" w:eastAsia="仿宋_GB2312" w:cs="Times New Roman"/>
          <w:color w:val="auto"/>
          <w:kern w:val="2"/>
          <w:sz w:val="32"/>
          <w:szCs w:val="32"/>
          <w:lang w:val="en-US" w:eastAsia="zh-CN" w:bidi="ar-SA"/>
        </w:rPr>
        <w:t>2022年度决算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Arial" w:cs="Times New Roman"/>
          <w:highlight w:val="none"/>
        </w:rPr>
      </w:pPr>
    </w:p>
    <w:p>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与</w:t>
      </w:r>
      <w:r>
        <w:rPr>
          <w:rFonts w:hint="eastAsia" w:ascii="Times New Roman" w:hAnsi="Times New Roman" w:eastAsia="仿宋_GB2312" w:cs="Times New Roman"/>
          <w:color w:val="auto"/>
          <w:kern w:val="2"/>
          <w:sz w:val="32"/>
          <w:szCs w:val="32"/>
          <w:lang w:val="en-US" w:eastAsia="zh-CN" w:bidi="ar-SA"/>
        </w:rPr>
        <w:t>2022年度决算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年度单位公务用车保有量0辆，发生运行维护费支出0万元。公车运行维护费支出较预算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与</w:t>
      </w:r>
      <w:r>
        <w:rPr>
          <w:rFonts w:hint="eastAsia" w:ascii="Times New Roman" w:hAnsi="Times New Roman" w:eastAsia="仿宋_GB2312" w:cs="Times New Roman"/>
          <w:color w:val="auto"/>
          <w:kern w:val="2"/>
          <w:sz w:val="32"/>
          <w:szCs w:val="32"/>
          <w:lang w:val="en-US" w:eastAsia="zh-CN" w:bidi="ar-SA"/>
        </w:rPr>
        <w:t>2022年度决算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年度公务接待费支出预算为0万元，支出决算0万元。公务接待费支出较预算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与</w:t>
      </w:r>
      <w:r>
        <w:rPr>
          <w:rFonts w:hint="eastAsia" w:ascii="Times New Roman" w:hAnsi="Times New Roman" w:eastAsia="仿宋_GB2312" w:cs="Times New Roman"/>
          <w:color w:val="auto"/>
          <w:kern w:val="2"/>
          <w:sz w:val="32"/>
          <w:szCs w:val="32"/>
          <w:lang w:val="en-US" w:eastAsia="zh-CN" w:bidi="ar-SA"/>
        </w:rPr>
        <w:t>2022年度决算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宋体" w:cs="Times New Roman"/>
          <w:i w:val="0"/>
          <w:iCs w:val="0"/>
          <w:caps w:val="0"/>
          <w:color w:val="333333"/>
          <w:spacing w:val="0"/>
          <w:sz w:val="19"/>
          <w:szCs w:val="19"/>
          <w:highlight w:val="none"/>
          <w:shd w:val="clear" w:fill="FFFFFF"/>
          <w:lang w:val="en-US" w:eastAsia="zh-CN"/>
        </w:rPr>
        <w:t xml:space="preserve">     </w:t>
      </w:r>
      <w:r>
        <w:rPr>
          <w:rFonts w:hint="eastAsia" w:ascii="仿宋_GB2312" w:hAnsi="仿宋_GB2312" w:eastAsia="仿宋_GB2312" w:cs="仿宋_GB2312"/>
          <w:color w:val="auto"/>
          <w:sz w:val="32"/>
          <w:szCs w:val="32"/>
          <w:highlight w:val="none"/>
          <w:lang w:eastAsia="zh-CN"/>
        </w:rPr>
        <w:t>本单位为事业单位，无一般公共预算安排的机关运行经费支出</w:t>
      </w:r>
    </w:p>
    <w:p>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w:t>
      </w:r>
      <w:r>
        <w:rPr>
          <w:rFonts w:hint="eastAsia" w:ascii="Times New Roman" w:hAnsi="Times New Roman" w:eastAsia="仿宋_GB2312" w:cs="Times New Roman"/>
          <w:color w:val="auto"/>
          <w:kern w:val="2"/>
          <w:sz w:val="32"/>
          <w:szCs w:val="32"/>
          <w:lang w:val="en-US" w:eastAsia="zh-CN" w:bidi="ar-SA"/>
        </w:rPr>
        <w:t>474.79</w:t>
      </w:r>
      <w:r>
        <w:rPr>
          <w:rFonts w:hint="default" w:ascii="Times New Roman" w:hAnsi="Times New Roman" w:eastAsia="仿宋_GB2312" w:cs="Times New Roman"/>
          <w:color w:val="auto"/>
          <w:kern w:val="2"/>
          <w:sz w:val="32"/>
          <w:szCs w:val="32"/>
          <w:lang w:val="zh-CN" w:eastAsia="zh-CN" w:bidi="ar-SA"/>
        </w:rPr>
        <w:t>万元，从采购类型来看，政府采购货物支出</w:t>
      </w:r>
      <w:r>
        <w:rPr>
          <w:rFonts w:hint="eastAsia" w:ascii="Times New Roman" w:hAnsi="Times New Roman" w:eastAsia="仿宋_GB2312" w:cs="Times New Roman"/>
          <w:color w:val="auto"/>
          <w:kern w:val="2"/>
          <w:sz w:val="32"/>
          <w:szCs w:val="32"/>
          <w:lang w:val="en-US" w:eastAsia="zh-CN" w:bidi="ar-SA"/>
        </w:rPr>
        <w:t>1.15</w:t>
      </w:r>
      <w:r>
        <w:rPr>
          <w:rFonts w:hint="default" w:ascii="Times New Roman" w:hAnsi="Times New Roman" w:eastAsia="仿宋_GB2312" w:cs="Times New Roman"/>
          <w:color w:val="auto"/>
          <w:kern w:val="2"/>
          <w:sz w:val="32"/>
          <w:szCs w:val="32"/>
          <w:lang w:val="zh-CN" w:eastAsia="zh-CN" w:bidi="ar-SA"/>
        </w:rPr>
        <w:t>万元、政府采购工程支出0万元、政府采购服务支出</w:t>
      </w:r>
      <w:r>
        <w:rPr>
          <w:rFonts w:hint="eastAsia" w:ascii="Times New Roman" w:hAnsi="Times New Roman" w:eastAsia="仿宋_GB2312" w:cs="Times New Roman"/>
          <w:color w:val="auto"/>
          <w:kern w:val="2"/>
          <w:sz w:val="32"/>
          <w:szCs w:val="32"/>
          <w:lang w:val="en-US" w:eastAsia="zh-CN" w:bidi="ar-SA"/>
        </w:rPr>
        <w:t>473.64</w:t>
      </w:r>
      <w:r>
        <w:rPr>
          <w:rFonts w:hint="default" w:ascii="Times New Roman" w:hAnsi="Times New Roman" w:eastAsia="仿宋_GB2312" w:cs="Times New Roman"/>
          <w:color w:val="auto"/>
          <w:kern w:val="2"/>
          <w:sz w:val="32"/>
          <w:szCs w:val="32"/>
          <w:lang w:val="zh-CN" w:eastAsia="zh-CN" w:bidi="ar-SA"/>
        </w:rPr>
        <w:t>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0万元，占政府采购支出总额的0%，其中授予小微企业合同金额0万元，占政府采购支出总额的0%。</w:t>
      </w:r>
    </w:p>
    <w:p>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年12月31日，本单位共有车辆6辆，比上年</w:t>
      </w:r>
      <w:r>
        <w:rPr>
          <w:rFonts w:hint="eastAsia" w:ascii="Times New Roman" w:hAnsi="Times New Roman" w:eastAsia="仿宋_GB2312" w:cs="Times New Roman"/>
          <w:color w:val="auto"/>
          <w:kern w:val="2"/>
          <w:sz w:val="32"/>
          <w:szCs w:val="32"/>
          <w:lang w:val="zh-CN" w:eastAsia="zh-CN" w:bidi="ar-SA"/>
        </w:rPr>
        <w:t>增加4</w:t>
      </w:r>
      <w:r>
        <w:rPr>
          <w:rFonts w:hint="default" w:ascii="Times New Roman" w:hAnsi="Times New Roman" w:eastAsia="仿宋_GB2312" w:cs="Times New Roman"/>
          <w:color w:val="auto"/>
          <w:kern w:val="2"/>
          <w:sz w:val="32"/>
          <w:szCs w:val="32"/>
          <w:lang w:val="zh-CN" w:eastAsia="zh-CN" w:bidi="ar-SA"/>
        </w:rPr>
        <w:t>辆</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主要是园路清扫车及洒水车。其中，副部（省）级及以上领导用车0辆，主要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用车0辆，机要通信用车0辆，应急保障用车0辆，执法执勤用车0辆，特种专业技术用车0辆，离退休干部用车0辆，其他用车6辆，其他用车 主要是</w:t>
      </w:r>
      <w:r>
        <w:rPr>
          <w:rFonts w:hint="eastAsia" w:ascii="Times New Roman" w:hAnsi="Times New Roman" w:eastAsia="仿宋_GB2312" w:cs="Times New Roman"/>
          <w:color w:val="auto"/>
          <w:kern w:val="2"/>
          <w:sz w:val="32"/>
          <w:szCs w:val="32"/>
          <w:lang w:val="zh-CN" w:eastAsia="zh-CN" w:bidi="ar-SA"/>
        </w:rPr>
        <w:t>园区生产用车</w:t>
      </w:r>
      <w:r>
        <w:rPr>
          <w:rFonts w:hint="default" w:ascii="Times New Roman" w:hAnsi="Times New Roman" w:eastAsia="仿宋_GB2312" w:cs="Times New Roman"/>
          <w:color w:val="auto"/>
          <w:kern w:val="2"/>
          <w:sz w:val="32"/>
          <w:szCs w:val="32"/>
          <w:lang w:val="zh-CN" w:eastAsia="zh-CN" w:bidi="ar-SA"/>
        </w:rPr>
        <w:t>。单位价值100万元（含）以上设备（不含车辆）0台（套）。</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color w:val="auto"/>
          <w:kern w:val="2"/>
          <w:sz w:val="32"/>
          <w:szCs w:val="32"/>
          <w:lang w:val="zh-CN" w:eastAsia="zh-CN" w:bidi="ar-SA"/>
        </w:rPr>
        <w:t>根据预算绩效管理要求，本单位组织对2023年度一般公共预算项目支出全面开展绩效自评，其中，一级项目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11</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959.64</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%。组织对“2023年南太平河生产维护费”“海山公园工程旧欠”等</w:t>
      </w:r>
      <w:r>
        <w:rPr>
          <w:rFonts w:hint="eastAsia" w:ascii="Times New Roman" w:hAnsi="Times New Roman" w:eastAsia="仿宋_GB2312" w:cs="Times New Roman"/>
          <w:color w:val="auto"/>
          <w:kern w:val="2"/>
          <w:sz w:val="32"/>
          <w:szCs w:val="32"/>
          <w:lang w:val="en-US" w:eastAsia="zh-CN" w:bidi="ar-SA"/>
        </w:rPr>
        <w:t>11</w:t>
      </w:r>
      <w:r>
        <w:rPr>
          <w:rFonts w:hint="default" w:ascii="Times New Roman" w:hAnsi="Times New Roman" w:eastAsia="仿宋_GB2312" w:cs="Times New Roman"/>
          <w:color w:val="auto"/>
          <w:kern w:val="2"/>
          <w:sz w:val="32"/>
          <w:szCs w:val="32"/>
          <w:lang w:val="zh-CN" w:eastAsia="zh-CN" w:bidi="ar-SA"/>
        </w:rPr>
        <w:t>个项目开展了</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评价，涉及一般公共预算支出</w:t>
      </w:r>
      <w:r>
        <w:rPr>
          <w:rFonts w:hint="eastAsia" w:ascii="Times New Roman" w:hAnsi="Times New Roman" w:eastAsia="仿宋_GB2312" w:cs="Times New Roman"/>
          <w:color w:val="auto"/>
          <w:kern w:val="2"/>
          <w:sz w:val="32"/>
          <w:szCs w:val="32"/>
          <w:lang w:val="en-US" w:eastAsia="zh-CN" w:bidi="ar-SA"/>
        </w:rPr>
        <w:t>959.64</w:t>
      </w:r>
      <w:r>
        <w:rPr>
          <w:rFonts w:hint="default" w:ascii="Times New Roman" w:hAnsi="Times New Roman" w:eastAsia="仿宋_GB2312" w:cs="Times New Roman"/>
          <w:color w:val="auto"/>
          <w:kern w:val="2"/>
          <w:sz w:val="32"/>
          <w:szCs w:val="32"/>
          <w:lang w:val="zh-CN" w:eastAsia="zh-CN" w:bidi="ar-SA"/>
        </w:rPr>
        <w:t>万元，政府性基金预算支出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万元，国有资本经营预算支出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w:t>
      </w:r>
      <w:r>
        <w:rPr>
          <w:rFonts w:hint="eastAsia" w:ascii="Times New Roman" w:hAnsi="Times New Roman" w:eastAsia="仿宋_GB2312" w:cs="Times New Roman"/>
          <w:b/>
          <w:bCs/>
          <w:sz w:val="32"/>
          <w:szCs w:val="32"/>
          <w:lang w:eastAsia="zh-CN"/>
        </w:rPr>
        <w:t>单位</w:t>
      </w:r>
      <w:r>
        <w:rPr>
          <w:rFonts w:hint="default" w:ascii="Times New Roman" w:hAnsi="Times New Roman" w:eastAsia="仿宋_GB2312" w:cs="Times New Roman"/>
          <w:b/>
          <w:bCs/>
          <w:sz w:val="32"/>
          <w:szCs w:val="32"/>
        </w:rPr>
        <w:t>决算中项目绩效自评结果（如有）</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本单位在今年</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决算公开中反映海山公园工程旧欠</w:t>
      </w:r>
      <w:r>
        <w:rPr>
          <w:rFonts w:hint="eastAsia" w:ascii="Times New Roman" w:hAnsi="Times New Roman" w:eastAsia="仿宋_GB2312" w:cs="Times New Roman"/>
          <w:color w:val="auto"/>
          <w:kern w:val="2"/>
          <w:sz w:val="32"/>
          <w:szCs w:val="32"/>
          <w:lang w:val="zh-CN" w:eastAsia="zh-CN" w:bidi="ar-SA"/>
        </w:rPr>
        <w:t>、2023年南太平河生产维护费、海山公园涉军劳务派遣职工经费</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个项目绩效自评结果。</w:t>
      </w:r>
    </w:p>
    <w:p>
      <w:pPr>
        <w:ind w:firstLine="640" w:firstLineChars="200"/>
        <w:rPr>
          <w:rFonts w:hint="eastAsia"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zh-CN" w:eastAsia="zh-CN" w:bidi="ar-SA"/>
        </w:rPr>
        <w:t>海山公园工程旧欠项目绩效自评情况：根据年初设定的绩效目标，海山公园工程旧欠项目绩效自评得分为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154</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154</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%。项目绩效目标完成情况：完成旧欠资金支付项目的数量</w:t>
      </w:r>
      <w:r>
        <w:rPr>
          <w:rFonts w:hint="eastAsia" w:ascii="Times New Roman" w:hAnsi="Times New Roman" w:eastAsia="仿宋_GB2312" w:cs="Times New Roman"/>
          <w:color w:val="auto"/>
          <w:kern w:val="2"/>
          <w:sz w:val="32"/>
          <w:szCs w:val="32"/>
          <w:lang w:val="en-US" w:eastAsia="zh-CN" w:bidi="ar-SA"/>
        </w:rPr>
        <w:t>6个；资金支付完成率100%；工程验收合格率100%；工程旧欠资金支付及时率100%；工程旧欠资金支付金额154万元。</w:t>
      </w:r>
    </w:p>
    <w:p>
      <w:pPr>
        <w:ind w:firstLine="640" w:firstLineChars="20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zh-CN" w:eastAsia="zh-CN" w:bidi="ar-SA"/>
        </w:rPr>
        <w:t>2023年南太平河生产维护费</w:t>
      </w:r>
      <w:r>
        <w:rPr>
          <w:rFonts w:hint="default" w:ascii="Times New Roman" w:hAnsi="Times New Roman" w:eastAsia="仿宋_GB2312" w:cs="Times New Roman"/>
          <w:color w:val="auto"/>
          <w:kern w:val="2"/>
          <w:sz w:val="32"/>
          <w:szCs w:val="32"/>
          <w:lang w:val="zh-CN" w:eastAsia="zh-CN" w:bidi="ar-SA"/>
        </w:rPr>
        <w:t>项目绩效自评情况：根据年初设定的绩效目标，</w:t>
      </w:r>
      <w:r>
        <w:rPr>
          <w:rFonts w:hint="eastAsia" w:ascii="Times New Roman" w:hAnsi="Times New Roman" w:eastAsia="仿宋_GB2312" w:cs="Times New Roman"/>
          <w:color w:val="auto"/>
          <w:kern w:val="2"/>
          <w:sz w:val="32"/>
          <w:szCs w:val="32"/>
          <w:lang w:val="zh-CN" w:eastAsia="zh-CN" w:bidi="ar-SA"/>
        </w:rPr>
        <w:t>2023年南太平河生产维护费</w:t>
      </w:r>
      <w:r>
        <w:rPr>
          <w:rFonts w:hint="default" w:ascii="Times New Roman" w:hAnsi="Times New Roman" w:eastAsia="仿宋_GB2312" w:cs="Times New Roman"/>
          <w:color w:val="auto"/>
          <w:kern w:val="2"/>
          <w:sz w:val="32"/>
          <w:szCs w:val="32"/>
          <w:lang w:val="zh-CN" w:eastAsia="zh-CN" w:bidi="ar-SA"/>
        </w:rPr>
        <w:t>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154</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154</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%。项目绩效目标完成情况：管护面积</w:t>
      </w:r>
      <w:r>
        <w:rPr>
          <w:rFonts w:hint="eastAsia" w:ascii="Times New Roman" w:hAnsi="Times New Roman" w:eastAsia="仿宋_GB2312" w:cs="Times New Roman"/>
          <w:color w:val="auto"/>
          <w:kern w:val="2"/>
          <w:sz w:val="32"/>
          <w:szCs w:val="32"/>
          <w:lang w:val="en-US" w:eastAsia="zh-CN" w:bidi="ar-SA"/>
        </w:rPr>
        <w:t>23.5万平方米；坝墙长度7.2千米；设施完好率100%；保洁考核成绩大于90分；每月管护按时完成率100%；年管护成本170万元。</w:t>
      </w:r>
    </w:p>
    <w:p>
      <w:pPr>
        <w:numPr>
          <w:ilvl w:val="0"/>
          <w:numId w:val="0"/>
        </w:numPr>
        <w:adjustRightInd w:val="0"/>
        <w:snapToGrid w:val="0"/>
        <w:spacing w:line="580" w:lineRule="exact"/>
        <w:ind w:firstLine="640" w:firstLineChars="200"/>
        <w:rPr>
          <w:rFonts w:ascii="仿宋_GB2312" w:hAnsi="仿宋_GB2312" w:eastAsia="仿宋_GB2312" w:cs="Times New Roman"/>
          <w:sz w:val="32"/>
          <w:szCs w:val="32"/>
        </w:rPr>
      </w:pPr>
      <w:r>
        <w:rPr>
          <w:rFonts w:hint="eastAsia" w:ascii="Times New Roman" w:hAnsi="Times New Roman" w:eastAsia="仿宋_GB2312" w:cs="Times New Roman"/>
          <w:color w:val="auto"/>
          <w:kern w:val="2"/>
          <w:sz w:val="32"/>
          <w:szCs w:val="32"/>
          <w:lang w:val="zh-CN" w:eastAsia="zh-CN" w:bidi="ar-SA"/>
        </w:rPr>
        <w:t>海山公园涉军劳务派遣职工经费</w:t>
      </w:r>
      <w:r>
        <w:rPr>
          <w:rFonts w:hint="default" w:ascii="Times New Roman" w:hAnsi="Times New Roman" w:eastAsia="仿宋_GB2312" w:cs="Times New Roman"/>
          <w:color w:val="auto"/>
          <w:kern w:val="2"/>
          <w:sz w:val="32"/>
          <w:szCs w:val="32"/>
          <w:lang w:val="zh-CN" w:eastAsia="zh-CN" w:bidi="ar-SA"/>
        </w:rPr>
        <w:t>项目绩效自评情况：根据年初设定的绩效目标，</w:t>
      </w:r>
      <w:r>
        <w:rPr>
          <w:rFonts w:hint="eastAsia" w:ascii="Times New Roman" w:hAnsi="Times New Roman" w:eastAsia="仿宋_GB2312" w:cs="Times New Roman"/>
          <w:color w:val="auto"/>
          <w:kern w:val="2"/>
          <w:sz w:val="32"/>
          <w:szCs w:val="32"/>
          <w:lang w:val="zh-CN" w:eastAsia="zh-CN" w:bidi="ar-SA"/>
        </w:rPr>
        <w:t>海山公园涉军劳务派遣职工经费</w:t>
      </w:r>
      <w:r>
        <w:rPr>
          <w:rFonts w:hint="default" w:ascii="Times New Roman" w:hAnsi="Times New Roman" w:eastAsia="仿宋_GB2312" w:cs="Times New Roman"/>
          <w:color w:val="auto"/>
          <w:kern w:val="2"/>
          <w:sz w:val="32"/>
          <w:szCs w:val="32"/>
          <w:lang w:val="zh-CN" w:eastAsia="zh-CN" w:bidi="ar-SA"/>
        </w:rPr>
        <w:t>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3.26</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3.26</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w:t>
      </w:r>
      <w:r>
        <w:rPr>
          <w:rFonts w:hint="eastAsia" w:ascii="仿宋_GB2312" w:hAnsi="仿宋_GB2312" w:eastAsia="仿宋_GB2312" w:cs="仿宋_GB2312"/>
          <w:sz w:val="32"/>
          <w:szCs w:val="32"/>
          <w:lang w:eastAsia="zh-CN"/>
        </w:rPr>
        <w:t>完成安排就业退役军人数量</w:t>
      </w:r>
      <w:r>
        <w:rPr>
          <w:rFonts w:hint="eastAsia" w:ascii="仿宋_GB2312" w:hAnsi="仿宋_GB2312" w:eastAsia="仿宋_GB2312" w:cs="仿宋_GB2312"/>
          <w:sz w:val="32"/>
          <w:szCs w:val="32"/>
          <w:lang w:val="en-US" w:eastAsia="zh-CN"/>
        </w:rPr>
        <w:t>1名；工资发放次数8次；退役军人补助资金及时足额发放，财政补助标准3.26万元，保障退役军人权益。</w:t>
      </w:r>
    </w:p>
    <w:tbl>
      <w:tblPr>
        <w:tblStyle w:val="13"/>
        <w:tblW w:w="859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34"/>
        <w:gridCol w:w="1079"/>
        <w:gridCol w:w="1080"/>
        <w:gridCol w:w="1080"/>
        <w:gridCol w:w="1080"/>
        <w:gridCol w:w="1079"/>
        <w:gridCol w:w="1080"/>
        <w:gridCol w:w="107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40" w:hRule="atLeast"/>
        </w:trPr>
        <w:tc>
          <w:tcPr>
            <w:tcW w:w="8591"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区级</w:t>
            </w:r>
            <w:r>
              <w:rPr>
                <w:rFonts w:hint="eastAsia" w:ascii="方正小标宋_GBK" w:hAnsi="方正小标宋_GBK" w:eastAsia="方正小标宋_GBK" w:cs="方正小标宋_GBK"/>
                <w:i w:val="0"/>
                <w:color w:val="000000"/>
                <w:kern w:val="0"/>
                <w:sz w:val="44"/>
                <w:szCs w:val="44"/>
                <w:u w:val="none"/>
                <w:lang w:val="en-US" w:eastAsia="zh-CN" w:bidi="ar"/>
              </w:rPr>
              <w:t>单位</w:t>
            </w:r>
            <w:r>
              <w:rPr>
                <w:rFonts w:hint="default" w:ascii="方正小标宋_GBK" w:hAnsi="方正小标宋_GBK" w:eastAsia="方正小标宋_GBK" w:cs="方正小标宋_GBK"/>
                <w:i w:val="0"/>
                <w:color w:val="000000"/>
                <w:kern w:val="0"/>
                <w:sz w:val="44"/>
                <w:szCs w:val="44"/>
                <w:u w:val="none"/>
                <w:lang w:val="en-US" w:eastAsia="zh-CN" w:bidi="ar"/>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16" w:hRule="atLeast"/>
        </w:trPr>
        <w:tc>
          <w:tcPr>
            <w:tcW w:w="8591"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（2023年度）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219" w:hRule="atLeast"/>
        </w:trPr>
        <w:tc>
          <w:tcPr>
            <w:tcW w:w="5353" w:type="dxa"/>
            <w:gridSpan w:val="5"/>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填报单位：石家庄市鹿泉区海山公园</w:t>
            </w:r>
          </w:p>
        </w:tc>
        <w:tc>
          <w:tcPr>
            <w:tcW w:w="1079" w:type="dxa"/>
            <w:shd w:val="clear" w:color="auto" w:fill="auto"/>
            <w:vAlign w:val="center"/>
          </w:tcPr>
          <w:p>
            <w:pPr>
              <w:jc w:val="center"/>
              <w:rPr>
                <w:rFonts w:hint="eastAsia" w:ascii="宋体" w:hAnsi="宋体" w:eastAsia="宋体" w:cs="宋体"/>
                <w:i w:val="0"/>
                <w:color w:val="000000"/>
                <w:sz w:val="20"/>
                <w:szCs w:val="20"/>
                <w:u w:val="none"/>
              </w:rPr>
            </w:pPr>
          </w:p>
        </w:tc>
        <w:tc>
          <w:tcPr>
            <w:tcW w:w="2159" w:type="dxa"/>
            <w:gridSpan w:val="2"/>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55" w:hRule="atLeast"/>
        </w:trPr>
        <w:tc>
          <w:tcPr>
            <w:tcW w:w="1034"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海山公园工程旧欠</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23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石家庄市鹿泉区海山公园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80" w:hRule="atLeast"/>
        </w:trPr>
        <w:tc>
          <w:tcPr>
            <w:tcW w:w="103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1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1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20" w:hRule="atLeast"/>
        </w:trPr>
        <w:tc>
          <w:tcPr>
            <w:tcW w:w="10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154</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154</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154</w:t>
            </w:r>
          </w:p>
        </w:tc>
        <w:tc>
          <w:tcPr>
            <w:tcW w:w="107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40" w:hRule="atLeast"/>
        </w:trPr>
        <w:tc>
          <w:tcPr>
            <w:tcW w:w="10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154</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154</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154</w:t>
            </w:r>
          </w:p>
        </w:tc>
        <w:tc>
          <w:tcPr>
            <w:tcW w:w="10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05" w:hRule="atLeast"/>
        </w:trPr>
        <w:tc>
          <w:tcPr>
            <w:tcW w:w="10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0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65" w:hRule="atLeast"/>
        </w:trPr>
        <w:tc>
          <w:tcPr>
            <w:tcW w:w="103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2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2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660" w:hRule="atLeast"/>
        </w:trPr>
        <w:tc>
          <w:tcPr>
            <w:tcW w:w="10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23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工程旧欠的支付。 9个项目分别是 海山湖清淤治理工程、石榴红了主题公园改造提升工程、南太平河水毁植物补栽工程、城市公园广场绿地更新工程 、海山公园供暖管道工程 、海山公园办公楼改造工程 、音乐喷泉升级改造工程 、公园广场警卫室更新工程、2022摆花坛项目。美化园区环境、提升城市品位。</w:t>
            </w:r>
          </w:p>
        </w:tc>
        <w:tc>
          <w:tcPr>
            <w:tcW w:w="323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工程旧欠的支付。海山湖清淤治理工程、石榴红了主题公园改造提升工程、南太平河水毁植物补栽工程、城市公园广场绿地更新工程 、音乐喷泉升级改造工程 、公园广场警卫室更新工程。美化园区环境、提升城市品位。</w:t>
            </w:r>
          </w:p>
        </w:tc>
        <w:tc>
          <w:tcPr>
            <w:tcW w:w="107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660" w:hRule="atLeast"/>
        </w:trPr>
        <w:tc>
          <w:tcPr>
            <w:tcW w:w="10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2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2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1110" w:hRule="atLeast"/>
        </w:trPr>
        <w:tc>
          <w:tcPr>
            <w:tcW w:w="10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2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2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20" w:hRule="atLeast"/>
        </w:trPr>
        <w:tc>
          <w:tcPr>
            <w:tcW w:w="1034"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60" w:type="dxa"/>
            <w:gridSpan w:val="2"/>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79"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660" w:hRule="atLeast"/>
        </w:trPr>
        <w:tc>
          <w:tcPr>
            <w:tcW w:w="103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9"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1080" w:type="dxa"/>
            <w:tcBorders>
              <w:top w:val="single" w:color="000000" w:sz="4" w:space="0"/>
              <w:lef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完成旧欠资金支付项目的数量</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≤9个</w:t>
            </w:r>
          </w:p>
        </w:tc>
        <w:tc>
          <w:tcPr>
            <w:tcW w:w="1080"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6个</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286" w:hRule="atLeast"/>
        </w:trPr>
        <w:tc>
          <w:tcPr>
            <w:tcW w:w="103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9"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80"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资金支付完成率</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286" w:hRule="atLeast"/>
        </w:trPr>
        <w:tc>
          <w:tcPr>
            <w:tcW w:w="103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9"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80"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工程验收合格率</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286" w:hRule="atLeast"/>
        </w:trPr>
        <w:tc>
          <w:tcPr>
            <w:tcW w:w="103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9"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80" w:type="dxa"/>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工程旧欠资金支付及时率</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286" w:hRule="atLeast"/>
        </w:trPr>
        <w:tc>
          <w:tcPr>
            <w:tcW w:w="103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9"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80" w:type="dxa"/>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工程旧欠资金支付金额</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≤154万元</w:t>
            </w:r>
          </w:p>
        </w:tc>
        <w:tc>
          <w:tcPr>
            <w:tcW w:w="1080"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154</w:t>
            </w:r>
            <w:r>
              <w:rPr>
                <w:rFonts w:hint="eastAsia" w:ascii="宋体" w:hAnsi="宋体" w:eastAsia="宋体" w:cs="宋体"/>
                <w:i w:val="0"/>
                <w:color w:val="000000"/>
                <w:kern w:val="0"/>
                <w:sz w:val="20"/>
                <w:szCs w:val="20"/>
                <w:u w:val="none"/>
                <w:lang w:val="en-US" w:eastAsia="zh-CN" w:bidi="ar"/>
              </w:rPr>
              <w:t>万元</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840" w:hRule="atLeast"/>
        </w:trPr>
        <w:tc>
          <w:tcPr>
            <w:tcW w:w="103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80"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160" w:type="dxa"/>
            <w:gridSpan w:val="2"/>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9"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286" w:hRule="atLeast"/>
        </w:trPr>
        <w:tc>
          <w:tcPr>
            <w:tcW w:w="103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9" w:type="dxa"/>
            <w:vMerge w:val="restart"/>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1080" w:type="dxa"/>
            <w:vMerge w:val="restart"/>
            <w:tcBorders>
              <w:top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美化园区环境、提升城市品位</w:t>
            </w:r>
          </w:p>
        </w:tc>
        <w:tc>
          <w:tcPr>
            <w:tcW w:w="1079"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美化、提升</w:t>
            </w:r>
          </w:p>
        </w:tc>
        <w:tc>
          <w:tcPr>
            <w:tcW w:w="1080"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美化、提升</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286" w:hRule="atLeast"/>
        </w:trPr>
        <w:tc>
          <w:tcPr>
            <w:tcW w:w="103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9" w:type="dxa"/>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80" w:type="dxa"/>
            <w:vMerge w:val="continue"/>
            <w:tcBorders>
              <w:top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改善工作环境，维护设施安全</w:t>
            </w:r>
          </w:p>
        </w:tc>
        <w:tc>
          <w:tcPr>
            <w:tcW w:w="1079"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改善、维护</w:t>
            </w:r>
          </w:p>
        </w:tc>
        <w:tc>
          <w:tcPr>
            <w:tcW w:w="1080"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改善、维护</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286" w:hRule="atLeast"/>
        </w:trPr>
        <w:tc>
          <w:tcPr>
            <w:tcW w:w="103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9" w:type="dxa"/>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80" w:type="dxa"/>
            <w:vMerge w:val="restart"/>
            <w:tcBorders>
              <w:top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改造后的设施长期满足使用</w:t>
            </w:r>
          </w:p>
        </w:tc>
        <w:tc>
          <w:tcPr>
            <w:tcW w:w="1079"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满足</w:t>
            </w:r>
          </w:p>
        </w:tc>
        <w:tc>
          <w:tcPr>
            <w:tcW w:w="1080"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满足</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103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9" w:type="dxa"/>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80" w:type="dxa"/>
            <w:vMerge w:val="continue"/>
            <w:tcBorders>
              <w:top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提升后的园区景观长期满足游客休闲需求</w:t>
            </w:r>
          </w:p>
        </w:tc>
        <w:tc>
          <w:tcPr>
            <w:tcW w:w="1079"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满足</w:t>
            </w:r>
          </w:p>
        </w:tc>
        <w:tc>
          <w:tcPr>
            <w:tcW w:w="1080"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满足</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80" w:hRule="atLeast"/>
        </w:trPr>
        <w:tc>
          <w:tcPr>
            <w:tcW w:w="103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80" w:type="dxa"/>
            <w:tcBorders>
              <w:top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1079"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 90 %</w:t>
            </w:r>
          </w:p>
        </w:tc>
        <w:tc>
          <w:tcPr>
            <w:tcW w:w="1080"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286" w:hRule="atLeast"/>
        </w:trPr>
        <w:tc>
          <w:tcPr>
            <w:tcW w:w="103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647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780" w:hRule="atLeast"/>
        </w:trPr>
        <w:tc>
          <w:tcPr>
            <w:tcW w:w="1034"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755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bl>
    <w:p>
      <w:pPr>
        <w:numPr>
          <w:ilvl w:val="0"/>
          <w:numId w:val="0"/>
        </w:numPr>
        <w:adjustRightInd w:val="0"/>
        <w:snapToGrid w:val="0"/>
        <w:spacing w:line="580" w:lineRule="exact"/>
        <w:rPr>
          <w:rFonts w:hint="eastAsia" w:ascii="仿宋_GB2312" w:hAnsi="仿宋_GB2312" w:eastAsia="仿宋_GB2312" w:cs="仿宋_GB2312"/>
          <w:sz w:val="32"/>
          <w:szCs w:val="32"/>
          <w:lang w:val="en-US" w:eastAsia="zh-CN"/>
        </w:rPr>
      </w:pPr>
    </w:p>
    <w:tbl>
      <w:tblPr>
        <w:tblStyle w:val="13"/>
        <w:tblW w:w="864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92"/>
        <w:gridCol w:w="1078"/>
        <w:gridCol w:w="1078"/>
        <w:gridCol w:w="1078"/>
        <w:gridCol w:w="1078"/>
        <w:gridCol w:w="1078"/>
        <w:gridCol w:w="1079"/>
        <w:gridCol w:w="10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40" w:hRule="atLeast"/>
        </w:trPr>
        <w:tc>
          <w:tcPr>
            <w:tcW w:w="8649"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区级</w:t>
            </w:r>
            <w:r>
              <w:rPr>
                <w:rFonts w:hint="eastAsia" w:ascii="方正小标宋_GBK" w:hAnsi="方正小标宋_GBK" w:eastAsia="方正小标宋_GBK" w:cs="方正小标宋_GBK"/>
                <w:i w:val="0"/>
                <w:color w:val="000000"/>
                <w:kern w:val="0"/>
                <w:sz w:val="44"/>
                <w:szCs w:val="44"/>
                <w:u w:val="none"/>
                <w:lang w:val="en-US" w:eastAsia="zh-CN" w:bidi="ar"/>
              </w:rPr>
              <w:t>单位</w:t>
            </w:r>
            <w:r>
              <w:rPr>
                <w:rFonts w:hint="default" w:ascii="方正小标宋_GBK" w:hAnsi="方正小标宋_GBK" w:eastAsia="方正小标宋_GBK" w:cs="方正小标宋_GBK"/>
                <w:i w:val="0"/>
                <w:color w:val="000000"/>
                <w:kern w:val="0"/>
                <w:sz w:val="44"/>
                <w:szCs w:val="44"/>
                <w:u w:val="none"/>
                <w:lang w:val="en-US" w:eastAsia="zh-CN" w:bidi="ar"/>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16" w:hRule="atLeast"/>
        </w:trPr>
        <w:tc>
          <w:tcPr>
            <w:tcW w:w="8649"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（2023年度）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29" w:hRule="atLeast"/>
        </w:trPr>
        <w:tc>
          <w:tcPr>
            <w:tcW w:w="5404" w:type="dxa"/>
            <w:gridSpan w:val="5"/>
            <w:shd w:val="clear" w:color="auto" w:fill="auto"/>
            <w:vAlign w:val="center"/>
          </w:tcPr>
          <w:p>
            <w:pPr>
              <w:jc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填报单位：石家庄市鹿泉区海山公园</w:t>
            </w:r>
          </w:p>
        </w:tc>
        <w:tc>
          <w:tcPr>
            <w:tcW w:w="1078" w:type="dxa"/>
            <w:shd w:val="clear" w:color="auto" w:fill="auto"/>
            <w:vAlign w:val="center"/>
          </w:tcPr>
          <w:p>
            <w:pPr>
              <w:jc w:val="center"/>
              <w:rPr>
                <w:rFonts w:hint="eastAsia" w:ascii="宋体" w:hAnsi="宋体" w:eastAsia="宋体" w:cs="宋体"/>
                <w:i w:val="0"/>
                <w:color w:val="000000"/>
                <w:sz w:val="20"/>
                <w:szCs w:val="20"/>
                <w:u w:val="none"/>
              </w:rPr>
            </w:pPr>
          </w:p>
        </w:tc>
        <w:tc>
          <w:tcPr>
            <w:tcW w:w="2167" w:type="dxa"/>
            <w:gridSpan w:val="2"/>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55" w:hRule="atLeast"/>
        </w:trPr>
        <w:tc>
          <w:tcPr>
            <w:tcW w:w="1092"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Style w:val="26"/>
                <w:lang w:val="en-US" w:eastAsia="zh-CN" w:bidi="ar"/>
              </w:rPr>
              <w:t>基本情况</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2023年南太平河生产维护费</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24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石家庄市鹿泉区海山公园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20" w:hRule="atLeast"/>
        </w:trPr>
        <w:tc>
          <w:tcPr>
            <w:tcW w:w="10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170</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170</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170</w:t>
            </w:r>
          </w:p>
        </w:tc>
        <w:tc>
          <w:tcPr>
            <w:tcW w:w="108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40" w:hRule="atLeast"/>
        </w:trPr>
        <w:tc>
          <w:tcPr>
            <w:tcW w:w="10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170</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170</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170</w:t>
            </w:r>
          </w:p>
        </w:tc>
        <w:tc>
          <w:tcPr>
            <w:tcW w:w="10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10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color w:val="000000"/>
                <w:sz w:val="20"/>
                <w:szCs w:val="20"/>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0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65" w:hRule="atLeast"/>
        </w:trPr>
        <w:tc>
          <w:tcPr>
            <w:tcW w:w="10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23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2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70" w:hRule="atLeast"/>
        </w:trPr>
        <w:tc>
          <w:tcPr>
            <w:tcW w:w="10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23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南太平河总管护面积23.5万平方米（其中绿地面积30626平方米，铺装面积44211平方米，水生植物41000平方米，水面面积119275 平方米）南太平河河道两侧坝墙长7.2千米的维修维护。保证南太平河的防洪排涝功能，维护城区景观效果，增强群众满意度。</w:t>
            </w:r>
          </w:p>
        </w:tc>
        <w:tc>
          <w:tcPr>
            <w:tcW w:w="323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南太平河总管护面积23.5万平方米（其中绿地面积30626平方米，铺装面积44211平方米，水生植物41000平方米，水面面积119275 平方米）南太平河河道两侧坝墙长7.2千米的维修维护。保证南太平河的防洪排涝功能，维护城区景观效果，增强群众满意度。</w:t>
            </w:r>
          </w:p>
        </w:tc>
        <w:tc>
          <w:tcPr>
            <w:tcW w:w="108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70" w:hRule="atLeast"/>
        </w:trPr>
        <w:tc>
          <w:tcPr>
            <w:tcW w:w="10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23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2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0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00" w:hRule="atLeast"/>
        </w:trPr>
        <w:tc>
          <w:tcPr>
            <w:tcW w:w="10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23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2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0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20" w:hRule="atLeast"/>
        </w:trPr>
        <w:tc>
          <w:tcPr>
            <w:tcW w:w="1092"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Style w:val="26"/>
                <w:lang w:val="en-US" w:eastAsia="zh-CN" w:bidi="ar"/>
              </w:rPr>
              <w:t>年度绩效指标完成情况</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78"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79"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60" w:hRule="atLeast"/>
        </w:trPr>
        <w:tc>
          <w:tcPr>
            <w:tcW w:w="109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8"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1078"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56" w:type="dxa"/>
            <w:gridSpan w:val="2"/>
            <w:tcBorders>
              <w:top w:val="single" w:color="B0C4DE" w:sz="4" w:space="0"/>
              <w:left w:val="single" w:color="B0C4DE" w:sz="4" w:space="0"/>
              <w:right w:val="single" w:color="B0C4DE"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管护面积</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≥23.5万平方米</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23.5万平方米</w:t>
            </w:r>
          </w:p>
        </w:tc>
        <w:tc>
          <w:tcPr>
            <w:tcW w:w="1088"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09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8"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8"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2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坝墙长</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≥7.2千米</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7.2</w:t>
            </w:r>
            <w:r>
              <w:rPr>
                <w:rStyle w:val="26"/>
                <w:lang w:val="en-US" w:eastAsia="zh-CN" w:bidi="ar"/>
              </w:rPr>
              <w:t>千米</w:t>
            </w:r>
          </w:p>
        </w:tc>
        <w:tc>
          <w:tcPr>
            <w:tcW w:w="1088"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109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8"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8"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设施完好率</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088"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109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8"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8"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2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保洁考核成绩</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≥90分</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r>
              <w:rPr>
                <w:rStyle w:val="26"/>
                <w:lang w:val="en-US" w:eastAsia="zh-CN" w:bidi="ar"/>
              </w:rPr>
              <w:t>分</w:t>
            </w:r>
          </w:p>
        </w:tc>
        <w:tc>
          <w:tcPr>
            <w:tcW w:w="1088"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109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8"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8" w:type="dxa"/>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按时完成率</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088"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109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8"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8" w:type="dxa"/>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年管护成本</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≤170万元</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170</w:t>
            </w:r>
            <w:r>
              <w:rPr>
                <w:rStyle w:val="26"/>
                <w:lang w:val="en-US" w:eastAsia="zh-CN" w:bidi="ar"/>
              </w:rPr>
              <w:t>万元</w:t>
            </w:r>
          </w:p>
        </w:tc>
        <w:tc>
          <w:tcPr>
            <w:tcW w:w="1088"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840" w:hRule="atLeast"/>
        </w:trPr>
        <w:tc>
          <w:tcPr>
            <w:tcW w:w="109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78" w:type="dxa"/>
            <w:tcBorders>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088"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9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8" w:type="dxa"/>
            <w:vMerge w:val="restart"/>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1078" w:type="dxa"/>
            <w:tcBorders>
              <w:top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满足游客的休闲娱乐需求、美化景观效果、提升城市品位</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满足</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满足</w:t>
            </w:r>
          </w:p>
        </w:tc>
        <w:tc>
          <w:tcPr>
            <w:tcW w:w="1088"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9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8" w:type="dxa"/>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8" w:type="dxa"/>
            <w:tcBorders>
              <w:top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长期使用性</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满足、提升、美化</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满足、提升、美化</w:t>
            </w:r>
          </w:p>
        </w:tc>
        <w:tc>
          <w:tcPr>
            <w:tcW w:w="1088"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9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78" w:type="dxa"/>
            <w:tcBorders>
              <w:top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≥90 %</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088"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109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646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1092"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Style w:val="26"/>
                <w:lang w:val="en-US" w:eastAsia="zh-CN" w:bidi="ar"/>
              </w:rPr>
              <w:t>存在问题、原因及下一步整改措施</w:t>
            </w:r>
          </w:p>
        </w:tc>
        <w:tc>
          <w:tcPr>
            <w:tcW w:w="755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bl>
    <w:p>
      <w:pPr>
        <w:numPr>
          <w:ilvl w:val="0"/>
          <w:numId w:val="0"/>
        </w:numPr>
        <w:adjustRightInd w:val="0"/>
        <w:snapToGrid w:val="0"/>
        <w:spacing w:line="580" w:lineRule="exact"/>
        <w:rPr>
          <w:rFonts w:hint="eastAsia" w:ascii="仿宋_GB2312" w:hAnsi="仿宋_GB2312" w:eastAsia="仿宋_GB2312" w:cs="仿宋_GB2312"/>
          <w:sz w:val="32"/>
          <w:szCs w:val="32"/>
          <w:lang w:val="en-US" w:eastAsia="zh-CN"/>
        </w:rPr>
      </w:pPr>
    </w:p>
    <w:p>
      <w:pPr>
        <w:numPr>
          <w:ilvl w:val="0"/>
          <w:numId w:val="0"/>
        </w:numPr>
        <w:adjustRightInd w:val="0"/>
        <w:snapToGrid w:val="0"/>
        <w:spacing w:line="580" w:lineRule="exact"/>
        <w:rPr>
          <w:rFonts w:hint="eastAsia" w:ascii="仿宋_GB2312" w:hAnsi="仿宋_GB2312" w:eastAsia="仿宋_GB2312" w:cs="仿宋_GB2312"/>
          <w:sz w:val="32"/>
          <w:szCs w:val="32"/>
          <w:lang w:val="en-US" w:eastAsia="zh-CN"/>
        </w:rPr>
      </w:pPr>
    </w:p>
    <w:p>
      <w:pPr>
        <w:numPr>
          <w:ilvl w:val="0"/>
          <w:numId w:val="0"/>
        </w:numPr>
        <w:adjustRightInd w:val="0"/>
        <w:snapToGrid w:val="0"/>
        <w:spacing w:line="580" w:lineRule="exact"/>
        <w:rPr>
          <w:rFonts w:hint="eastAsia" w:ascii="仿宋_GB2312" w:hAnsi="仿宋_GB2312" w:eastAsia="仿宋_GB2312" w:cs="仿宋_GB2312"/>
          <w:sz w:val="32"/>
          <w:szCs w:val="32"/>
          <w:lang w:val="en-US" w:eastAsia="zh-CN"/>
        </w:rPr>
      </w:pPr>
    </w:p>
    <w:p>
      <w:pPr>
        <w:numPr>
          <w:ilvl w:val="0"/>
          <w:numId w:val="0"/>
        </w:numPr>
        <w:adjustRightInd w:val="0"/>
        <w:snapToGrid w:val="0"/>
        <w:spacing w:line="580" w:lineRule="exact"/>
        <w:rPr>
          <w:rFonts w:hint="eastAsia" w:ascii="仿宋_GB2312" w:hAnsi="仿宋_GB2312" w:eastAsia="仿宋_GB2312" w:cs="仿宋_GB2312"/>
          <w:sz w:val="32"/>
          <w:szCs w:val="32"/>
          <w:lang w:val="en-US" w:eastAsia="zh-CN"/>
        </w:rPr>
      </w:pPr>
    </w:p>
    <w:p>
      <w:pPr>
        <w:numPr>
          <w:ilvl w:val="0"/>
          <w:numId w:val="0"/>
        </w:numPr>
        <w:adjustRightInd w:val="0"/>
        <w:snapToGrid w:val="0"/>
        <w:spacing w:line="580" w:lineRule="exact"/>
        <w:rPr>
          <w:rFonts w:hint="eastAsia" w:ascii="仿宋_GB2312" w:hAnsi="仿宋_GB2312" w:eastAsia="仿宋_GB2312" w:cs="仿宋_GB2312"/>
          <w:sz w:val="32"/>
          <w:szCs w:val="32"/>
          <w:lang w:val="en-US" w:eastAsia="zh-CN"/>
        </w:rPr>
      </w:pPr>
    </w:p>
    <w:p>
      <w:pPr>
        <w:numPr>
          <w:ilvl w:val="0"/>
          <w:numId w:val="0"/>
        </w:numPr>
        <w:adjustRightInd w:val="0"/>
        <w:snapToGrid w:val="0"/>
        <w:spacing w:line="580" w:lineRule="exact"/>
        <w:rPr>
          <w:rFonts w:hint="eastAsia" w:ascii="仿宋_GB2312" w:hAnsi="仿宋_GB2312" w:eastAsia="仿宋_GB2312" w:cs="仿宋_GB2312"/>
          <w:sz w:val="32"/>
          <w:szCs w:val="32"/>
          <w:lang w:val="en-US" w:eastAsia="zh-CN"/>
        </w:rPr>
      </w:pPr>
    </w:p>
    <w:p>
      <w:pPr>
        <w:numPr>
          <w:ilvl w:val="0"/>
          <w:numId w:val="0"/>
        </w:numPr>
        <w:adjustRightInd w:val="0"/>
        <w:snapToGrid w:val="0"/>
        <w:spacing w:line="580" w:lineRule="exact"/>
        <w:rPr>
          <w:rFonts w:hint="eastAsia" w:ascii="仿宋_GB2312" w:hAnsi="仿宋_GB2312" w:eastAsia="仿宋_GB2312" w:cs="仿宋_GB2312"/>
          <w:sz w:val="32"/>
          <w:szCs w:val="32"/>
          <w:lang w:val="en-US" w:eastAsia="zh-CN"/>
        </w:rPr>
      </w:pPr>
    </w:p>
    <w:tbl>
      <w:tblPr>
        <w:tblStyle w:val="13"/>
        <w:tblW w:w="842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794"/>
        <w:gridCol w:w="1105"/>
        <w:gridCol w:w="1135"/>
        <w:gridCol w:w="1078"/>
        <w:gridCol w:w="1045"/>
        <w:gridCol w:w="1030"/>
        <w:gridCol w:w="1134"/>
        <w:gridCol w:w="110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40" w:hRule="atLeast"/>
        </w:trPr>
        <w:tc>
          <w:tcPr>
            <w:tcW w:w="8426"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区级</w:t>
            </w:r>
            <w:r>
              <w:rPr>
                <w:rFonts w:hint="eastAsia" w:ascii="方正小标宋_GBK" w:hAnsi="方正小标宋_GBK" w:eastAsia="方正小标宋_GBK" w:cs="方正小标宋_GBK"/>
                <w:i w:val="0"/>
                <w:color w:val="000000"/>
                <w:kern w:val="0"/>
                <w:sz w:val="44"/>
                <w:szCs w:val="44"/>
                <w:u w:val="none"/>
                <w:lang w:val="en-US" w:eastAsia="zh-CN" w:bidi="ar"/>
              </w:rPr>
              <w:t>单位</w:t>
            </w:r>
            <w:r>
              <w:rPr>
                <w:rFonts w:hint="default" w:ascii="方正小标宋_GBK" w:hAnsi="方正小标宋_GBK" w:eastAsia="方正小标宋_GBK" w:cs="方正小标宋_GBK"/>
                <w:i w:val="0"/>
                <w:color w:val="000000"/>
                <w:kern w:val="0"/>
                <w:sz w:val="44"/>
                <w:szCs w:val="44"/>
                <w:u w:val="none"/>
                <w:lang w:val="en-US" w:eastAsia="zh-CN" w:bidi="ar"/>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16" w:hRule="atLeast"/>
        </w:trPr>
        <w:tc>
          <w:tcPr>
            <w:tcW w:w="8426"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（2023年度）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84" w:hRule="atLeast"/>
        </w:trPr>
        <w:tc>
          <w:tcPr>
            <w:tcW w:w="4112" w:type="dxa"/>
            <w:gridSpan w:val="4"/>
            <w:shd w:val="clear" w:color="auto" w:fill="auto"/>
            <w:vAlign w:val="center"/>
          </w:tcPr>
          <w:p>
            <w:pPr>
              <w:jc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填报单位：石家庄市鹿泉区海山公园</w:t>
            </w:r>
          </w:p>
        </w:tc>
        <w:tc>
          <w:tcPr>
            <w:tcW w:w="1045" w:type="dxa"/>
            <w:shd w:val="clear" w:color="auto" w:fill="auto"/>
            <w:vAlign w:val="center"/>
          </w:tcPr>
          <w:p>
            <w:pPr>
              <w:jc w:val="center"/>
              <w:rPr>
                <w:rFonts w:hint="eastAsia" w:ascii="宋体" w:hAnsi="宋体" w:eastAsia="宋体" w:cs="宋体"/>
                <w:i w:val="0"/>
                <w:color w:val="000000"/>
                <w:sz w:val="20"/>
                <w:szCs w:val="20"/>
                <w:u w:val="none"/>
              </w:rPr>
            </w:pPr>
          </w:p>
        </w:tc>
        <w:tc>
          <w:tcPr>
            <w:tcW w:w="1030" w:type="dxa"/>
            <w:shd w:val="clear" w:color="auto" w:fill="auto"/>
            <w:vAlign w:val="center"/>
          </w:tcPr>
          <w:p>
            <w:pPr>
              <w:jc w:val="center"/>
              <w:rPr>
                <w:rFonts w:hint="eastAsia" w:ascii="宋体" w:hAnsi="宋体" w:eastAsia="宋体" w:cs="宋体"/>
                <w:i w:val="0"/>
                <w:color w:val="000000"/>
                <w:sz w:val="20"/>
                <w:szCs w:val="20"/>
                <w:u w:val="none"/>
              </w:rPr>
            </w:pPr>
          </w:p>
        </w:tc>
        <w:tc>
          <w:tcPr>
            <w:tcW w:w="2239" w:type="dxa"/>
            <w:gridSpan w:val="2"/>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55" w:hRule="atLeast"/>
        </w:trPr>
        <w:tc>
          <w:tcPr>
            <w:tcW w:w="794"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2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海山公园涉军劳务派遣职工经费</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26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石家庄市鹿泉区海山公园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1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20" w:hRule="atLeast"/>
        </w:trPr>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3.868144</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3.868144</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3.628144</w:t>
            </w:r>
          </w:p>
        </w:tc>
        <w:tc>
          <w:tcPr>
            <w:tcW w:w="11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93.80%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40" w:hRule="atLeast"/>
        </w:trPr>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3.868144</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3.868144</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3.628144</w:t>
            </w:r>
          </w:p>
        </w:tc>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color w:val="000000"/>
                <w:sz w:val="20"/>
                <w:szCs w:val="20"/>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20" w:hRule="atLeast"/>
        </w:trPr>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31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20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20" w:hRule="atLeast"/>
        </w:trPr>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31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对我单位符合就业条件的1名军队退役人员，实施托管安置，帮扶救助到位，实现就业。</w:t>
            </w:r>
          </w:p>
        </w:tc>
        <w:tc>
          <w:tcPr>
            <w:tcW w:w="320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对我单位符合就业条件的1名军队退役人员，实施托管安置，帮扶救助到位，实现就业。</w:t>
            </w:r>
          </w:p>
        </w:tc>
        <w:tc>
          <w:tcPr>
            <w:tcW w:w="11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20" w:hRule="atLeast"/>
        </w:trPr>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31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20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 w:hRule="atLeast"/>
        </w:trPr>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31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20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20" w:hRule="atLeast"/>
        </w:trPr>
        <w:tc>
          <w:tcPr>
            <w:tcW w:w="794"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23" w:type="dxa"/>
            <w:gridSpan w:val="2"/>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30"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134"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15" w:hRule="atLeast"/>
        </w:trPr>
        <w:tc>
          <w:tcPr>
            <w:tcW w:w="79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105"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1135" w:type="dxa"/>
            <w:tcBorders>
              <w:top w:val="single" w:color="000000" w:sz="4" w:space="0"/>
              <w:lef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发放退役军人数量</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1人</w:t>
            </w:r>
          </w:p>
        </w:tc>
        <w:tc>
          <w:tcPr>
            <w:tcW w:w="1105"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9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105"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135" w:type="dxa"/>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工资发放次数</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8次</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w:t>
            </w:r>
            <w:r>
              <w:rPr>
                <w:rFonts w:hint="eastAsia" w:ascii="宋体" w:hAnsi="宋体" w:eastAsia="宋体" w:cs="宋体"/>
                <w:i w:val="0"/>
                <w:color w:val="000000"/>
                <w:kern w:val="0"/>
                <w:sz w:val="20"/>
                <w:szCs w:val="20"/>
                <w:u w:val="none"/>
                <w:lang w:val="en-US" w:eastAsia="zh-CN" w:bidi="ar"/>
              </w:rPr>
              <w:t>次</w:t>
            </w:r>
          </w:p>
        </w:tc>
        <w:tc>
          <w:tcPr>
            <w:tcW w:w="1105"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15" w:hRule="atLeast"/>
        </w:trPr>
        <w:tc>
          <w:tcPr>
            <w:tcW w:w="79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105"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135" w:type="dxa"/>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退役军人补助资金及时足额发放</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105"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15" w:hRule="atLeast"/>
        </w:trPr>
        <w:tc>
          <w:tcPr>
            <w:tcW w:w="79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105"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135" w:type="dxa"/>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财政补助标准</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4835.18元/人/月</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4835.18</w:t>
            </w:r>
            <w:r>
              <w:rPr>
                <w:rFonts w:hint="eastAsia" w:ascii="宋体" w:hAnsi="宋体" w:eastAsia="宋体" w:cs="宋体"/>
                <w:i w:val="0"/>
                <w:color w:val="000000"/>
                <w:kern w:val="0"/>
                <w:sz w:val="20"/>
                <w:szCs w:val="20"/>
                <w:u w:val="none"/>
                <w:lang w:val="en-US" w:eastAsia="zh-CN" w:bidi="ar"/>
              </w:rPr>
              <w:t>元</w:t>
            </w:r>
            <w:r>
              <w:rPr>
                <w:rFonts w:hint="default" w:ascii="Calibri" w:hAnsi="Calibri" w:eastAsia="宋体" w:cs="Calibri"/>
                <w:i w:val="0"/>
                <w:color w:val="000000"/>
                <w:kern w:val="0"/>
                <w:sz w:val="20"/>
                <w:szCs w:val="20"/>
                <w:u w:val="none"/>
                <w:lang w:val="en-US" w:eastAsia="zh-CN" w:bidi="ar"/>
              </w:rPr>
              <w:t>/</w:t>
            </w:r>
            <w:r>
              <w:rPr>
                <w:rFonts w:hint="eastAsia" w:ascii="宋体" w:hAnsi="宋体" w:eastAsia="宋体" w:cs="宋体"/>
                <w:i w:val="0"/>
                <w:color w:val="000000"/>
                <w:kern w:val="0"/>
                <w:sz w:val="20"/>
                <w:szCs w:val="20"/>
                <w:u w:val="none"/>
                <w:lang w:val="en-US" w:eastAsia="zh-CN" w:bidi="ar"/>
              </w:rPr>
              <w:t>人</w:t>
            </w:r>
            <w:r>
              <w:rPr>
                <w:rFonts w:hint="default" w:ascii="Calibri" w:hAnsi="Calibri" w:eastAsia="宋体" w:cs="Calibri"/>
                <w:i w:val="0"/>
                <w:color w:val="000000"/>
                <w:kern w:val="0"/>
                <w:sz w:val="20"/>
                <w:szCs w:val="20"/>
                <w:u w:val="none"/>
                <w:lang w:val="en-US" w:eastAsia="zh-CN" w:bidi="ar"/>
              </w:rPr>
              <w:t>/</w:t>
            </w:r>
            <w:r>
              <w:rPr>
                <w:rFonts w:hint="eastAsia" w:ascii="宋体" w:hAnsi="宋体" w:eastAsia="宋体" w:cs="宋体"/>
                <w:i w:val="0"/>
                <w:color w:val="000000"/>
                <w:kern w:val="0"/>
                <w:sz w:val="20"/>
                <w:szCs w:val="20"/>
                <w:u w:val="none"/>
                <w:lang w:val="en-US" w:eastAsia="zh-CN" w:bidi="ar"/>
              </w:rPr>
              <w:t>月</w:t>
            </w:r>
          </w:p>
        </w:tc>
        <w:tc>
          <w:tcPr>
            <w:tcW w:w="1105"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846" w:hRule="atLeast"/>
        </w:trPr>
        <w:tc>
          <w:tcPr>
            <w:tcW w:w="79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135" w:type="dxa"/>
            <w:tcBorders>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93.80%</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93.80%</w:t>
            </w:r>
          </w:p>
        </w:tc>
        <w:tc>
          <w:tcPr>
            <w:tcW w:w="1105"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15" w:hRule="atLeast"/>
        </w:trPr>
        <w:tc>
          <w:tcPr>
            <w:tcW w:w="79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105" w:type="dxa"/>
            <w:vMerge w:val="restart"/>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1135" w:type="dxa"/>
            <w:tcBorders>
              <w:top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帮扶救助就业困难人数</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w:t>
            </w:r>
            <w:r>
              <w:rPr>
                <w:rFonts w:hint="eastAsia" w:ascii="宋体" w:hAnsi="宋体" w:eastAsia="宋体" w:cs="宋体"/>
                <w:i w:val="0"/>
                <w:color w:val="000000"/>
                <w:kern w:val="0"/>
                <w:sz w:val="20"/>
                <w:szCs w:val="20"/>
                <w:u w:val="none"/>
                <w:lang w:val="en-US" w:eastAsia="zh-CN" w:bidi="ar"/>
              </w:rPr>
              <w:t>人</w:t>
            </w:r>
          </w:p>
        </w:tc>
        <w:tc>
          <w:tcPr>
            <w:tcW w:w="1105"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15" w:hRule="atLeast"/>
        </w:trPr>
        <w:tc>
          <w:tcPr>
            <w:tcW w:w="79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105" w:type="dxa"/>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135" w:type="dxa"/>
            <w:tcBorders>
              <w:top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受补助退役军人生活水平提高</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生活水平显著提高</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生活水平显著提高</w:t>
            </w:r>
          </w:p>
        </w:tc>
        <w:tc>
          <w:tcPr>
            <w:tcW w:w="1105"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15" w:hRule="atLeast"/>
        </w:trPr>
        <w:tc>
          <w:tcPr>
            <w:tcW w:w="79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135" w:type="dxa"/>
            <w:tcBorders>
              <w:top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安排就业退役军人对象满意程度</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≥100 %</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05"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794"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652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1150" w:hRule="atLeast"/>
        </w:trPr>
        <w:tc>
          <w:tcPr>
            <w:tcW w:w="794"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63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bl>
    <w:p>
      <w:pPr>
        <w:ind w:firstLine="640" w:firstLineChars="200"/>
        <w:rPr>
          <w:rFonts w:hint="default" w:ascii="Times New Roman" w:hAnsi="Times New Roman" w:eastAsia="仿宋_GB2312" w:cs="Times New Roman"/>
          <w:color w:val="auto"/>
          <w:kern w:val="2"/>
          <w:sz w:val="32"/>
          <w:szCs w:val="32"/>
          <w:lang w:val="en-US" w:eastAsia="zh-CN" w:bidi="ar-SA"/>
        </w:rPr>
      </w:pPr>
    </w:p>
    <w:p>
      <w:pPr>
        <w:numPr>
          <w:ilvl w:val="0"/>
          <w:numId w:val="0"/>
        </w:numPr>
        <w:adjustRightInd w:val="0"/>
        <w:snapToGrid w:val="0"/>
        <w:spacing w:line="580" w:lineRule="exact"/>
        <w:ind w:leftChars="200"/>
        <w:rPr>
          <w:rFonts w:hint="eastAsia" w:ascii="仿宋_GB2312" w:hAnsi="仿宋_GB2312" w:eastAsia="仿宋_GB2312" w:cs="仿宋_GB2312"/>
          <w:b/>
          <w:bCs/>
          <w:sz w:val="32"/>
          <w:szCs w:val="32"/>
        </w:rPr>
      </w:pPr>
      <w:r>
        <w:rPr>
          <w:rFonts w:hint="default" w:ascii="Times New Roman" w:hAnsi="Times New Roman" w:eastAsia="仿宋_GB2312" w:cs="Times New Roman"/>
          <w:b/>
          <w:bCs/>
          <w:sz w:val="32"/>
          <w:szCs w:val="32"/>
        </w:rPr>
        <w:t>（三）</w:t>
      </w:r>
      <w:r>
        <w:rPr>
          <w:rFonts w:hint="eastAsia" w:ascii="Times New Roman" w:hAnsi="Times New Roman" w:eastAsia="仿宋_GB2312" w:cs="Times New Roman"/>
          <w:b/>
          <w:bCs/>
          <w:sz w:val="32"/>
          <w:szCs w:val="32"/>
          <w:lang w:eastAsia="zh-CN"/>
        </w:rPr>
        <w:t>单位</w:t>
      </w:r>
      <w:r>
        <w:rPr>
          <w:rFonts w:hint="default" w:ascii="Times New Roman" w:hAnsi="Times New Roman" w:eastAsia="仿宋_GB2312" w:cs="Times New Roman"/>
          <w:b/>
          <w:bCs/>
          <w:sz w:val="32"/>
          <w:szCs w:val="32"/>
        </w:rPr>
        <w:t>评价项目绩效评价结果</w:t>
      </w:r>
      <w:r>
        <w:rPr>
          <w:rFonts w:hint="eastAsia" w:ascii="Times New Roman" w:hAnsi="Times New Roman" w:eastAsia="仿宋_GB2312" w:cs="Times New Roman"/>
          <w:b/>
          <w:bCs/>
          <w:sz w:val="32"/>
          <w:szCs w:val="32"/>
          <w:lang w:eastAsia="zh-CN"/>
        </w:rPr>
        <w:t>：</w:t>
      </w:r>
      <w:r>
        <w:rPr>
          <w:rFonts w:hint="eastAsia" w:ascii="仿宋_GB2312" w:hAnsi="仿宋_GB2312" w:eastAsia="仿宋_GB2312" w:cs="仿宋_GB2312"/>
          <w:color w:val="000000"/>
          <w:kern w:val="0"/>
          <w:sz w:val="32"/>
          <w:szCs w:val="32"/>
          <w:lang w:val="en-US" w:eastAsia="zh-CN"/>
        </w:rPr>
        <w:t>2023年我单位绩效自评项目共11个，其中评价等级为“优”的项目11个，评优率100%。</w:t>
      </w:r>
    </w:p>
    <w:p>
      <w:pPr>
        <w:adjustRightInd w:val="0"/>
        <w:snapToGrid w:val="0"/>
        <w:spacing w:line="580" w:lineRule="exact"/>
        <w:ind w:left="480" w:leftChars="200" w:firstLine="321" w:firstLineChars="100"/>
        <w:rPr>
          <w:rFonts w:hint="eastAsia" w:ascii="Times New Roman" w:hAnsi="Times New Roman" w:eastAsia="仿宋_GB2312" w:cs="Times New Roman"/>
          <w:b/>
          <w:bCs/>
          <w:sz w:val="32"/>
          <w:szCs w:val="32"/>
          <w:lang w:eastAsia="zh-CN"/>
        </w:rPr>
      </w:pPr>
    </w:p>
    <w:p>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ascii="仿宋_GB2312" w:hAnsi="Times New Roman" w:eastAsia="仿宋_GB2312" w:cs="仿宋_GB2312"/>
          <w:sz w:val="32"/>
          <w:szCs w:val="32"/>
        </w:rPr>
        <w:t xml:space="preserve">1. </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hint="eastAsia" w:ascii="仿宋_GB2312" w:hAnsi="Times New Roman" w:eastAsia="仿宋_GB2312" w:cs="仿宋_GB2312"/>
          <w:sz w:val="32"/>
          <w:szCs w:val="32"/>
          <w:lang w:val="en-US" w:eastAsia="zh-CN"/>
        </w:rPr>
        <w:t>2023年度</w:t>
      </w:r>
      <w:r>
        <w:rPr>
          <w:rFonts w:hint="eastAsia" w:ascii="仿宋_GB2312" w:hAnsi="Times New Roman" w:eastAsia="仿宋_GB2312" w:cs="仿宋_GB2312"/>
          <w:sz w:val="32"/>
          <w:szCs w:val="32"/>
        </w:rPr>
        <w:t>无国有资本经营预算财政拨款支出情况，国有资本经营预算财政拨款支出决算表空表列示</w:t>
      </w:r>
      <w:r>
        <w:rPr>
          <w:rFonts w:hint="eastAsia" w:ascii="仿宋_GB2312" w:hAnsi="Times New Roman" w:eastAsia="仿宋_GB2312" w:cs="仿宋_GB2312"/>
          <w:sz w:val="32"/>
          <w:szCs w:val="32"/>
          <w:lang w:eastAsia="zh-CN"/>
        </w:rPr>
        <w:t>。</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hint="eastAsia" w:ascii="仿宋_GB2312" w:hAnsi="Times New Roman" w:eastAsia="仿宋_GB2312" w:cs="仿宋_GB2312"/>
          <w:sz w:val="32"/>
          <w:szCs w:val="32"/>
          <w:lang w:val="en-US" w:eastAsia="zh-CN"/>
        </w:rPr>
        <w:t>2023年度</w:t>
      </w:r>
      <w:r>
        <w:rPr>
          <w:rFonts w:hint="eastAsia" w:ascii="仿宋_GB2312" w:hAnsi="Times New Roman" w:eastAsia="仿宋_GB2312" w:cs="仿宋_GB2312"/>
          <w:sz w:val="32"/>
          <w:szCs w:val="32"/>
        </w:rPr>
        <w:t>无</w:t>
      </w:r>
      <w:r>
        <w:rPr>
          <w:rFonts w:hint="eastAsia" w:ascii="仿宋_GB2312" w:hAnsi="Times New Roman" w:eastAsia="仿宋_GB2312" w:cs="仿宋_GB2312"/>
          <w:sz w:val="32"/>
          <w:szCs w:val="32"/>
          <w:lang w:eastAsia="zh-CN"/>
        </w:rPr>
        <w:t>财政拨款“三公”经费</w:t>
      </w:r>
      <w:r>
        <w:rPr>
          <w:rFonts w:hint="eastAsia" w:ascii="仿宋_GB2312" w:hAnsi="Times New Roman" w:eastAsia="仿宋_GB2312" w:cs="仿宋_GB2312"/>
          <w:sz w:val="32"/>
          <w:szCs w:val="32"/>
        </w:rPr>
        <w:t>支出情况，财政拨款“三公”经费支出决算表空表列示</w:t>
      </w:r>
      <w:r>
        <w:rPr>
          <w:rFonts w:hint="eastAsia" w:ascii="仿宋_GB2312" w:hAnsi="Times New Roman" w:eastAsia="仿宋_GB2312" w:cs="仿宋_GB2312"/>
          <w:sz w:val="32"/>
          <w:szCs w:val="32"/>
          <w:lang w:eastAsia="zh-CN"/>
        </w:rPr>
        <w:t>。</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adjustRightInd w:val="0"/>
        <w:snapToGrid w:val="0"/>
        <w:spacing w:line="580" w:lineRule="exact"/>
        <w:ind w:firstLine="640" w:firstLineChars="200"/>
        <w:rPr>
          <w:rFonts w:hint="default" w:ascii="Times New Roman" w:hAnsi="Times New Roman" w:eastAsia="仿宋_GB2312" w:cs="Times New Roman"/>
          <w:sz w:val="32"/>
          <w:szCs w:val="32"/>
        </w:rPr>
      </w:pPr>
    </w:p>
    <w:p>
      <w:pPr>
        <w:widowControl/>
        <w:spacing w:line="580" w:lineRule="exact"/>
        <w:ind w:firstLine="883" w:firstLineChars="200"/>
        <w:jc w:val="left"/>
        <w:rPr>
          <w:rFonts w:hint="default" w:ascii="Times New Roman" w:hAnsi="Times New Roman" w:eastAsia="宋体" w:cs="Times New Roman"/>
          <w:b/>
          <w:bCs/>
          <w:kern w:val="0"/>
          <w:sz w:val="44"/>
          <w:szCs w:val="44"/>
        </w:rPr>
      </w:pPr>
    </w:p>
    <w:p>
      <w:pPr>
        <w:rPr>
          <w:rFonts w:hint="default" w:ascii="Times New Roman" w:hAnsi="Times New Roman" w:eastAsia="仿宋_GB2312" w:cs="Times New Roman"/>
          <w:sz w:val="32"/>
          <w:szCs w:val="32"/>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hint="default" w:ascii="Times New Roman" w:hAnsi="Times New Roman" w:eastAsia="仿宋_GB2312" w:cs="Times New Roman"/>
          <w:sz w:val="32"/>
          <w:szCs w:val="32"/>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取得的财政预算资金。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pPr>
        <w:rPr>
          <w:rFonts w:hint="default" w:ascii="Times New Roman" w:hAnsi="Times New Roman" w:cs="Times New Roman"/>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52D5E51F-6A88-40AE-B60E-216396C4EAF9}"/>
  </w:font>
  <w:font w:name="黑体">
    <w:panose1 w:val="02010609060101010101"/>
    <w:charset w:val="86"/>
    <w:family w:val="auto"/>
    <w:pitch w:val="default"/>
    <w:sig w:usb0="800002BF" w:usb1="38CF7CFA" w:usb2="00000016" w:usb3="00000000" w:csb0="00040001" w:csb1="00000000"/>
    <w:embedRegular r:id="rId2" w:fontKey="{DFA601D5-6251-4B02-A5D4-B46D725FC66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3" w:fontKey="{826CB840-01D3-4F4C-AFC4-FCCC7B3D0216}"/>
  </w:font>
  <w:font w:name="仿宋">
    <w:panose1 w:val="02010609060101010101"/>
    <w:charset w:val="86"/>
    <w:family w:val="modern"/>
    <w:pitch w:val="default"/>
    <w:sig w:usb0="800002BF" w:usb1="38CF7CFA" w:usb2="00000016" w:usb3="00000000" w:csb0="00040001" w:csb1="00000000"/>
    <w:embedRegular r:id="rId4" w:fontKey="{054FD795-E2DC-4583-B4C4-40613FDF1865}"/>
  </w:font>
  <w:font w:name="Calibri Light">
    <w:altName w:val="Calibri"/>
    <w:panose1 w:val="020F0302020204030204"/>
    <w:charset w:val="00"/>
    <w:family w:val="auto"/>
    <w:pitch w:val="default"/>
    <w:sig w:usb0="00000000" w:usb1="00000000"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embedRegular r:id="rId5" w:fontKey="{28F49778-12FC-4754-B853-F224707B23E1}"/>
  </w:font>
  <w:font w:name="思源黑体 CN Heavy">
    <w:altName w:val="黑体"/>
    <w:panose1 w:val="00000000000000000000"/>
    <w:charset w:val="86"/>
    <w:family w:val="swiss"/>
    <w:pitch w:val="default"/>
    <w:sig w:usb0="00000000" w:usb1="00000000" w:usb2="00000016" w:usb3="00000000" w:csb0="00060107" w:csb1="00000000"/>
    <w:embedRegular r:id="rId6" w:fontKey="{A2BA420A-59A6-441C-B906-91BA313A9CD0}"/>
  </w:font>
  <w:font w:name="楷体_GB2312">
    <w:altName w:val="楷体"/>
    <w:panose1 w:val="02010609030101010101"/>
    <w:charset w:val="86"/>
    <w:family w:val="auto"/>
    <w:pitch w:val="default"/>
    <w:sig w:usb0="00000000" w:usb1="00000000" w:usb2="00000000" w:usb3="00000000" w:csb0="00040000" w:csb1="00000000"/>
    <w:embedRegular r:id="rId7" w:fontKey="{ED3A1898-35E8-4F84-98EC-36E89821B422}"/>
  </w:font>
  <w:font w:name="仿宋_GB2312">
    <w:panose1 w:val="02010609030101010101"/>
    <w:charset w:val="86"/>
    <w:family w:val="auto"/>
    <w:pitch w:val="default"/>
    <w:sig w:usb0="00000000" w:usb1="00000000" w:usb2="00000000" w:usb3="00000000" w:csb0="00000000" w:csb1="00000000"/>
    <w:embedRegular r:id="rId8" w:fontKey="{189CE100-110F-4D5A-8715-1E3808E2960A}"/>
  </w:font>
  <w:font w:name="ArialUnicodeMS">
    <w:altName w:val="Malgun Gothic"/>
    <w:panose1 w:val="00000000000000000000"/>
    <w:charset w:val="81"/>
    <w:family w:val="auto"/>
    <w:pitch w:val="default"/>
    <w:sig w:usb0="00000000" w:usb1="00000000" w:usb2="00000010" w:usb3="00000000" w:csb0="00080001" w:csb1="00000000"/>
    <w:embedRegular r:id="rId9" w:fontKey="{7446BA4F-3343-47E4-963D-5BEB535F718D}"/>
  </w:font>
  <w:font w:name="方正仿宋_GB2312">
    <w:panose1 w:val="02000000000000000000"/>
    <w:charset w:val="86"/>
    <w:family w:val="auto"/>
    <w:pitch w:val="default"/>
    <w:sig w:usb0="00000000" w:usb1="00000000" w:usb2="00000000" w:usb3="00000000" w:csb0="00000000" w:csb1="00000000"/>
    <w:embedRegular r:id="rId10" w:fontKey="{C59D962B-503E-47C5-8B30-F8BAB17B1137}"/>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ksImhkaWQiOiIzMWE1MzMwMDNjMmJhYTE1ZmE0MmVkZDFmNDA1ZThhMiIsInVzZXJDb3VudCI6MTl9"/>
  </w:docVars>
  <w:rsids>
    <w:rsidRoot w:val="00000000"/>
    <w:rsid w:val="00086151"/>
    <w:rsid w:val="00236F8C"/>
    <w:rsid w:val="008E12CF"/>
    <w:rsid w:val="0096690D"/>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8CA0BAE"/>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031787"/>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743940"/>
    <w:rsid w:val="19B07C1B"/>
    <w:rsid w:val="19C10AF1"/>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13A7E"/>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7A7956"/>
    <w:rsid w:val="22940650"/>
    <w:rsid w:val="22AD4B1E"/>
    <w:rsid w:val="22D31DF3"/>
    <w:rsid w:val="22FD3CF7"/>
    <w:rsid w:val="2356249E"/>
    <w:rsid w:val="23605570"/>
    <w:rsid w:val="236E713A"/>
    <w:rsid w:val="23700968"/>
    <w:rsid w:val="238761A6"/>
    <w:rsid w:val="23920578"/>
    <w:rsid w:val="23BB6F9A"/>
    <w:rsid w:val="23FC3864"/>
    <w:rsid w:val="24280D7A"/>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5D6679"/>
    <w:rsid w:val="2A611B0F"/>
    <w:rsid w:val="2AC1762B"/>
    <w:rsid w:val="2AE845D0"/>
    <w:rsid w:val="2B4975FB"/>
    <w:rsid w:val="2B5D338D"/>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7424DD"/>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736AB0"/>
    <w:rsid w:val="348865E9"/>
    <w:rsid w:val="348F70D5"/>
    <w:rsid w:val="349D2BAD"/>
    <w:rsid w:val="34B25886"/>
    <w:rsid w:val="34B40430"/>
    <w:rsid w:val="35277FF8"/>
    <w:rsid w:val="35776F72"/>
    <w:rsid w:val="35997371"/>
    <w:rsid w:val="360134DF"/>
    <w:rsid w:val="360B1E2F"/>
    <w:rsid w:val="360D500F"/>
    <w:rsid w:val="362821DB"/>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D838DD"/>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8B4762"/>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9F8645A"/>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308260B"/>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801CF2"/>
    <w:rsid w:val="669E59F1"/>
    <w:rsid w:val="66A2024B"/>
    <w:rsid w:val="66D03E18"/>
    <w:rsid w:val="66EA4BA0"/>
    <w:rsid w:val="6704732B"/>
    <w:rsid w:val="670F6731"/>
    <w:rsid w:val="67280F62"/>
    <w:rsid w:val="67516F60"/>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05392"/>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296B02"/>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1">
    <w:name w:val="Default Paragraph Font"/>
    <w:semiHidden/>
    <w:unhideWhenUsed/>
    <w:qFormat/>
    <w:uiPriority w:val="1"/>
  </w:style>
  <w:style w:type="table" w:default="1" w:styleId="13">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character" w:styleId="12">
    <w:name w:val="Strong"/>
    <w:basedOn w:val="11"/>
    <w:qFormat/>
    <w:uiPriority w:val="22"/>
    <w:rPr>
      <w:b/>
    </w:rPr>
  </w:style>
  <w:style w:type="table" w:styleId="14">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1"/>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1"/>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1"/>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1"/>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1"/>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1"/>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1"/>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1"/>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1"/>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1"/>
    <w:qFormat/>
    <w:uiPriority w:val="0"/>
    <w:rPr>
      <w:rFonts w:hint="eastAsia" w:ascii="宋体" w:hAnsi="宋体" w:eastAsia="宋体" w:cs="宋体"/>
      <w:color w:val="000000"/>
      <w:sz w:val="20"/>
      <w:szCs w:val="20"/>
      <w:u w:val="none"/>
    </w:rPr>
  </w:style>
  <w:style w:type="character" w:customStyle="1" w:styleId="26">
    <w:name w:val="font21"/>
    <w:basedOn w:val="11"/>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5.pn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3039.35</c:v>
                </c:pt>
                <c:pt idx="1">
                  <c:v>2965.16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manualLayout>
          <c:xMode val="edge"/>
          <c:yMode val="edge"/>
          <c:x val="0.512080212611742"/>
          <c:y val="0.0669358266043349"/>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layout>
                <c:manualLayout>
                  <c:x val="-0.030804542159942"/>
                  <c:y val="-0.04143646408839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0887889532655347"/>
                  <c:y val="0.03036506587586"/>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06572602250053"/>
                  <c:y val="0.029090097750220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19994261.55</c:v>
                </c:pt>
                <c:pt idx="1">
                  <c:v>9596411.76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3030.54</c:v>
                </c:pt>
                <c:pt idx="1">
                  <c:v>3035.29</c:v>
                </c:pt>
                <c:pt idx="2">
                  <c:v>2946.24</c:v>
                </c:pt>
                <c:pt idx="3">
                  <c:v>2946.03</c:v>
                </c:pt>
                <c:pt idx="4">
                  <c:v>84.3</c:v>
                </c:pt>
                <c:pt idx="5">
                  <c:v>89.27</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2961.11</c:v>
                </c:pt>
                <c:pt idx="1">
                  <c:v>2959.07</c:v>
                </c:pt>
                <c:pt idx="2">
                  <c:v>2961.11</c:v>
                </c:pt>
                <c:pt idx="3">
                  <c:v>2959.07</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3078.96</c:v>
                </c:pt>
                <c:pt idx="1">
                  <c:v>3078.96</c:v>
                </c:pt>
                <c:pt idx="2">
                  <c:v>3078.96</c:v>
                </c:pt>
                <c:pt idx="3">
                  <c:v>3078.96</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2961.11</c:v>
                </c:pt>
                <c:pt idx="1">
                  <c:v>2959.07</c:v>
                </c:pt>
                <c:pt idx="2">
                  <c:v>2961.11</c:v>
                </c:pt>
                <c:pt idx="3">
                  <c:v>2959.07</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社会保障和就业支出</c:v>
                </c:pt>
                <c:pt idx="1">
                  <c:v>卫生健康支出</c:v>
                </c:pt>
                <c:pt idx="2">
                  <c:v>城乡社区支出</c:v>
                </c:pt>
                <c:pt idx="3">
                  <c:v>住房保障支出</c:v>
                </c:pt>
              </c:strCache>
            </c:strRef>
          </c:cat>
          <c:val>
            <c:numRef>
              <c:f>Sheet1!$B$2:$B$5</c:f>
              <c:numCache>
                <c:formatCode>General</c:formatCode>
                <c:ptCount val="4"/>
                <c:pt idx="0">
                  <c:v>672.44</c:v>
                </c:pt>
                <c:pt idx="1">
                  <c:v>92.52</c:v>
                </c:pt>
                <c:pt idx="2">
                  <c:v>2074.47</c:v>
                </c:pt>
                <c:pt idx="3">
                  <c:v>119.65</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54</Pages>
  <Words>10283</Words>
  <Characters>34683</Characters>
  <Lines>86</Lines>
  <Paragraphs>24</Paragraphs>
  <TotalTime>4</TotalTime>
  <ScaleCrop>false</ScaleCrop>
  <LinksUpToDate>false</LinksUpToDate>
  <CharactersWithSpaces>35311</CharactersWithSpaces>
  <Application>WPS Office_11.1.0.8013_F1E327BC-269C-435d-A152-05C5408002CA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2024-09-24T02:18:00Z</cp:lastPrinted>
  <dcterms:modified xsi:type="dcterms:W3CDTF">2025-09-15T02:20:25Z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2052-11.1.0.8013</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