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721石家庄市鹿泉区文学艺术界联合会</w:t>
            </w:r>
          </w:p>
        </w:tc>
        <w:tc>
          <w:tcPr>
            <w:tcW w:w="2126" w:type="dxa"/>
            <w:tcBorders>
              <w:top w:val="single" w:color="FFFFFF" w:sz="6" w:space="0"/>
              <w:left w:val="single" w:color="FFFFFF" w:sz="6" w:space="0"/>
              <w:right w:val="single" w:color="FFFFFF" w:sz="6" w:space="0"/>
            </w:tcBorders>
            <w:vAlign w:val="center"/>
          </w:tcPr>
          <w:p>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265.93</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r>
              <w:t>225.30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21.86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7.85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10.91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265.93</w:t>
            </w:r>
          </w:p>
        </w:tc>
        <w:tc>
          <w:tcPr>
            <w:tcW w:w="4535" w:type="dxa"/>
            <w:vAlign w:val="center"/>
          </w:tcPr>
          <w:p>
            <w:pPr>
              <w:pStyle w:val="17"/>
            </w:pPr>
            <w:r>
              <w:t>本年支出合计</w:t>
            </w:r>
          </w:p>
        </w:tc>
        <w:tc>
          <w:tcPr>
            <w:tcW w:w="2126" w:type="dxa"/>
            <w:vAlign w:val="center"/>
          </w:tcPr>
          <w:p>
            <w:pPr>
              <w:pStyle w:val="18"/>
            </w:pPr>
            <w:r>
              <w:t>265.93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265.93</w:t>
            </w:r>
          </w:p>
        </w:tc>
        <w:tc>
          <w:tcPr>
            <w:tcW w:w="4535" w:type="dxa"/>
            <w:vAlign w:val="center"/>
          </w:tcPr>
          <w:p>
            <w:pPr>
              <w:pStyle w:val="17"/>
            </w:pPr>
            <w:r>
              <w:t>支出总计</w:t>
            </w:r>
          </w:p>
        </w:tc>
        <w:tc>
          <w:tcPr>
            <w:tcW w:w="2126" w:type="dxa"/>
            <w:vAlign w:val="center"/>
          </w:tcPr>
          <w:p>
            <w:pPr>
              <w:pStyle w:val="18"/>
            </w:pPr>
            <w:r>
              <w:t>265.93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721石家庄市鹿泉区文学艺术界联合会</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265.93</w:t>
            </w:r>
          </w:p>
        </w:tc>
        <w:tc>
          <w:tcPr>
            <w:tcW w:w="1134" w:type="dxa"/>
            <w:vAlign w:val="center"/>
          </w:tcPr>
          <w:p>
            <w:pPr>
              <w:pStyle w:val="18"/>
            </w:pPr>
            <w:r>
              <w:t>265.93</w:t>
            </w:r>
          </w:p>
        </w:tc>
        <w:tc>
          <w:tcPr>
            <w:tcW w:w="1134" w:type="dxa"/>
            <w:vAlign w:val="center"/>
          </w:tcPr>
          <w:p>
            <w:pPr>
              <w:pStyle w:val="18"/>
            </w:pPr>
            <w:r>
              <w:t>265.93</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6"/>
            </w:pPr>
            <w:r>
              <w:t>2</w:t>
            </w:r>
          </w:p>
        </w:tc>
        <w:tc>
          <w:tcPr>
            <w:tcW w:w="992" w:type="dxa"/>
            <w:vAlign w:val="center"/>
          </w:tcPr>
          <w:p>
            <w:pPr>
              <w:pStyle w:val="15"/>
            </w:pPr>
            <w:r>
              <w:t>207</w:t>
            </w:r>
          </w:p>
        </w:tc>
        <w:tc>
          <w:tcPr>
            <w:tcW w:w="1559" w:type="dxa"/>
            <w:vAlign w:val="center"/>
          </w:tcPr>
          <w:p>
            <w:pPr>
              <w:pStyle w:val="15"/>
            </w:pPr>
            <w:r>
              <w:t>文化旅游体育与传媒支出</w:t>
            </w:r>
          </w:p>
        </w:tc>
        <w:tc>
          <w:tcPr>
            <w:tcW w:w="1134" w:type="dxa"/>
            <w:vAlign w:val="center"/>
          </w:tcPr>
          <w:p>
            <w:pPr>
              <w:pStyle w:val="14"/>
            </w:pPr>
            <w:r>
              <w:t>225.30</w:t>
            </w:r>
          </w:p>
        </w:tc>
        <w:tc>
          <w:tcPr>
            <w:tcW w:w="1134" w:type="dxa"/>
            <w:vAlign w:val="center"/>
          </w:tcPr>
          <w:p>
            <w:pPr>
              <w:pStyle w:val="14"/>
            </w:pPr>
            <w:r>
              <w:t>225.30</w:t>
            </w:r>
          </w:p>
        </w:tc>
        <w:tc>
          <w:tcPr>
            <w:tcW w:w="1134" w:type="dxa"/>
            <w:vAlign w:val="center"/>
          </w:tcPr>
          <w:p>
            <w:pPr>
              <w:pStyle w:val="14"/>
            </w:pPr>
            <w:r>
              <w:t>225.30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20701</w:t>
            </w:r>
          </w:p>
        </w:tc>
        <w:tc>
          <w:tcPr>
            <w:tcW w:w="1559" w:type="dxa"/>
            <w:vAlign w:val="center"/>
          </w:tcPr>
          <w:p>
            <w:pPr>
              <w:pStyle w:val="15"/>
            </w:pPr>
            <w:r>
              <w:t>文化和旅游</w:t>
            </w:r>
          </w:p>
        </w:tc>
        <w:tc>
          <w:tcPr>
            <w:tcW w:w="1134" w:type="dxa"/>
            <w:vAlign w:val="center"/>
          </w:tcPr>
          <w:p>
            <w:pPr>
              <w:pStyle w:val="14"/>
            </w:pPr>
            <w:r>
              <w:t>225.30</w:t>
            </w:r>
          </w:p>
        </w:tc>
        <w:tc>
          <w:tcPr>
            <w:tcW w:w="1134" w:type="dxa"/>
            <w:vAlign w:val="center"/>
          </w:tcPr>
          <w:p>
            <w:pPr>
              <w:pStyle w:val="14"/>
            </w:pPr>
            <w:r>
              <w:t>225.30</w:t>
            </w:r>
          </w:p>
        </w:tc>
        <w:tc>
          <w:tcPr>
            <w:tcW w:w="1134" w:type="dxa"/>
            <w:vAlign w:val="center"/>
          </w:tcPr>
          <w:p>
            <w:pPr>
              <w:pStyle w:val="14"/>
            </w:pPr>
            <w:r>
              <w:t>225.30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2070101</w:t>
            </w:r>
          </w:p>
        </w:tc>
        <w:tc>
          <w:tcPr>
            <w:tcW w:w="1559" w:type="dxa"/>
            <w:vAlign w:val="center"/>
          </w:tcPr>
          <w:p>
            <w:pPr>
              <w:pStyle w:val="15"/>
            </w:pPr>
            <w:r>
              <w:t>行政运行</w:t>
            </w:r>
          </w:p>
        </w:tc>
        <w:tc>
          <w:tcPr>
            <w:tcW w:w="1134" w:type="dxa"/>
            <w:vAlign w:val="center"/>
          </w:tcPr>
          <w:p>
            <w:pPr>
              <w:pStyle w:val="14"/>
            </w:pPr>
            <w:r>
              <w:t>110.30</w:t>
            </w:r>
          </w:p>
        </w:tc>
        <w:tc>
          <w:tcPr>
            <w:tcW w:w="1134" w:type="dxa"/>
            <w:vAlign w:val="center"/>
          </w:tcPr>
          <w:p>
            <w:pPr>
              <w:pStyle w:val="14"/>
            </w:pPr>
            <w:r>
              <w:t>110.30</w:t>
            </w:r>
          </w:p>
        </w:tc>
        <w:tc>
          <w:tcPr>
            <w:tcW w:w="1134" w:type="dxa"/>
            <w:vAlign w:val="center"/>
          </w:tcPr>
          <w:p>
            <w:pPr>
              <w:pStyle w:val="14"/>
            </w:pPr>
            <w:r>
              <w:t>110.30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2070106</w:t>
            </w:r>
          </w:p>
        </w:tc>
        <w:tc>
          <w:tcPr>
            <w:tcW w:w="1559" w:type="dxa"/>
            <w:vAlign w:val="center"/>
          </w:tcPr>
          <w:p>
            <w:pPr>
              <w:pStyle w:val="15"/>
            </w:pPr>
            <w:r>
              <w:t>艺术表演场所</w:t>
            </w:r>
          </w:p>
        </w:tc>
        <w:tc>
          <w:tcPr>
            <w:tcW w:w="1134" w:type="dxa"/>
            <w:vAlign w:val="center"/>
          </w:tcPr>
          <w:p>
            <w:pPr>
              <w:pStyle w:val="14"/>
            </w:pPr>
            <w:r>
              <w:t>100.00</w:t>
            </w:r>
          </w:p>
        </w:tc>
        <w:tc>
          <w:tcPr>
            <w:tcW w:w="1134" w:type="dxa"/>
            <w:vAlign w:val="center"/>
          </w:tcPr>
          <w:p>
            <w:pPr>
              <w:pStyle w:val="14"/>
            </w:pPr>
            <w:r>
              <w:t>100.00</w:t>
            </w:r>
          </w:p>
        </w:tc>
        <w:tc>
          <w:tcPr>
            <w:tcW w:w="1134" w:type="dxa"/>
            <w:vAlign w:val="center"/>
          </w:tcPr>
          <w:p>
            <w:pPr>
              <w:pStyle w:val="14"/>
            </w:pPr>
            <w:r>
              <w:t>100.00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2070108</w:t>
            </w:r>
          </w:p>
        </w:tc>
        <w:tc>
          <w:tcPr>
            <w:tcW w:w="1559" w:type="dxa"/>
            <w:vAlign w:val="center"/>
          </w:tcPr>
          <w:p>
            <w:pPr>
              <w:pStyle w:val="15"/>
            </w:pPr>
            <w:r>
              <w:t>文化活动</w:t>
            </w:r>
          </w:p>
        </w:tc>
        <w:tc>
          <w:tcPr>
            <w:tcW w:w="1134" w:type="dxa"/>
            <w:vAlign w:val="center"/>
          </w:tcPr>
          <w:p>
            <w:pPr>
              <w:pStyle w:val="14"/>
            </w:pPr>
            <w:r>
              <w:t>15.00</w:t>
            </w:r>
          </w:p>
        </w:tc>
        <w:tc>
          <w:tcPr>
            <w:tcW w:w="1134" w:type="dxa"/>
            <w:vAlign w:val="center"/>
          </w:tcPr>
          <w:p>
            <w:pPr>
              <w:pStyle w:val="14"/>
            </w:pPr>
            <w:r>
              <w:t>15.00</w:t>
            </w:r>
          </w:p>
        </w:tc>
        <w:tc>
          <w:tcPr>
            <w:tcW w:w="1134" w:type="dxa"/>
            <w:vAlign w:val="center"/>
          </w:tcPr>
          <w:p>
            <w:pPr>
              <w:pStyle w:val="14"/>
            </w:pPr>
            <w:r>
              <w:t>15.00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21.86</w:t>
            </w:r>
          </w:p>
        </w:tc>
        <w:tc>
          <w:tcPr>
            <w:tcW w:w="1134" w:type="dxa"/>
            <w:vAlign w:val="center"/>
          </w:tcPr>
          <w:p>
            <w:pPr>
              <w:pStyle w:val="14"/>
            </w:pPr>
            <w:r>
              <w:t>21.86</w:t>
            </w:r>
          </w:p>
        </w:tc>
        <w:tc>
          <w:tcPr>
            <w:tcW w:w="1134" w:type="dxa"/>
            <w:vAlign w:val="center"/>
          </w:tcPr>
          <w:p>
            <w:pPr>
              <w:pStyle w:val="14"/>
            </w:pPr>
            <w:r>
              <w:t>21.86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21.86</w:t>
            </w:r>
          </w:p>
        </w:tc>
        <w:tc>
          <w:tcPr>
            <w:tcW w:w="1134" w:type="dxa"/>
            <w:vAlign w:val="center"/>
          </w:tcPr>
          <w:p>
            <w:pPr>
              <w:pStyle w:val="14"/>
            </w:pPr>
            <w:r>
              <w:t>21.86</w:t>
            </w:r>
          </w:p>
        </w:tc>
        <w:tc>
          <w:tcPr>
            <w:tcW w:w="1134" w:type="dxa"/>
            <w:vAlign w:val="center"/>
          </w:tcPr>
          <w:p>
            <w:pPr>
              <w:pStyle w:val="14"/>
            </w:pPr>
            <w:r>
              <w:t>21.86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2080501</w:t>
            </w:r>
          </w:p>
        </w:tc>
        <w:tc>
          <w:tcPr>
            <w:tcW w:w="1559" w:type="dxa"/>
            <w:vAlign w:val="center"/>
          </w:tcPr>
          <w:p>
            <w:pPr>
              <w:pStyle w:val="15"/>
            </w:pPr>
            <w:r>
              <w:t>行政单位离退休</w:t>
            </w:r>
          </w:p>
        </w:tc>
        <w:tc>
          <w:tcPr>
            <w:tcW w:w="1134" w:type="dxa"/>
            <w:vAlign w:val="center"/>
          </w:tcPr>
          <w:p>
            <w:pPr>
              <w:pStyle w:val="14"/>
            </w:pPr>
            <w:r>
              <w:t>11.09</w:t>
            </w:r>
          </w:p>
        </w:tc>
        <w:tc>
          <w:tcPr>
            <w:tcW w:w="1134" w:type="dxa"/>
            <w:vAlign w:val="center"/>
          </w:tcPr>
          <w:p>
            <w:pPr>
              <w:pStyle w:val="14"/>
            </w:pPr>
            <w:r>
              <w:t>11.09</w:t>
            </w:r>
          </w:p>
        </w:tc>
        <w:tc>
          <w:tcPr>
            <w:tcW w:w="1134" w:type="dxa"/>
            <w:vAlign w:val="center"/>
          </w:tcPr>
          <w:p>
            <w:pPr>
              <w:pStyle w:val="14"/>
            </w:pPr>
            <w:r>
              <w:t>11.09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10.77</w:t>
            </w:r>
          </w:p>
        </w:tc>
        <w:tc>
          <w:tcPr>
            <w:tcW w:w="1134" w:type="dxa"/>
            <w:vAlign w:val="center"/>
          </w:tcPr>
          <w:p>
            <w:pPr>
              <w:pStyle w:val="14"/>
            </w:pPr>
            <w:r>
              <w:t>10.77</w:t>
            </w:r>
          </w:p>
        </w:tc>
        <w:tc>
          <w:tcPr>
            <w:tcW w:w="1134" w:type="dxa"/>
            <w:vAlign w:val="center"/>
          </w:tcPr>
          <w:p>
            <w:pPr>
              <w:pStyle w:val="14"/>
            </w:pPr>
            <w:r>
              <w:t>10.77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7.85</w:t>
            </w:r>
          </w:p>
        </w:tc>
        <w:tc>
          <w:tcPr>
            <w:tcW w:w="1134" w:type="dxa"/>
            <w:vAlign w:val="center"/>
          </w:tcPr>
          <w:p>
            <w:pPr>
              <w:pStyle w:val="14"/>
            </w:pPr>
            <w:r>
              <w:t>7.85</w:t>
            </w:r>
          </w:p>
        </w:tc>
        <w:tc>
          <w:tcPr>
            <w:tcW w:w="1134" w:type="dxa"/>
            <w:vAlign w:val="center"/>
          </w:tcPr>
          <w:p>
            <w:pPr>
              <w:pStyle w:val="14"/>
            </w:pPr>
            <w:r>
              <w:t>7.85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7.85</w:t>
            </w:r>
          </w:p>
        </w:tc>
        <w:tc>
          <w:tcPr>
            <w:tcW w:w="1134" w:type="dxa"/>
            <w:vAlign w:val="center"/>
          </w:tcPr>
          <w:p>
            <w:pPr>
              <w:pStyle w:val="14"/>
            </w:pPr>
            <w:r>
              <w:t>7.85</w:t>
            </w:r>
          </w:p>
        </w:tc>
        <w:tc>
          <w:tcPr>
            <w:tcW w:w="1134" w:type="dxa"/>
            <w:vAlign w:val="center"/>
          </w:tcPr>
          <w:p>
            <w:pPr>
              <w:pStyle w:val="14"/>
            </w:pPr>
            <w:r>
              <w:t>7.85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7.85</w:t>
            </w:r>
          </w:p>
        </w:tc>
        <w:tc>
          <w:tcPr>
            <w:tcW w:w="1134" w:type="dxa"/>
            <w:vAlign w:val="center"/>
          </w:tcPr>
          <w:p>
            <w:pPr>
              <w:pStyle w:val="14"/>
            </w:pPr>
            <w:r>
              <w:t>7.85</w:t>
            </w:r>
          </w:p>
        </w:tc>
        <w:tc>
          <w:tcPr>
            <w:tcW w:w="1134" w:type="dxa"/>
            <w:vAlign w:val="center"/>
          </w:tcPr>
          <w:p>
            <w:pPr>
              <w:pStyle w:val="14"/>
            </w:pPr>
            <w:r>
              <w:t>7.85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10.91</w:t>
            </w:r>
          </w:p>
        </w:tc>
        <w:tc>
          <w:tcPr>
            <w:tcW w:w="1134" w:type="dxa"/>
            <w:vAlign w:val="center"/>
          </w:tcPr>
          <w:p>
            <w:pPr>
              <w:pStyle w:val="14"/>
            </w:pPr>
            <w:r>
              <w:t>10.91</w:t>
            </w:r>
          </w:p>
        </w:tc>
        <w:tc>
          <w:tcPr>
            <w:tcW w:w="1134" w:type="dxa"/>
            <w:vAlign w:val="center"/>
          </w:tcPr>
          <w:p>
            <w:pPr>
              <w:pStyle w:val="14"/>
            </w:pPr>
            <w:r>
              <w:t>10.91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10.91</w:t>
            </w:r>
          </w:p>
        </w:tc>
        <w:tc>
          <w:tcPr>
            <w:tcW w:w="1134" w:type="dxa"/>
            <w:vAlign w:val="center"/>
          </w:tcPr>
          <w:p>
            <w:pPr>
              <w:pStyle w:val="14"/>
            </w:pPr>
            <w:r>
              <w:t>10.91</w:t>
            </w:r>
          </w:p>
        </w:tc>
        <w:tc>
          <w:tcPr>
            <w:tcW w:w="1134" w:type="dxa"/>
            <w:vAlign w:val="center"/>
          </w:tcPr>
          <w:p>
            <w:pPr>
              <w:pStyle w:val="14"/>
            </w:pPr>
            <w:r>
              <w:t>10.91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6"/>
            </w:pPr>
            <w:r>
              <w:t>16</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10.91</w:t>
            </w:r>
          </w:p>
        </w:tc>
        <w:tc>
          <w:tcPr>
            <w:tcW w:w="1134" w:type="dxa"/>
            <w:vAlign w:val="center"/>
          </w:tcPr>
          <w:p>
            <w:pPr>
              <w:pStyle w:val="14"/>
            </w:pPr>
            <w:r>
              <w:t>10.91</w:t>
            </w:r>
          </w:p>
        </w:tc>
        <w:tc>
          <w:tcPr>
            <w:tcW w:w="1134" w:type="dxa"/>
            <w:vAlign w:val="center"/>
          </w:tcPr>
          <w:p>
            <w:pPr>
              <w:pStyle w:val="14"/>
            </w:pPr>
            <w:r>
              <w:t>10.91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721石家庄市鹿泉区文学艺术界联合会</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265.93</w:t>
            </w:r>
          </w:p>
        </w:tc>
        <w:tc>
          <w:tcPr>
            <w:tcW w:w="1361" w:type="dxa"/>
            <w:vAlign w:val="center"/>
          </w:tcPr>
          <w:p>
            <w:pPr>
              <w:pStyle w:val="18"/>
            </w:pPr>
            <w:r>
              <w:t>150.93</w:t>
            </w:r>
          </w:p>
        </w:tc>
        <w:tc>
          <w:tcPr>
            <w:tcW w:w="1361" w:type="dxa"/>
            <w:vAlign w:val="center"/>
          </w:tcPr>
          <w:p>
            <w:pPr>
              <w:pStyle w:val="18"/>
            </w:pPr>
            <w:r>
              <w:t>115.00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207</w:t>
            </w:r>
          </w:p>
        </w:tc>
        <w:tc>
          <w:tcPr>
            <w:tcW w:w="4535" w:type="dxa"/>
            <w:vAlign w:val="center"/>
          </w:tcPr>
          <w:p>
            <w:pPr>
              <w:pStyle w:val="15"/>
            </w:pPr>
            <w:r>
              <w:t>文化旅游体育与传媒支出</w:t>
            </w:r>
          </w:p>
        </w:tc>
        <w:tc>
          <w:tcPr>
            <w:tcW w:w="1361" w:type="dxa"/>
            <w:vAlign w:val="center"/>
          </w:tcPr>
          <w:p>
            <w:pPr>
              <w:pStyle w:val="14"/>
            </w:pPr>
            <w:r>
              <w:t>225.30</w:t>
            </w:r>
          </w:p>
        </w:tc>
        <w:tc>
          <w:tcPr>
            <w:tcW w:w="1361" w:type="dxa"/>
            <w:vAlign w:val="center"/>
          </w:tcPr>
          <w:p>
            <w:pPr>
              <w:pStyle w:val="14"/>
            </w:pPr>
            <w:r>
              <w:t>110.30</w:t>
            </w:r>
          </w:p>
        </w:tc>
        <w:tc>
          <w:tcPr>
            <w:tcW w:w="1361" w:type="dxa"/>
            <w:vAlign w:val="center"/>
          </w:tcPr>
          <w:p>
            <w:pPr>
              <w:pStyle w:val="14"/>
            </w:pPr>
            <w:r>
              <w:t>115.00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20701</w:t>
            </w:r>
          </w:p>
        </w:tc>
        <w:tc>
          <w:tcPr>
            <w:tcW w:w="4535" w:type="dxa"/>
            <w:vAlign w:val="center"/>
          </w:tcPr>
          <w:p>
            <w:pPr>
              <w:pStyle w:val="15"/>
            </w:pPr>
            <w:r>
              <w:t>文化和旅游</w:t>
            </w:r>
          </w:p>
        </w:tc>
        <w:tc>
          <w:tcPr>
            <w:tcW w:w="1361" w:type="dxa"/>
            <w:vAlign w:val="center"/>
          </w:tcPr>
          <w:p>
            <w:pPr>
              <w:pStyle w:val="14"/>
            </w:pPr>
            <w:r>
              <w:t>225.30</w:t>
            </w:r>
          </w:p>
        </w:tc>
        <w:tc>
          <w:tcPr>
            <w:tcW w:w="1361" w:type="dxa"/>
            <w:vAlign w:val="center"/>
          </w:tcPr>
          <w:p>
            <w:pPr>
              <w:pStyle w:val="14"/>
            </w:pPr>
            <w:r>
              <w:t>110.30</w:t>
            </w:r>
          </w:p>
        </w:tc>
        <w:tc>
          <w:tcPr>
            <w:tcW w:w="1361" w:type="dxa"/>
            <w:vAlign w:val="center"/>
          </w:tcPr>
          <w:p>
            <w:pPr>
              <w:pStyle w:val="14"/>
            </w:pPr>
            <w:r>
              <w:t>115.00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2070101</w:t>
            </w:r>
          </w:p>
        </w:tc>
        <w:tc>
          <w:tcPr>
            <w:tcW w:w="4535" w:type="dxa"/>
            <w:vAlign w:val="center"/>
          </w:tcPr>
          <w:p>
            <w:pPr>
              <w:pStyle w:val="15"/>
            </w:pPr>
            <w:r>
              <w:t>行政运行</w:t>
            </w:r>
          </w:p>
        </w:tc>
        <w:tc>
          <w:tcPr>
            <w:tcW w:w="1361" w:type="dxa"/>
            <w:vAlign w:val="center"/>
          </w:tcPr>
          <w:p>
            <w:pPr>
              <w:pStyle w:val="14"/>
            </w:pPr>
            <w:r>
              <w:t>110.30</w:t>
            </w:r>
          </w:p>
        </w:tc>
        <w:tc>
          <w:tcPr>
            <w:tcW w:w="1361" w:type="dxa"/>
            <w:vAlign w:val="center"/>
          </w:tcPr>
          <w:p>
            <w:pPr>
              <w:pStyle w:val="14"/>
            </w:pPr>
            <w:r>
              <w:t>110.30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2070106</w:t>
            </w:r>
          </w:p>
        </w:tc>
        <w:tc>
          <w:tcPr>
            <w:tcW w:w="4535" w:type="dxa"/>
            <w:vAlign w:val="center"/>
          </w:tcPr>
          <w:p>
            <w:pPr>
              <w:pStyle w:val="15"/>
            </w:pPr>
            <w:r>
              <w:t>艺术表演场所</w:t>
            </w:r>
          </w:p>
        </w:tc>
        <w:tc>
          <w:tcPr>
            <w:tcW w:w="1361" w:type="dxa"/>
            <w:vAlign w:val="center"/>
          </w:tcPr>
          <w:p>
            <w:pPr>
              <w:pStyle w:val="14"/>
            </w:pPr>
            <w:r>
              <w:t>100.00</w:t>
            </w:r>
          </w:p>
        </w:tc>
        <w:tc>
          <w:tcPr>
            <w:tcW w:w="1361" w:type="dxa"/>
            <w:vAlign w:val="center"/>
          </w:tcPr>
          <w:p>
            <w:pPr>
              <w:pStyle w:val="14"/>
            </w:pPr>
          </w:p>
        </w:tc>
        <w:tc>
          <w:tcPr>
            <w:tcW w:w="1361" w:type="dxa"/>
            <w:vAlign w:val="center"/>
          </w:tcPr>
          <w:p>
            <w:pPr>
              <w:pStyle w:val="14"/>
            </w:pPr>
            <w:r>
              <w:t>100.00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2070108</w:t>
            </w:r>
          </w:p>
        </w:tc>
        <w:tc>
          <w:tcPr>
            <w:tcW w:w="4535" w:type="dxa"/>
            <w:vAlign w:val="center"/>
          </w:tcPr>
          <w:p>
            <w:pPr>
              <w:pStyle w:val="15"/>
            </w:pPr>
            <w:r>
              <w:t>文化活动</w:t>
            </w:r>
          </w:p>
        </w:tc>
        <w:tc>
          <w:tcPr>
            <w:tcW w:w="1361" w:type="dxa"/>
            <w:vAlign w:val="center"/>
          </w:tcPr>
          <w:p>
            <w:pPr>
              <w:pStyle w:val="14"/>
            </w:pPr>
            <w:r>
              <w:t>15.00</w:t>
            </w:r>
          </w:p>
        </w:tc>
        <w:tc>
          <w:tcPr>
            <w:tcW w:w="1361" w:type="dxa"/>
            <w:vAlign w:val="center"/>
          </w:tcPr>
          <w:p>
            <w:pPr>
              <w:pStyle w:val="14"/>
            </w:pPr>
          </w:p>
        </w:tc>
        <w:tc>
          <w:tcPr>
            <w:tcW w:w="1361" w:type="dxa"/>
            <w:vAlign w:val="center"/>
          </w:tcPr>
          <w:p>
            <w:pPr>
              <w:pStyle w:val="14"/>
            </w:pPr>
            <w:r>
              <w:t>15.00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21.86</w:t>
            </w:r>
          </w:p>
        </w:tc>
        <w:tc>
          <w:tcPr>
            <w:tcW w:w="1361" w:type="dxa"/>
            <w:vAlign w:val="center"/>
          </w:tcPr>
          <w:p>
            <w:pPr>
              <w:pStyle w:val="14"/>
            </w:pPr>
            <w:r>
              <w:t>21.86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21.86</w:t>
            </w:r>
          </w:p>
        </w:tc>
        <w:tc>
          <w:tcPr>
            <w:tcW w:w="1361" w:type="dxa"/>
            <w:vAlign w:val="center"/>
          </w:tcPr>
          <w:p>
            <w:pPr>
              <w:pStyle w:val="14"/>
            </w:pPr>
            <w:r>
              <w:t>21.86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2080501</w:t>
            </w:r>
          </w:p>
        </w:tc>
        <w:tc>
          <w:tcPr>
            <w:tcW w:w="4535" w:type="dxa"/>
            <w:vAlign w:val="center"/>
          </w:tcPr>
          <w:p>
            <w:pPr>
              <w:pStyle w:val="15"/>
            </w:pPr>
            <w:r>
              <w:t>行政单位离退休</w:t>
            </w:r>
          </w:p>
        </w:tc>
        <w:tc>
          <w:tcPr>
            <w:tcW w:w="1361" w:type="dxa"/>
            <w:vAlign w:val="center"/>
          </w:tcPr>
          <w:p>
            <w:pPr>
              <w:pStyle w:val="14"/>
            </w:pPr>
            <w:r>
              <w:t>11.09</w:t>
            </w:r>
          </w:p>
        </w:tc>
        <w:tc>
          <w:tcPr>
            <w:tcW w:w="1361" w:type="dxa"/>
            <w:vAlign w:val="center"/>
          </w:tcPr>
          <w:p>
            <w:pPr>
              <w:pStyle w:val="14"/>
            </w:pPr>
            <w:r>
              <w:t>11.09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10.77</w:t>
            </w:r>
          </w:p>
        </w:tc>
        <w:tc>
          <w:tcPr>
            <w:tcW w:w="1361" w:type="dxa"/>
            <w:vAlign w:val="center"/>
          </w:tcPr>
          <w:p>
            <w:pPr>
              <w:pStyle w:val="14"/>
            </w:pPr>
            <w:r>
              <w:t>10.77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7.85</w:t>
            </w:r>
          </w:p>
        </w:tc>
        <w:tc>
          <w:tcPr>
            <w:tcW w:w="1361" w:type="dxa"/>
            <w:vAlign w:val="center"/>
          </w:tcPr>
          <w:p>
            <w:pPr>
              <w:pStyle w:val="14"/>
            </w:pPr>
            <w:r>
              <w:t>7.85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7.85</w:t>
            </w:r>
          </w:p>
        </w:tc>
        <w:tc>
          <w:tcPr>
            <w:tcW w:w="1361" w:type="dxa"/>
            <w:vAlign w:val="center"/>
          </w:tcPr>
          <w:p>
            <w:pPr>
              <w:pStyle w:val="14"/>
            </w:pPr>
            <w:r>
              <w:t>7.85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7.85</w:t>
            </w:r>
          </w:p>
        </w:tc>
        <w:tc>
          <w:tcPr>
            <w:tcW w:w="1361" w:type="dxa"/>
            <w:vAlign w:val="center"/>
          </w:tcPr>
          <w:p>
            <w:pPr>
              <w:pStyle w:val="14"/>
            </w:pPr>
            <w:r>
              <w:t>7.85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10.91</w:t>
            </w:r>
          </w:p>
        </w:tc>
        <w:tc>
          <w:tcPr>
            <w:tcW w:w="1361" w:type="dxa"/>
            <w:vAlign w:val="center"/>
          </w:tcPr>
          <w:p>
            <w:pPr>
              <w:pStyle w:val="14"/>
            </w:pPr>
            <w:r>
              <w:t>10.91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10.91</w:t>
            </w:r>
          </w:p>
        </w:tc>
        <w:tc>
          <w:tcPr>
            <w:tcW w:w="1361" w:type="dxa"/>
            <w:vAlign w:val="center"/>
          </w:tcPr>
          <w:p>
            <w:pPr>
              <w:pStyle w:val="14"/>
            </w:pPr>
            <w:r>
              <w:t>10.91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10.91</w:t>
            </w:r>
          </w:p>
        </w:tc>
        <w:tc>
          <w:tcPr>
            <w:tcW w:w="1361" w:type="dxa"/>
            <w:vAlign w:val="center"/>
          </w:tcPr>
          <w:p>
            <w:pPr>
              <w:pStyle w:val="14"/>
            </w:pPr>
            <w:r>
              <w:t>10.91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721石家庄市鹿泉区文学艺术界联合会</w:t>
            </w:r>
          </w:p>
        </w:tc>
        <w:tc>
          <w:tcPr>
            <w:tcW w:w="3402" w:type="dxa"/>
            <w:tcBorders>
              <w:top w:val="single" w:color="FFFFFF" w:sz="6" w:space="0"/>
              <w:left w:val="single" w:color="FFFFFF" w:sz="6" w:space="0"/>
              <w:right w:val="single" w:color="FFFFFF" w:sz="6" w:space="0"/>
            </w:tcBorders>
            <w:vAlign w:val="center"/>
          </w:tcPr>
          <w:p>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265.93</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r>
              <w:t>225.30</w:t>
            </w:r>
          </w:p>
        </w:tc>
        <w:tc>
          <w:tcPr>
            <w:tcW w:w="1474" w:type="dxa"/>
            <w:vAlign w:val="center"/>
          </w:tcPr>
          <w:p>
            <w:pPr>
              <w:pStyle w:val="14"/>
            </w:pPr>
            <w:r>
              <w:t>225.30</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21.86</w:t>
            </w:r>
          </w:p>
        </w:tc>
        <w:tc>
          <w:tcPr>
            <w:tcW w:w="1474" w:type="dxa"/>
            <w:vAlign w:val="center"/>
          </w:tcPr>
          <w:p>
            <w:pPr>
              <w:pStyle w:val="14"/>
            </w:pPr>
            <w:r>
              <w:t>21.86</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7.85</w:t>
            </w:r>
          </w:p>
        </w:tc>
        <w:tc>
          <w:tcPr>
            <w:tcW w:w="1474" w:type="dxa"/>
            <w:vAlign w:val="center"/>
          </w:tcPr>
          <w:p>
            <w:pPr>
              <w:pStyle w:val="14"/>
            </w:pPr>
            <w:r>
              <w:t>7.85</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10.91</w:t>
            </w:r>
          </w:p>
        </w:tc>
        <w:tc>
          <w:tcPr>
            <w:tcW w:w="1474" w:type="dxa"/>
            <w:vAlign w:val="center"/>
          </w:tcPr>
          <w:p>
            <w:pPr>
              <w:pStyle w:val="14"/>
            </w:pPr>
            <w:r>
              <w:t>10.91</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265.93</w:t>
            </w:r>
          </w:p>
        </w:tc>
        <w:tc>
          <w:tcPr>
            <w:tcW w:w="3402" w:type="dxa"/>
            <w:vAlign w:val="center"/>
          </w:tcPr>
          <w:p>
            <w:pPr>
              <w:pStyle w:val="17"/>
            </w:pPr>
            <w:r>
              <w:t>本年支出合计</w:t>
            </w:r>
          </w:p>
        </w:tc>
        <w:tc>
          <w:tcPr>
            <w:tcW w:w="1474" w:type="dxa"/>
            <w:vAlign w:val="center"/>
          </w:tcPr>
          <w:p>
            <w:pPr>
              <w:pStyle w:val="18"/>
            </w:pPr>
            <w:r>
              <w:t>265.93</w:t>
            </w:r>
          </w:p>
        </w:tc>
        <w:tc>
          <w:tcPr>
            <w:tcW w:w="1474" w:type="dxa"/>
            <w:vAlign w:val="center"/>
          </w:tcPr>
          <w:p>
            <w:pPr>
              <w:pStyle w:val="18"/>
            </w:pPr>
            <w:r>
              <w:t>265.93</w:t>
            </w: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265.93</w:t>
            </w:r>
          </w:p>
        </w:tc>
        <w:tc>
          <w:tcPr>
            <w:tcW w:w="3402" w:type="dxa"/>
            <w:vAlign w:val="center"/>
          </w:tcPr>
          <w:p>
            <w:pPr>
              <w:pStyle w:val="17"/>
            </w:pPr>
            <w:r>
              <w:t>支出总计</w:t>
            </w:r>
          </w:p>
        </w:tc>
        <w:tc>
          <w:tcPr>
            <w:tcW w:w="1474" w:type="dxa"/>
            <w:vAlign w:val="center"/>
          </w:tcPr>
          <w:p>
            <w:pPr>
              <w:pStyle w:val="18"/>
            </w:pPr>
            <w:r>
              <w:t>265.93</w:t>
            </w:r>
          </w:p>
        </w:tc>
        <w:tc>
          <w:tcPr>
            <w:tcW w:w="1474" w:type="dxa"/>
            <w:vAlign w:val="center"/>
          </w:tcPr>
          <w:p>
            <w:pPr>
              <w:pStyle w:val="18"/>
            </w:pPr>
            <w:r>
              <w:t>265.93</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721石家庄市鹿泉区文学艺术界联合会</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265.93</w:t>
            </w:r>
          </w:p>
        </w:tc>
        <w:tc>
          <w:tcPr>
            <w:tcW w:w="2551" w:type="dxa"/>
            <w:vAlign w:val="center"/>
          </w:tcPr>
          <w:p>
            <w:pPr>
              <w:pStyle w:val="18"/>
            </w:pPr>
            <w:r>
              <w:t>150.93</w:t>
            </w:r>
          </w:p>
        </w:tc>
        <w:tc>
          <w:tcPr>
            <w:tcW w:w="2551" w:type="dxa"/>
            <w:vAlign w:val="center"/>
          </w:tcPr>
          <w:p>
            <w:pPr>
              <w:pStyle w:val="18"/>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207</w:t>
            </w:r>
          </w:p>
        </w:tc>
        <w:tc>
          <w:tcPr>
            <w:tcW w:w="4535" w:type="dxa"/>
            <w:vAlign w:val="center"/>
          </w:tcPr>
          <w:p>
            <w:pPr>
              <w:pStyle w:val="15"/>
            </w:pPr>
            <w:r>
              <w:t>文化旅游体育与传媒支出</w:t>
            </w:r>
          </w:p>
        </w:tc>
        <w:tc>
          <w:tcPr>
            <w:tcW w:w="2551" w:type="dxa"/>
            <w:vAlign w:val="center"/>
          </w:tcPr>
          <w:p>
            <w:pPr>
              <w:pStyle w:val="14"/>
            </w:pPr>
            <w:r>
              <w:t>225.30</w:t>
            </w:r>
          </w:p>
        </w:tc>
        <w:tc>
          <w:tcPr>
            <w:tcW w:w="2551" w:type="dxa"/>
            <w:vAlign w:val="center"/>
          </w:tcPr>
          <w:p>
            <w:pPr>
              <w:pStyle w:val="14"/>
            </w:pPr>
            <w:r>
              <w:t>110.30</w:t>
            </w:r>
          </w:p>
        </w:tc>
        <w:tc>
          <w:tcPr>
            <w:tcW w:w="2551" w:type="dxa"/>
            <w:vAlign w:val="center"/>
          </w:tcPr>
          <w:p>
            <w:pPr>
              <w:pStyle w:val="14"/>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20701</w:t>
            </w:r>
          </w:p>
        </w:tc>
        <w:tc>
          <w:tcPr>
            <w:tcW w:w="4535" w:type="dxa"/>
            <w:vAlign w:val="center"/>
          </w:tcPr>
          <w:p>
            <w:pPr>
              <w:pStyle w:val="15"/>
            </w:pPr>
            <w:r>
              <w:t>文化和旅游</w:t>
            </w:r>
          </w:p>
        </w:tc>
        <w:tc>
          <w:tcPr>
            <w:tcW w:w="2551" w:type="dxa"/>
            <w:vAlign w:val="center"/>
          </w:tcPr>
          <w:p>
            <w:pPr>
              <w:pStyle w:val="14"/>
            </w:pPr>
            <w:r>
              <w:t>225.30</w:t>
            </w:r>
          </w:p>
        </w:tc>
        <w:tc>
          <w:tcPr>
            <w:tcW w:w="2551" w:type="dxa"/>
            <w:vAlign w:val="center"/>
          </w:tcPr>
          <w:p>
            <w:pPr>
              <w:pStyle w:val="14"/>
            </w:pPr>
            <w:r>
              <w:t>110.30</w:t>
            </w:r>
          </w:p>
        </w:tc>
        <w:tc>
          <w:tcPr>
            <w:tcW w:w="2551" w:type="dxa"/>
            <w:vAlign w:val="center"/>
          </w:tcPr>
          <w:p>
            <w:pPr>
              <w:pStyle w:val="14"/>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2070101</w:t>
            </w:r>
          </w:p>
        </w:tc>
        <w:tc>
          <w:tcPr>
            <w:tcW w:w="4535" w:type="dxa"/>
            <w:vAlign w:val="center"/>
          </w:tcPr>
          <w:p>
            <w:pPr>
              <w:pStyle w:val="15"/>
            </w:pPr>
            <w:r>
              <w:t>行政运行</w:t>
            </w:r>
          </w:p>
        </w:tc>
        <w:tc>
          <w:tcPr>
            <w:tcW w:w="2551" w:type="dxa"/>
            <w:vAlign w:val="center"/>
          </w:tcPr>
          <w:p>
            <w:pPr>
              <w:pStyle w:val="14"/>
            </w:pPr>
            <w:r>
              <w:t>110.30</w:t>
            </w:r>
          </w:p>
        </w:tc>
        <w:tc>
          <w:tcPr>
            <w:tcW w:w="2551" w:type="dxa"/>
            <w:vAlign w:val="center"/>
          </w:tcPr>
          <w:p>
            <w:pPr>
              <w:pStyle w:val="14"/>
            </w:pPr>
            <w:r>
              <w:t>110.30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2070106</w:t>
            </w:r>
          </w:p>
        </w:tc>
        <w:tc>
          <w:tcPr>
            <w:tcW w:w="4535" w:type="dxa"/>
            <w:vAlign w:val="center"/>
          </w:tcPr>
          <w:p>
            <w:pPr>
              <w:pStyle w:val="15"/>
            </w:pPr>
            <w:r>
              <w:t>艺术表演场所</w:t>
            </w:r>
          </w:p>
        </w:tc>
        <w:tc>
          <w:tcPr>
            <w:tcW w:w="2551" w:type="dxa"/>
            <w:vAlign w:val="center"/>
          </w:tcPr>
          <w:p>
            <w:pPr>
              <w:pStyle w:val="14"/>
            </w:pPr>
            <w:r>
              <w:t>100.00</w:t>
            </w:r>
          </w:p>
        </w:tc>
        <w:tc>
          <w:tcPr>
            <w:tcW w:w="2551" w:type="dxa"/>
            <w:vAlign w:val="center"/>
          </w:tcPr>
          <w:p>
            <w:pPr>
              <w:pStyle w:val="14"/>
            </w:pPr>
          </w:p>
        </w:tc>
        <w:tc>
          <w:tcPr>
            <w:tcW w:w="2551" w:type="dxa"/>
            <w:vAlign w:val="center"/>
          </w:tcPr>
          <w:p>
            <w:pPr>
              <w:pStyle w:val="14"/>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2070108</w:t>
            </w:r>
          </w:p>
        </w:tc>
        <w:tc>
          <w:tcPr>
            <w:tcW w:w="4535" w:type="dxa"/>
            <w:vAlign w:val="center"/>
          </w:tcPr>
          <w:p>
            <w:pPr>
              <w:pStyle w:val="15"/>
            </w:pPr>
            <w:r>
              <w:t>文化活动</w:t>
            </w:r>
          </w:p>
        </w:tc>
        <w:tc>
          <w:tcPr>
            <w:tcW w:w="2551" w:type="dxa"/>
            <w:vAlign w:val="center"/>
          </w:tcPr>
          <w:p>
            <w:pPr>
              <w:pStyle w:val="14"/>
            </w:pPr>
            <w:r>
              <w:t>15.00</w:t>
            </w:r>
          </w:p>
        </w:tc>
        <w:tc>
          <w:tcPr>
            <w:tcW w:w="2551" w:type="dxa"/>
            <w:vAlign w:val="center"/>
          </w:tcPr>
          <w:p>
            <w:pPr>
              <w:pStyle w:val="14"/>
            </w:pPr>
          </w:p>
        </w:tc>
        <w:tc>
          <w:tcPr>
            <w:tcW w:w="2551" w:type="dxa"/>
            <w:vAlign w:val="center"/>
          </w:tcPr>
          <w:p>
            <w:pPr>
              <w:pStyle w:val="14"/>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21.86</w:t>
            </w:r>
          </w:p>
        </w:tc>
        <w:tc>
          <w:tcPr>
            <w:tcW w:w="2551" w:type="dxa"/>
            <w:vAlign w:val="center"/>
          </w:tcPr>
          <w:p>
            <w:pPr>
              <w:pStyle w:val="14"/>
            </w:pPr>
            <w:r>
              <w:t>21.86</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21.86</w:t>
            </w:r>
          </w:p>
        </w:tc>
        <w:tc>
          <w:tcPr>
            <w:tcW w:w="2551" w:type="dxa"/>
            <w:vAlign w:val="center"/>
          </w:tcPr>
          <w:p>
            <w:pPr>
              <w:pStyle w:val="14"/>
            </w:pPr>
            <w:r>
              <w:t>21.86</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2080501</w:t>
            </w:r>
          </w:p>
        </w:tc>
        <w:tc>
          <w:tcPr>
            <w:tcW w:w="4535" w:type="dxa"/>
            <w:vAlign w:val="center"/>
          </w:tcPr>
          <w:p>
            <w:pPr>
              <w:pStyle w:val="15"/>
            </w:pPr>
            <w:r>
              <w:t>行政单位离退休</w:t>
            </w:r>
          </w:p>
        </w:tc>
        <w:tc>
          <w:tcPr>
            <w:tcW w:w="2551" w:type="dxa"/>
            <w:vAlign w:val="center"/>
          </w:tcPr>
          <w:p>
            <w:pPr>
              <w:pStyle w:val="14"/>
            </w:pPr>
            <w:r>
              <w:t>11.09</w:t>
            </w:r>
          </w:p>
        </w:tc>
        <w:tc>
          <w:tcPr>
            <w:tcW w:w="2551" w:type="dxa"/>
            <w:vAlign w:val="center"/>
          </w:tcPr>
          <w:p>
            <w:pPr>
              <w:pStyle w:val="14"/>
            </w:pPr>
            <w:r>
              <w:t>11.09</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10.77</w:t>
            </w:r>
          </w:p>
        </w:tc>
        <w:tc>
          <w:tcPr>
            <w:tcW w:w="2551" w:type="dxa"/>
            <w:vAlign w:val="center"/>
          </w:tcPr>
          <w:p>
            <w:pPr>
              <w:pStyle w:val="14"/>
            </w:pPr>
            <w:r>
              <w:t>10.77</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7.85</w:t>
            </w:r>
          </w:p>
        </w:tc>
        <w:tc>
          <w:tcPr>
            <w:tcW w:w="2551" w:type="dxa"/>
            <w:vAlign w:val="center"/>
          </w:tcPr>
          <w:p>
            <w:pPr>
              <w:pStyle w:val="14"/>
            </w:pPr>
            <w:r>
              <w:t>7.85</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7.85</w:t>
            </w:r>
          </w:p>
        </w:tc>
        <w:tc>
          <w:tcPr>
            <w:tcW w:w="2551" w:type="dxa"/>
            <w:vAlign w:val="center"/>
          </w:tcPr>
          <w:p>
            <w:pPr>
              <w:pStyle w:val="14"/>
            </w:pPr>
            <w:r>
              <w:t>7.85</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7.85</w:t>
            </w:r>
          </w:p>
        </w:tc>
        <w:tc>
          <w:tcPr>
            <w:tcW w:w="2551" w:type="dxa"/>
            <w:vAlign w:val="center"/>
          </w:tcPr>
          <w:p>
            <w:pPr>
              <w:pStyle w:val="14"/>
            </w:pPr>
            <w:r>
              <w:t>7.85</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10.91</w:t>
            </w:r>
          </w:p>
        </w:tc>
        <w:tc>
          <w:tcPr>
            <w:tcW w:w="2551" w:type="dxa"/>
            <w:vAlign w:val="center"/>
          </w:tcPr>
          <w:p>
            <w:pPr>
              <w:pStyle w:val="14"/>
            </w:pPr>
            <w:r>
              <w:t>10.91</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10.91</w:t>
            </w:r>
          </w:p>
        </w:tc>
        <w:tc>
          <w:tcPr>
            <w:tcW w:w="2551" w:type="dxa"/>
            <w:vAlign w:val="center"/>
          </w:tcPr>
          <w:p>
            <w:pPr>
              <w:pStyle w:val="14"/>
            </w:pPr>
            <w:r>
              <w:t>10.91</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10.91</w:t>
            </w:r>
          </w:p>
        </w:tc>
        <w:tc>
          <w:tcPr>
            <w:tcW w:w="2551" w:type="dxa"/>
            <w:vAlign w:val="center"/>
          </w:tcPr>
          <w:p>
            <w:pPr>
              <w:pStyle w:val="14"/>
            </w:pPr>
            <w:r>
              <w:t>10.91</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721石家庄市鹿泉区文学艺术界联合会</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150.93</w:t>
            </w:r>
          </w:p>
        </w:tc>
        <w:tc>
          <w:tcPr>
            <w:tcW w:w="2551" w:type="dxa"/>
            <w:vAlign w:val="center"/>
          </w:tcPr>
          <w:p>
            <w:pPr>
              <w:pStyle w:val="18"/>
            </w:pPr>
            <w:r>
              <w:t>123.84</w:t>
            </w:r>
          </w:p>
        </w:tc>
        <w:tc>
          <w:tcPr>
            <w:tcW w:w="2551" w:type="dxa"/>
            <w:vAlign w:val="center"/>
          </w:tcPr>
          <w:p>
            <w:pPr>
              <w:pStyle w:val="18"/>
            </w:pPr>
            <w:r>
              <w:t>27.09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113.06</w:t>
            </w:r>
          </w:p>
        </w:tc>
        <w:tc>
          <w:tcPr>
            <w:tcW w:w="2551" w:type="dxa"/>
            <w:vAlign w:val="center"/>
          </w:tcPr>
          <w:p>
            <w:pPr>
              <w:pStyle w:val="14"/>
            </w:pPr>
            <w:r>
              <w:t>113.06</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28.04</w:t>
            </w:r>
          </w:p>
        </w:tc>
        <w:tc>
          <w:tcPr>
            <w:tcW w:w="2551" w:type="dxa"/>
            <w:vAlign w:val="center"/>
          </w:tcPr>
          <w:p>
            <w:pPr>
              <w:pStyle w:val="14"/>
            </w:pPr>
            <w:r>
              <w:t>28.04</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25.71</w:t>
            </w:r>
          </w:p>
        </w:tc>
        <w:tc>
          <w:tcPr>
            <w:tcW w:w="2551" w:type="dxa"/>
            <w:vAlign w:val="center"/>
          </w:tcPr>
          <w:p>
            <w:pPr>
              <w:pStyle w:val="14"/>
            </w:pPr>
            <w:r>
              <w:t>25.71</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29.53</w:t>
            </w:r>
          </w:p>
        </w:tc>
        <w:tc>
          <w:tcPr>
            <w:tcW w:w="2551" w:type="dxa"/>
            <w:vAlign w:val="center"/>
          </w:tcPr>
          <w:p>
            <w:pPr>
              <w:pStyle w:val="14"/>
            </w:pPr>
            <w:r>
              <w:t>29.53</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10.77</w:t>
            </w:r>
          </w:p>
        </w:tc>
        <w:tc>
          <w:tcPr>
            <w:tcW w:w="2551" w:type="dxa"/>
            <w:vAlign w:val="center"/>
          </w:tcPr>
          <w:p>
            <w:pPr>
              <w:pStyle w:val="14"/>
            </w:pPr>
            <w:r>
              <w:t>10.77</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4.43</w:t>
            </w:r>
          </w:p>
        </w:tc>
        <w:tc>
          <w:tcPr>
            <w:tcW w:w="2551" w:type="dxa"/>
            <w:vAlign w:val="center"/>
          </w:tcPr>
          <w:p>
            <w:pPr>
              <w:pStyle w:val="14"/>
            </w:pPr>
            <w:r>
              <w:t>4.43</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3.43</w:t>
            </w:r>
          </w:p>
        </w:tc>
        <w:tc>
          <w:tcPr>
            <w:tcW w:w="2551" w:type="dxa"/>
            <w:vAlign w:val="center"/>
          </w:tcPr>
          <w:p>
            <w:pPr>
              <w:pStyle w:val="14"/>
            </w:pPr>
            <w:r>
              <w:t>3.43</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0.25</w:t>
            </w:r>
          </w:p>
        </w:tc>
        <w:tc>
          <w:tcPr>
            <w:tcW w:w="2551" w:type="dxa"/>
            <w:vAlign w:val="center"/>
          </w:tcPr>
          <w:p>
            <w:pPr>
              <w:pStyle w:val="14"/>
            </w:pPr>
            <w:r>
              <w:t>0.25</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10.91</w:t>
            </w:r>
          </w:p>
        </w:tc>
        <w:tc>
          <w:tcPr>
            <w:tcW w:w="2551" w:type="dxa"/>
            <w:vAlign w:val="center"/>
          </w:tcPr>
          <w:p>
            <w:pPr>
              <w:pStyle w:val="14"/>
            </w:pPr>
            <w:r>
              <w:t>10.91</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27.09</w:t>
            </w:r>
          </w:p>
        </w:tc>
        <w:tc>
          <w:tcPr>
            <w:tcW w:w="2551" w:type="dxa"/>
            <w:vAlign w:val="center"/>
          </w:tcPr>
          <w:p>
            <w:pPr>
              <w:pStyle w:val="14"/>
            </w:pPr>
          </w:p>
        </w:tc>
        <w:tc>
          <w:tcPr>
            <w:tcW w:w="2551" w:type="dxa"/>
            <w:vAlign w:val="center"/>
          </w:tcPr>
          <w:p>
            <w:pPr>
              <w:pStyle w:val="14"/>
            </w:pPr>
            <w:r>
              <w:t>27.09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4.20</w:t>
            </w:r>
          </w:p>
        </w:tc>
        <w:tc>
          <w:tcPr>
            <w:tcW w:w="2551" w:type="dxa"/>
            <w:vAlign w:val="center"/>
          </w:tcPr>
          <w:p>
            <w:pPr>
              <w:pStyle w:val="14"/>
            </w:pPr>
          </w:p>
        </w:tc>
        <w:tc>
          <w:tcPr>
            <w:tcW w:w="2551" w:type="dxa"/>
            <w:vAlign w:val="center"/>
          </w:tcPr>
          <w:p>
            <w:pPr>
              <w:pStyle w:val="14"/>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3.72</w:t>
            </w:r>
          </w:p>
        </w:tc>
        <w:tc>
          <w:tcPr>
            <w:tcW w:w="2551" w:type="dxa"/>
            <w:vAlign w:val="center"/>
          </w:tcPr>
          <w:p>
            <w:pPr>
              <w:pStyle w:val="14"/>
            </w:pPr>
          </w:p>
        </w:tc>
        <w:tc>
          <w:tcPr>
            <w:tcW w:w="2551" w:type="dxa"/>
            <w:vAlign w:val="center"/>
          </w:tcPr>
          <w:p>
            <w:pPr>
              <w:pStyle w:val="14"/>
            </w:pPr>
            <w:r>
              <w:t>3.72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30208</w:t>
            </w:r>
          </w:p>
        </w:tc>
        <w:tc>
          <w:tcPr>
            <w:tcW w:w="4535" w:type="dxa"/>
            <w:vAlign w:val="center"/>
          </w:tcPr>
          <w:p>
            <w:pPr>
              <w:pStyle w:val="15"/>
            </w:pPr>
            <w:r>
              <w:t>取暖费</w:t>
            </w:r>
          </w:p>
        </w:tc>
        <w:tc>
          <w:tcPr>
            <w:tcW w:w="2551" w:type="dxa"/>
            <w:vAlign w:val="center"/>
          </w:tcPr>
          <w:p>
            <w:pPr>
              <w:pStyle w:val="14"/>
            </w:pPr>
            <w:r>
              <w:t>1.73</w:t>
            </w:r>
          </w:p>
        </w:tc>
        <w:tc>
          <w:tcPr>
            <w:tcW w:w="2551" w:type="dxa"/>
            <w:vAlign w:val="center"/>
          </w:tcPr>
          <w:p>
            <w:pPr>
              <w:pStyle w:val="14"/>
            </w:pPr>
          </w:p>
        </w:tc>
        <w:tc>
          <w:tcPr>
            <w:tcW w:w="2551" w:type="dxa"/>
            <w:vAlign w:val="center"/>
          </w:tcPr>
          <w:p>
            <w:pPr>
              <w:pStyle w:val="14"/>
            </w:pPr>
            <w:r>
              <w:t>1.73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30226</w:t>
            </w:r>
          </w:p>
        </w:tc>
        <w:tc>
          <w:tcPr>
            <w:tcW w:w="4535" w:type="dxa"/>
            <w:vAlign w:val="center"/>
          </w:tcPr>
          <w:p>
            <w:pPr>
              <w:pStyle w:val="15"/>
            </w:pPr>
            <w:r>
              <w:t>劳务费</w:t>
            </w:r>
          </w:p>
        </w:tc>
        <w:tc>
          <w:tcPr>
            <w:tcW w:w="2551" w:type="dxa"/>
            <w:vAlign w:val="center"/>
          </w:tcPr>
          <w:p>
            <w:pPr>
              <w:pStyle w:val="14"/>
            </w:pPr>
            <w:r>
              <w:t>8.85</w:t>
            </w:r>
          </w:p>
        </w:tc>
        <w:tc>
          <w:tcPr>
            <w:tcW w:w="2551" w:type="dxa"/>
            <w:vAlign w:val="center"/>
          </w:tcPr>
          <w:p>
            <w:pPr>
              <w:pStyle w:val="14"/>
            </w:pPr>
          </w:p>
        </w:tc>
        <w:tc>
          <w:tcPr>
            <w:tcW w:w="2551" w:type="dxa"/>
            <w:vAlign w:val="center"/>
          </w:tcPr>
          <w:p>
            <w:pPr>
              <w:pStyle w:val="14"/>
            </w:pPr>
            <w:r>
              <w:t>8.85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0.60</w:t>
            </w:r>
          </w:p>
        </w:tc>
        <w:tc>
          <w:tcPr>
            <w:tcW w:w="2551" w:type="dxa"/>
            <w:vAlign w:val="center"/>
          </w:tcPr>
          <w:p>
            <w:pPr>
              <w:pStyle w:val="14"/>
            </w:pPr>
          </w:p>
        </w:tc>
        <w:tc>
          <w:tcPr>
            <w:tcW w:w="2551" w:type="dxa"/>
            <w:vAlign w:val="center"/>
          </w:tcPr>
          <w:p>
            <w:pPr>
              <w:pStyle w:val="14"/>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30229</w:t>
            </w:r>
          </w:p>
        </w:tc>
        <w:tc>
          <w:tcPr>
            <w:tcW w:w="4535" w:type="dxa"/>
            <w:vAlign w:val="center"/>
          </w:tcPr>
          <w:p>
            <w:pPr>
              <w:pStyle w:val="15"/>
            </w:pPr>
            <w:r>
              <w:t>福利费</w:t>
            </w:r>
          </w:p>
        </w:tc>
        <w:tc>
          <w:tcPr>
            <w:tcW w:w="2551" w:type="dxa"/>
            <w:vAlign w:val="center"/>
          </w:tcPr>
          <w:p>
            <w:pPr>
              <w:pStyle w:val="14"/>
            </w:pPr>
            <w:r>
              <w:t>0.70</w:t>
            </w:r>
          </w:p>
        </w:tc>
        <w:tc>
          <w:tcPr>
            <w:tcW w:w="2551" w:type="dxa"/>
            <w:vAlign w:val="center"/>
          </w:tcPr>
          <w:p>
            <w:pPr>
              <w:pStyle w:val="14"/>
            </w:pPr>
          </w:p>
        </w:tc>
        <w:tc>
          <w:tcPr>
            <w:tcW w:w="2551" w:type="dxa"/>
            <w:vAlign w:val="center"/>
          </w:tcPr>
          <w:p>
            <w:pPr>
              <w:pStyle w:val="14"/>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2.70</w:t>
            </w:r>
          </w:p>
        </w:tc>
        <w:tc>
          <w:tcPr>
            <w:tcW w:w="2551" w:type="dxa"/>
            <w:vAlign w:val="center"/>
          </w:tcPr>
          <w:p>
            <w:pPr>
              <w:pStyle w:val="14"/>
            </w:pPr>
          </w:p>
        </w:tc>
        <w:tc>
          <w:tcPr>
            <w:tcW w:w="2551" w:type="dxa"/>
            <w:vAlign w:val="center"/>
          </w:tcPr>
          <w:p>
            <w:pPr>
              <w:pStyle w:val="14"/>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4.14</w:t>
            </w:r>
          </w:p>
        </w:tc>
        <w:tc>
          <w:tcPr>
            <w:tcW w:w="2551" w:type="dxa"/>
            <w:vAlign w:val="center"/>
          </w:tcPr>
          <w:p>
            <w:pPr>
              <w:pStyle w:val="14"/>
            </w:pPr>
          </w:p>
        </w:tc>
        <w:tc>
          <w:tcPr>
            <w:tcW w:w="2551" w:type="dxa"/>
            <w:vAlign w:val="center"/>
          </w:tcPr>
          <w:p>
            <w:pPr>
              <w:pStyle w:val="14"/>
            </w:pPr>
            <w:r>
              <w:t>4.14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0.45</w:t>
            </w:r>
          </w:p>
        </w:tc>
        <w:tc>
          <w:tcPr>
            <w:tcW w:w="2551" w:type="dxa"/>
            <w:vAlign w:val="center"/>
          </w:tcPr>
          <w:p>
            <w:pPr>
              <w:pStyle w:val="14"/>
            </w:pPr>
          </w:p>
        </w:tc>
        <w:tc>
          <w:tcPr>
            <w:tcW w:w="2551" w:type="dxa"/>
            <w:vAlign w:val="center"/>
          </w:tcPr>
          <w:p>
            <w:pPr>
              <w:pStyle w:val="14"/>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10.77</w:t>
            </w:r>
          </w:p>
        </w:tc>
        <w:tc>
          <w:tcPr>
            <w:tcW w:w="2551" w:type="dxa"/>
            <w:vAlign w:val="center"/>
          </w:tcPr>
          <w:p>
            <w:pPr>
              <w:pStyle w:val="14"/>
            </w:pPr>
            <w:r>
              <w:t>10.77</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10.77</w:t>
            </w:r>
          </w:p>
        </w:tc>
        <w:tc>
          <w:tcPr>
            <w:tcW w:w="2551" w:type="dxa"/>
            <w:vAlign w:val="center"/>
          </w:tcPr>
          <w:p>
            <w:pPr>
              <w:pStyle w:val="14"/>
            </w:pPr>
            <w:r>
              <w:t>10.77</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721石家庄市鹿泉区文学艺术界联合会</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721石家庄市鹿泉区文学艺术界联合会</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721石家庄市鹿泉区文学艺术界联合会</w:t>
            </w:r>
          </w:p>
        </w:tc>
        <w:tc>
          <w:tcPr>
            <w:tcW w:w="2381" w:type="dxa"/>
            <w:tcBorders>
              <w:top w:val="single" w:color="FFFFFF" w:sz="6" w:space="0"/>
              <w:left w:val="single" w:color="FFFFFF" w:sz="6" w:space="0"/>
              <w:right w:val="single" w:color="FFFFFF" w:sz="6" w:space="0"/>
            </w:tcBorders>
            <w:vAlign w:val="center"/>
          </w:tcPr>
          <w:p>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pPr>
            <w:r>
              <w:t>2.70</w:t>
            </w:r>
          </w:p>
        </w:tc>
        <w:tc>
          <w:tcPr>
            <w:tcW w:w="2381" w:type="dxa"/>
            <w:vAlign w:val="center"/>
          </w:tcPr>
          <w:p>
            <w:pPr>
              <w:pStyle w:val="18"/>
            </w:pPr>
            <w:r>
              <w:t>2.70</w:t>
            </w:r>
          </w:p>
        </w:tc>
        <w:tc>
          <w:tcPr>
            <w:tcW w:w="2381" w:type="dxa"/>
            <w:vAlign w:val="center"/>
          </w:tcPr>
          <w:p>
            <w:pPr>
              <w:pStyle w:val="18"/>
            </w:pPr>
          </w:p>
        </w:tc>
        <w:tc>
          <w:tcPr>
            <w:tcW w:w="238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“三公”经费小计</w:t>
            </w:r>
          </w:p>
        </w:tc>
        <w:tc>
          <w:tcPr>
            <w:tcW w:w="2381" w:type="dxa"/>
            <w:vAlign w:val="center"/>
          </w:tcPr>
          <w:p>
            <w:pPr>
              <w:pStyle w:val="14"/>
            </w:pPr>
            <w:r>
              <w:t>2.70</w:t>
            </w:r>
          </w:p>
        </w:tc>
        <w:tc>
          <w:tcPr>
            <w:tcW w:w="2381" w:type="dxa"/>
            <w:vAlign w:val="center"/>
          </w:tcPr>
          <w:p>
            <w:pPr>
              <w:pStyle w:val="14"/>
            </w:pPr>
            <w:r>
              <w:t>2.70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其他因公出国（境）费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二、公务用车购置及运维费</w:t>
            </w:r>
          </w:p>
        </w:tc>
        <w:tc>
          <w:tcPr>
            <w:tcW w:w="2381" w:type="dxa"/>
            <w:vAlign w:val="center"/>
          </w:tcPr>
          <w:p>
            <w:pPr>
              <w:pStyle w:val="14"/>
            </w:pPr>
            <w:r>
              <w:t>2.70</w:t>
            </w:r>
          </w:p>
        </w:tc>
        <w:tc>
          <w:tcPr>
            <w:tcW w:w="2381" w:type="dxa"/>
            <w:vAlign w:val="center"/>
          </w:tcPr>
          <w:p>
            <w:pPr>
              <w:pStyle w:val="14"/>
            </w:pPr>
            <w:r>
              <w:t>2.70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 xml:space="preserve">          公务用车运行维护费</w:t>
            </w:r>
          </w:p>
        </w:tc>
        <w:tc>
          <w:tcPr>
            <w:tcW w:w="2381" w:type="dxa"/>
            <w:vAlign w:val="center"/>
          </w:tcPr>
          <w:p>
            <w:pPr>
              <w:pStyle w:val="14"/>
            </w:pPr>
            <w:r>
              <w:t>2.70</w:t>
            </w:r>
          </w:p>
        </w:tc>
        <w:tc>
          <w:tcPr>
            <w:tcW w:w="2381" w:type="dxa"/>
            <w:vAlign w:val="center"/>
          </w:tcPr>
          <w:p>
            <w:pPr>
              <w:pStyle w:val="14"/>
            </w:pPr>
            <w:r>
              <w:t>2.70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9</w:t>
            </w:r>
          </w:p>
        </w:tc>
        <w:tc>
          <w:tcPr>
            <w:tcW w:w="3798" w:type="dxa"/>
            <w:vAlign w:val="center"/>
          </w:tcPr>
          <w:p>
            <w:pPr>
              <w:pStyle w:val="15"/>
            </w:pPr>
            <w:r>
              <w:t>三、公务接待费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石家庄市鹿泉区文学艺术界联合会2025年部门预算信息公开情况说明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石家庄市鹿泉区文学艺术界联合会2025年部门预算信息公开情况说明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按照《中华人民共和国预算法》、《地方预决算公开操作规程》和《关于进一步推进预算公开工作的实施意见》规定，现将石家庄市鹿泉区文学艺术界联合会2025年部门预算公开如下：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坚持和加强党的全面领导，贯彻落实党对文艺工作的方针政策和决策部署，对各团体会员、文艺工作者及新文艺组织、新文艺群体开展团结引导、联络协调、服务管理、自律维权工作。团结广大文艺工作者，反映和听取文艺界的情况和意见，引导广大文艺工作者听党话跟党走。</w:t>
      </w:r>
    </w:p>
    <w:p>
      <w:pPr>
        <w:pStyle w:val="20"/>
      </w:pPr>
      <w:r>
        <w:t>组织召开全区文联代表大会，全委会和主席团会议；组织召开全区文艺家协会代表大会、理事会、主席团会议以及全区文联系统工作会议。</w:t>
      </w:r>
    </w:p>
    <w:p>
      <w:pPr>
        <w:pStyle w:val="20"/>
      </w:pPr>
      <w:r>
        <w:t>组织开展采风创作、文艺志愿服务、主题文艺活动、展演展示展播等文艺实践活动。组织开展文艺人才教育培训、培养举荐、创作扶持等工作。</w:t>
      </w:r>
    </w:p>
    <w:p>
      <w:pPr>
        <w:pStyle w:val="20"/>
      </w:pPr>
      <w:r>
        <w:t>协同有关部门组织文艺活动的重大评奖活动。组织开展文艺评论、文艺理论研究、学术交流研讨等活动。</w:t>
      </w:r>
    </w:p>
    <w:p>
      <w:pPr>
        <w:pStyle w:val="20"/>
      </w:pPr>
      <w:r>
        <w:t>依法开展文艺领域行业教育、行业自律、行业服务和行业管理工作，开展行风建设和职业道德建设。</w:t>
      </w:r>
    </w:p>
    <w:p>
      <w:pPr>
        <w:pStyle w:val="20"/>
      </w:pPr>
      <w:r>
        <w:t>服务区委、区政府工作大局，传播中华优秀传统文化，组织开展文化交流合作。</w:t>
      </w:r>
    </w:p>
    <w:p>
      <w:pPr>
        <w:pStyle w:val="20"/>
      </w:pPr>
      <w:r>
        <w:t>组织开展文艺领域侵权纠纷调解、权益保护协调合作、诉求表达处理、法律志愿服务等维权服务工作，维护文艺工作者合法权益。</w:t>
      </w:r>
    </w:p>
    <w:p>
      <w:pPr>
        <w:pStyle w:val="20"/>
      </w:pPr>
      <w:r>
        <w:t>引导网络文艺创作生产，促进传统文艺和网络文艺融合发展。</w:t>
      </w:r>
    </w:p>
    <w:p>
      <w:pPr>
        <w:pStyle w:val="20"/>
      </w:pPr>
      <w:r>
        <w:t>联络、协调、服务和指导各文艺家协会，对区文联业务主管的社会组织进行日常联系和监督管理，依法依章程指导基层文联工作。编辑出版有关文艺刊物和文艺书籍。</w:t>
      </w:r>
    </w:p>
    <w:p>
      <w:pPr>
        <w:pStyle w:val="20"/>
      </w:pPr>
      <w:r>
        <w:t>完成区委、区政府交办的其他事项。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石家庄市鹿泉区文学艺术界联合会本级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pPr>
      <w:r>
        <w:t>按照预算管理有关规定，目前部门预算的编制实行综合预算管理，即全部收入和支出都反映在预算中。石家庄市鹿泉区文学艺术界联合会机关及所属事业单位的收支包含在部门预算中。</w:t>
      </w:r>
    </w:p>
    <w:p>
      <w:pPr>
        <w:pStyle w:val="21"/>
      </w:pPr>
      <w:r>
        <w:t>1、收入说明</w:t>
      </w:r>
    </w:p>
    <w:p>
      <w:pPr>
        <w:pStyle w:val="21"/>
      </w:pPr>
      <w:r>
        <w:t>反映本部门当年全部收入。2025年预算收入265.93万元，其中：一般公共预算收入265.93万元，基金预算收入0.00万元，国有资本经营预算收入0.00万元，财政专户核拨收入0.00万元，单位资金收入0.00万元，上年结转结余0.00万元。</w:t>
      </w:r>
    </w:p>
    <w:p>
      <w:pPr>
        <w:pStyle w:val="21"/>
      </w:pPr>
      <w:r>
        <w:t>2、支出说明</w:t>
      </w:r>
    </w:p>
    <w:p>
      <w:pPr>
        <w:pStyle w:val="21"/>
      </w:pPr>
      <w:r>
        <w:t>收支预算总表支出栏、基本支出表、项目支出表按经济分类和支出功能分类科目编制，反映石家庄市鹿泉区文学艺术界联合会年度部门预算中支出预算的总体情况。2025年支出预算265.93万元，其中基本支出150.93万元，包括人员经费123.84万元和日常公用经费27.09万元；项目支出115.00万元，主要为单位人员工资及社保支出，日常办公用品支出，文艺家之家建设项目专项支出，协会活动支出，《鹿泉文苑》等书籍印刷费用，文艺繁荣奖经费等</w:t>
      </w:r>
    </w:p>
    <w:p>
      <w:pPr>
        <w:pStyle w:val="21"/>
      </w:pPr>
      <w:r>
        <w:t>3、比上年增减情况</w:t>
      </w:r>
    </w:p>
    <w:p>
      <w:pPr>
        <w:pStyle w:val="21"/>
      </w:pPr>
      <w:r>
        <w:t>2025年预算收支安排265.93万元，较2024年预算减少32.75万元，其中：基本支出减少31.75万元，主要为单位人员调出，人员支出减少项目支出减少1.00万元，主要为网费电话经费不再列入专项项目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t>2025年，我部门机关运行经费共计安排27.09万元，主要用于日常维修、办公用房水电费、办公用房取暖费、办公用房物业管理费等日常运行支出。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rPr>
          <w:rFonts w:hint="eastAsia" w:eastAsia="方正仿宋_GBK"/>
          <w:lang w:eastAsia="zh-CN"/>
        </w:rPr>
      </w:pPr>
      <w:r>
        <w:t>2025年，我部门财政拨款“三公”经费预算安排2.70万元，其中因公出国（境）费0.00万元；公务用车购置及运维费2.70万元（其中：公务用车购置费为0.00万元，公务用车运维费2.70万元)；公务接待费0.00万元。与2024年相比增加2.70万元，增减变化的主要原因是</w:t>
      </w:r>
      <w:bookmarkStart w:id="20" w:name="_GoBack"/>
      <w:bookmarkEnd w:id="20"/>
      <w:r>
        <w:t>自2025年起，原先由</w:t>
      </w:r>
      <w:r>
        <w:rPr>
          <w:rFonts w:hint="eastAsia"/>
          <w:lang w:val="en-US" w:eastAsia="zh-CN"/>
        </w:rPr>
        <w:t>机关事务管理中心</w:t>
      </w:r>
      <w:r>
        <w:t>管理的一辆公用应急车辆转而由我单位负责管理</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坚持以习近平新时代中国特色社会主义思想为指导，深入学习贯彻党的二十大精神，在区委区政府的正确领导下，坚持文艺为人民群众共服务的目标任务，不断增强“四个意识”</w:t>
      </w:r>
      <w:r>
        <w:rPr>
          <w:rFonts w:hint="eastAsia"/>
          <w:lang w:eastAsia="zh-CN"/>
        </w:rPr>
        <w:t>、</w:t>
      </w:r>
      <w:r>
        <w:t>坚定“四个自信”</w:t>
      </w:r>
      <w:r>
        <w:rPr>
          <w:rFonts w:hint="eastAsia"/>
          <w:lang w:eastAsia="zh-CN"/>
        </w:rPr>
        <w:t>、</w:t>
      </w:r>
      <w:r>
        <w:t>做到“两个维护”</w:t>
      </w:r>
      <w:r>
        <w:rPr>
          <w:rFonts w:hint="eastAsia"/>
          <w:lang w:eastAsia="zh-CN"/>
        </w:rPr>
        <w:t>，</w:t>
      </w:r>
      <w:r>
        <w:t>不断强化文联组织的政治性、先进性、群众性，切实履行好“团结引导、联络协调、服务管理、自律维权”的基本职能，团结引领广大文艺工作者深入生活、扎根人民，自觉肩负起举旗帜、聚民心、育新人、兴文化、展形象的使命任务，用心用情用功抒写新时代新征程中鹿泉昂扬向上的奋斗历程，推动全区文艺事业高质量发展，加快建设经济强区、魅力鹿泉、生态宜居宜业宜游新城区。</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rPr>
          <w:rFonts w:hint="eastAsia"/>
          <w:lang w:val="en-US" w:eastAsia="zh-CN"/>
        </w:rPr>
      </w:pPr>
      <w:r>
        <w:rPr>
          <w:rFonts w:hint="eastAsia"/>
          <w:lang w:val="en-US" w:eastAsia="zh-CN"/>
        </w:rPr>
        <w:t>1.按期编纂刊印《鹿泉文苑》</w:t>
      </w:r>
    </w:p>
    <w:p>
      <w:pPr>
        <w:pStyle w:val="25"/>
      </w:pPr>
      <w:r>
        <w:t>绩效目标：由文联组织面向大众征集审核优秀文艺作品，编辑《鹿泉文苑》书刊及电子杂志，进行免费发放，供文艺爱好者阅读，提高我区居民的文化素养。每年组织刊印《鹿泉文苑》等书籍不低于4期，数量不低于1000本，向群众征集优秀作品不低于10次，得到广大群众的充分认可，满意度达到95%以上。</w:t>
      </w:r>
    </w:p>
    <w:p>
      <w:pPr>
        <w:pStyle w:val="25"/>
        <w:rPr>
          <w:rFonts w:hint="eastAsia" w:ascii="方正仿宋_GBK" w:hAnsi="方正仿宋_GBK" w:cs="方正仿宋_GBK"/>
          <w:color w:val="000000"/>
          <w:sz w:val="28"/>
          <w:lang w:val="en-US" w:eastAsia="zh-CN"/>
        </w:rPr>
      </w:pPr>
      <w:r>
        <w:rPr>
          <w:rFonts w:hint="eastAsia"/>
          <w:lang w:val="en-US" w:eastAsia="zh-CN"/>
        </w:rPr>
        <w:t>2.</w:t>
      </w:r>
      <w:r>
        <w:rPr>
          <w:rFonts w:ascii="方正仿宋_GBK" w:hAnsi="方正仿宋_GBK" w:eastAsia="方正仿宋_GBK" w:cs="方正仿宋_GBK"/>
          <w:color w:val="000000"/>
          <w:sz w:val="28"/>
        </w:rPr>
        <w:t>文艺繁荣奖</w:t>
      </w:r>
      <w:r>
        <w:rPr>
          <w:rFonts w:hint="eastAsia" w:ascii="方正仿宋_GBK" w:hAnsi="方正仿宋_GBK" w:cs="方正仿宋_GBK"/>
          <w:color w:val="000000"/>
          <w:sz w:val="28"/>
          <w:lang w:val="en-US" w:eastAsia="zh-CN"/>
        </w:rPr>
        <w:t>评审工作</w:t>
      </w:r>
    </w:p>
    <w:p>
      <w:pPr>
        <w:pStyle w:val="25"/>
        <w:rPr>
          <w:rFonts w:hint="eastAsia" w:ascii="方正仿宋_GBK" w:hAnsi="方正仿宋_GBK" w:cs="方正仿宋_GBK"/>
          <w:color w:val="000000"/>
          <w:sz w:val="28"/>
          <w:lang w:val="en-US" w:eastAsia="zh-CN"/>
        </w:rPr>
      </w:pPr>
      <w:r>
        <w:t>绩效目标：</w:t>
      </w:r>
      <w:r>
        <w:rPr>
          <w:rFonts w:hint="eastAsia" w:ascii="方正仿宋_GBK" w:hAnsi="方正仿宋_GBK" w:cs="方正仿宋_GBK"/>
          <w:color w:val="000000"/>
          <w:sz w:val="28"/>
          <w:lang w:val="en-US" w:eastAsia="zh-CN"/>
        </w:rPr>
        <w:t>建立科学严谨的评审机制，以奖项为导向，激励创作者挖掘有时代精神、地域特色的作品，保证顺利完成评奖工作，受邀观众参与度在90%以上，得到人民群众的充分认可，群众满意度在95%以上。</w:t>
      </w:r>
    </w:p>
    <w:p>
      <w:pPr>
        <w:pStyle w:val="25"/>
        <w:rPr>
          <w:rFonts w:hint="eastAsia" w:ascii="方正仿宋_GBK" w:hAnsi="方正仿宋_GBK" w:cs="方正仿宋_GBK"/>
          <w:color w:val="000000"/>
          <w:sz w:val="28"/>
          <w:lang w:val="en-US" w:eastAsia="zh-CN"/>
        </w:rPr>
      </w:pPr>
      <w:r>
        <w:rPr>
          <w:rFonts w:hint="eastAsia" w:ascii="方正仿宋_GBK" w:hAnsi="方正仿宋_GBK" w:cs="方正仿宋_GBK"/>
          <w:color w:val="000000"/>
          <w:sz w:val="28"/>
          <w:lang w:val="en-US" w:eastAsia="zh-CN"/>
        </w:rPr>
        <w:t>3.建设文艺家之家</w:t>
      </w:r>
    </w:p>
    <w:p>
      <w:pPr>
        <w:pStyle w:val="25"/>
      </w:pPr>
      <w:r>
        <w:t>绩效目标：完成文艺家之家建设，符合工程施工质量验收相关要求</w:t>
      </w:r>
      <w:r>
        <w:rPr>
          <w:rFonts w:hint="eastAsia"/>
          <w:lang w:eastAsia="zh-CN"/>
        </w:rPr>
        <w:t>，</w:t>
      </w:r>
      <w:r>
        <w:t>按时投入使用，满足群众文化需求。项目按计划开工，保障工程完工，工程质量合格，不超概算金额，满意度达到95%以上。</w:t>
      </w:r>
    </w:p>
    <w:p>
      <w:pPr>
        <w:pStyle w:val="25"/>
        <w:rPr>
          <w:rFonts w:hint="eastAsia" w:ascii="方正仿宋_GBK" w:hAnsi="方正仿宋_GBK" w:cs="方正仿宋_GBK"/>
          <w:color w:val="000000"/>
          <w:sz w:val="28"/>
          <w:lang w:val="en-US" w:eastAsia="zh-CN"/>
        </w:rPr>
      </w:pPr>
      <w:r>
        <w:rPr>
          <w:rFonts w:hint="eastAsia" w:ascii="方正仿宋_GBK" w:hAnsi="方正仿宋_GBK" w:cs="方正仿宋_GBK"/>
          <w:color w:val="000000"/>
          <w:sz w:val="28"/>
          <w:lang w:val="en-US" w:eastAsia="zh-CN"/>
        </w:rPr>
        <w:t>4.</w:t>
      </w:r>
      <w:r>
        <w:t>组织开展协会活动</w:t>
      </w:r>
    </w:p>
    <w:p>
      <w:pPr>
        <w:pStyle w:val="25"/>
      </w:pPr>
      <w:r>
        <w:t>绩效目标：积极组织开展协会活动，支持重点文艺创作活动，繁荣文化事业，促进文化事业发展。每年组织各种门类艺术活动不低于</w:t>
      </w:r>
      <w:r>
        <w:rPr>
          <w:rFonts w:hint="eastAsia"/>
          <w:lang w:val="en-US" w:eastAsia="zh-CN"/>
        </w:rPr>
        <w:t>10</w:t>
      </w:r>
      <w:r>
        <w:t>场，提高社会影响力，得到广大群众的充分认可</w:t>
      </w:r>
      <w:r>
        <w:rPr>
          <w:rFonts w:hint="eastAsia"/>
          <w:lang w:eastAsia="zh-CN"/>
        </w:rPr>
        <w:t>，</w:t>
      </w:r>
      <w:r>
        <w:t>群众满意度达到95%以上。</w:t>
      </w:r>
    </w:p>
    <w:p>
      <w:pPr>
        <w:pStyle w:val="25"/>
        <w:rPr>
          <w:rFonts w:hint="eastAsia" w:ascii="方正仿宋_GBK" w:hAnsi="方正仿宋_GBK" w:cs="方正仿宋_GBK"/>
          <w:color w:val="000000"/>
          <w:sz w:val="28"/>
          <w:lang w:val="en-US" w:eastAsia="zh-CN"/>
        </w:rPr>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完善制度建设</w:t>
      </w:r>
      <w:r>
        <w:rPr>
          <w:rFonts w:hint="eastAsia"/>
          <w:lang w:eastAsia="zh-CN"/>
        </w:rPr>
        <w:t>。</w:t>
      </w:r>
      <w:r>
        <w:t>落实绩效预算管理制度，将每项工作任务分解，明确责任到人</w:t>
      </w:r>
      <w:r>
        <w:rPr>
          <w:rFonts w:hint="eastAsia"/>
          <w:lang w:eastAsia="zh-CN"/>
        </w:rPr>
        <w:t>。</w:t>
      </w:r>
      <w:r>
        <w:t>全面落实主体责任，切实担负起职责使命，奋力推动上级关于文联工作的各项决策部署落地落实，为全年预算绩效目标的实现奠定基础。</w:t>
      </w:r>
    </w:p>
    <w:p>
      <w:pPr>
        <w:pStyle w:val="26"/>
      </w:pPr>
      <w:r>
        <w:t>加强支出管理。明确时间节点，重点工作月调度，重要工作周调度，全力抓重点攻难点、抓创新出亮点，集中优势资源、集中精干队伍，全力提速，及时支付资金，确保全年重点工作早开工、早见效，确保支出进度达标。</w:t>
      </w:r>
    </w:p>
    <w:p>
      <w:pPr>
        <w:pStyle w:val="26"/>
      </w:pPr>
      <w:r>
        <w:t>加强绩效运行监控。严格执行三重一大制度，所有大额资金支出、重大项目实施等，必须经领导班子会研究通过并执行。按要求开展绩效运行监控，发现问题及时采取措施，确保绩效目标如期保质实现。</w:t>
      </w:r>
    </w:p>
    <w:p>
      <w:pPr>
        <w:pStyle w:val="26"/>
      </w:pPr>
      <w:r>
        <w:t>做好绩效自评。按要求开展上年度部门预算绩效自评和重点评价工作，对评价中发现的问题及时整改，调整优化支出结构，提高财政资金使用效益。</w:t>
      </w:r>
    </w:p>
    <w:p>
      <w:pPr>
        <w:pStyle w:val="26"/>
      </w:pPr>
      <w:r>
        <w:t>规范财务资产管理。完善财务管理制度，严格审批程序，加强固定资产登记、使用和报废处置管理，做到支出合理，物尽其用。建立离任审计制度，确保财务管理规范合理。</w:t>
      </w:r>
    </w:p>
    <w:p>
      <w:pPr>
        <w:pStyle w:val="26"/>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6"/>
      </w:pPr>
      <w:r>
        <w:t>加强宣传培训调研等。加强人员培训，提高本部门职工业务素质；加强信息沟通，及时宣传发布工作动态、典型经验和先进事迹，增强工作互动，实现信息共享。加强协调联动，建立月报告、季调度、半年总结制度，及时掌握工作情况，交流工作经验，力争在各个方面争先进、创一流、做表率，聚力推动各项工作有序开展。</w:t>
      </w:r>
    </w:p>
    <w:p>
      <w:pPr>
        <w:pStyle w:val="26"/>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hint="eastAsia" w:ascii="黑体" w:hAnsi="黑体" w:eastAsia="黑体" w:cs="黑体"/>
          <w:color w:val="000000"/>
          <w:sz w:val="32"/>
          <w:lang w:val="en-US" w:eastAsia="zh-CN"/>
        </w:rPr>
      </w:pPr>
      <w:bookmarkStart w:id="14" w:name="_Toc_3_3_0000000015"/>
      <w:r>
        <w:rPr>
          <w:rFonts w:ascii="黑体" w:hAnsi="黑体" w:eastAsia="黑体" w:cs="黑体"/>
          <w:color w:val="000000"/>
          <w:sz w:val="32"/>
        </w:rPr>
        <w:t>部门主管专项资金预算安排情况及绩效目标</w:t>
      </w:r>
      <w:bookmarkEnd w:id="14"/>
    </w:p>
    <w:p>
      <w:pPr>
        <w:pStyle w:val="26"/>
        <w:rPr>
          <w:rFonts w:hint="eastAsia"/>
          <w:lang w:val="en-US" w:eastAsia="zh-CN"/>
        </w:rPr>
      </w:pPr>
      <w:r>
        <w:rPr>
          <w:rFonts w:hint="eastAsia"/>
          <w:lang w:val="en-US" w:eastAsia="zh-CN"/>
        </w:rPr>
        <w:t>本部门2025年度不涉及此项内容</w:t>
      </w:r>
      <w:bookmarkStart w:id="15" w:name="_Toc_3_3_0000000016"/>
    </w:p>
    <w:p>
      <w:pPr>
        <w:pStyle w:val="26"/>
        <w:rPr>
          <w:rFonts w:hint="eastAsia" w:ascii="黑体" w:hAnsi="黑体" w:eastAsia="黑体" w:cs="黑体"/>
          <w:color w:val="000000"/>
          <w:sz w:val="32"/>
          <w:lang w:val="en-US" w:eastAsia="zh-CN"/>
        </w:rPr>
      </w:pPr>
    </w:p>
    <w:p>
      <w:pPr>
        <w:pStyle w:val="26"/>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1、《鹿泉文苑》等书籍印刷费（2025）绩效目标表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13011025P003239101970</w:t>
            </w:r>
          </w:p>
        </w:tc>
        <w:tc>
          <w:tcPr>
            <w:tcW w:w="2835" w:type="dxa"/>
            <w:vAlign w:val="center"/>
          </w:tcPr>
          <w:p>
            <w:pPr>
              <w:pStyle w:val="13"/>
            </w:pPr>
            <w:r>
              <w:t>项目名称</w:t>
            </w:r>
          </w:p>
        </w:tc>
        <w:tc>
          <w:tcPr>
            <w:tcW w:w="6095" w:type="dxa"/>
            <w:gridSpan w:val="3"/>
            <w:vAlign w:val="center"/>
          </w:tcPr>
          <w:p>
            <w:pPr>
              <w:pStyle w:val="15"/>
            </w:pPr>
            <w:r>
              <w:t>《鹿泉文苑》等书籍印刷费（2025）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w:t>
            </w:r>
          </w:p>
        </w:tc>
        <w:tc>
          <w:tcPr>
            <w:tcW w:w="2835" w:type="dxa"/>
            <w:vAlign w:val="center"/>
          </w:tcPr>
          <w:p>
            <w:pPr>
              <w:pStyle w:val="13"/>
            </w:pPr>
            <w:r>
              <w:t>其中：财政    资金</w:t>
            </w:r>
          </w:p>
        </w:tc>
        <w:tc>
          <w:tcPr>
            <w:tcW w:w="2551" w:type="dxa"/>
            <w:vAlign w:val="center"/>
          </w:tcPr>
          <w:p>
            <w:pPr>
              <w:pStyle w:val="15"/>
            </w:pPr>
            <w:r>
              <w:t>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积极组织编纂出版印刷《鹿泉文苑》等书籍，支持重点文艺创作和活动，繁荣文化事业，促进文化事业发展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1.积极组织编纂出版印刷《鹿泉文苑》等书籍，支持重点文艺创作和活动，繁荣文化事业，促进文化事业发展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印制计划完成量</w:t>
            </w:r>
          </w:p>
        </w:tc>
        <w:tc>
          <w:tcPr>
            <w:tcW w:w="5386" w:type="dxa"/>
            <w:vAlign w:val="center"/>
          </w:tcPr>
          <w:p>
            <w:pPr>
              <w:pStyle w:val="15"/>
            </w:pPr>
            <w:r>
              <w:t>印制计划完成量1000本</w:t>
            </w:r>
          </w:p>
        </w:tc>
        <w:tc>
          <w:tcPr>
            <w:tcW w:w="2268" w:type="dxa"/>
            <w:vAlign w:val="center"/>
          </w:tcPr>
          <w:p>
            <w:pPr>
              <w:pStyle w:val="15"/>
            </w:pPr>
            <w:r>
              <w:t>≥1000本</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群众阅读书籍的参与率</w:t>
            </w:r>
          </w:p>
        </w:tc>
        <w:tc>
          <w:tcPr>
            <w:tcW w:w="5386" w:type="dxa"/>
            <w:vAlign w:val="center"/>
          </w:tcPr>
          <w:p>
            <w:pPr>
              <w:pStyle w:val="15"/>
            </w:pPr>
            <w:r>
              <w:t>群众阅读书籍的参与率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产出完成的及时性</w:t>
            </w:r>
          </w:p>
        </w:tc>
        <w:tc>
          <w:tcPr>
            <w:tcW w:w="5386" w:type="dxa"/>
            <w:vAlign w:val="center"/>
          </w:tcPr>
          <w:p>
            <w:pPr>
              <w:pStyle w:val="15"/>
            </w:pPr>
            <w:r>
              <w:t>产出完成的及时性</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成本控制</w:t>
            </w:r>
          </w:p>
        </w:tc>
        <w:tc>
          <w:tcPr>
            <w:tcW w:w="5386" w:type="dxa"/>
            <w:vAlign w:val="center"/>
          </w:tcPr>
          <w:p>
            <w:pPr>
              <w:pStyle w:val="15"/>
            </w:pPr>
            <w:r>
              <w:t>成本控制</w:t>
            </w:r>
          </w:p>
        </w:tc>
        <w:tc>
          <w:tcPr>
            <w:tcW w:w="2268" w:type="dxa"/>
            <w:vAlign w:val="center"/>
          </w:tcPr>
          <w:p>
            <w:pPr>
              <w:pStyle w:val="15"/>
            </w:pPr>
            <w:r>
              <w:t>≤20元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保障文联工作需要，维护正常运转</w:t>
            </w:r>
          </w:p>
          <w:p>
            <w:pPr>
              <w:pStyle w:val="15"/>
            </w:pPr>
          </w:p>
        </w:tc>
        <w:tc>
          <w:tcPr>
            <w:tcW w:w="5386" w:type="dxa"/>
            <w:vAlign w:val="center"/>
          </w:tcPr>
          <w:p>
            <w:pPr>
              <w:pStyle w:val="15"/>
            </w:pPr>
            <w:r>
              <w:t>保障文联工作需要，促进文艺工作发展</w:t>
            </w:r>
          </w:p>
        </w:tc>
        <w:tc>
          <w:tcPr>
            <w:tcW w:w="2268" w:type="dxa"/>
            <w:vAlign w:val="center"/>
          </w:tcPr>
          <w:p>
            <w:pPr>
              <w:pStyle w:val="15"/>
            </w:pPr>
            <w:r>
              <w:t>进一步加强文艺建设力度，促进文艺工作发展</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受益人口满意度</w:t>
            </w:r>
          </w:p>
        </w:tc>
        <w:tc>
          <w:tcPr>
            <w:tcW w:w="5386" w:type="dxa"/>
            <w:vAlign w:val="center"/>
          </w:tcPr>
          <w:p>
            <w:pPr>
              <w:pStyle w:val="15"/>
            </w:pPr>
            <w:r>
              <w:t>受益群体调查中，满意和较满意的人数占全部调查人数的比率</w:t>
            </w:r>
          </w:p>
          <w:p>
            <w:pPr>
              <w:pStyle w:val="15"/>
            </w:pPr>
          </w:p>
        </w:tc>
        <w:tc>
          <w:tcPr>
            <w:tcW w:w="2268" w:type="dxa"/>
            <w:vAlign w:val="center"/>
          </w:tcPr>
          <w:p>
            <w:pPr>
              <w:pStyle w:val="15"/>
            </w:pPr>
            <w:r>
              <w:t>≥95%</w:t>
            </w:r>
          </w:p>
        </w:tc>
        <w:tc>
          <w:tcPr>
            <w:tcW w:w="1276" w:type="dxa"/>
            <w:vAlign w:val="center"/>
          </w:tcPr>
          <w:p>
            <w:pPr>
              <w:pStyle w:val="15"/>
            </w:pPr>
            <w:r>
              <w:t>历史经验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2、文艺繁荣奖经费（2025）绩效目标表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13011025P003239102005</w:t>
            </w:r>
          </w:p>
        </w:tc>
        <w:tc>
          <w:tcPr>
            <w:tcW w:w="2835" w:type="dxa"/>
            <w:vAlign w:val="center"/>
          </w:tcPr>
          <w:p>
            <w:pPr>
              <w:pStyle w:val="13"/>
            </w:pPr>
            <w:r>
              <w:t>项目名称</w:t>
            </w:r>
          </w:p>
        </w:tc>
        <w:tc>
          <w:tcPr>
            <w:tcW w:w="6095" w:type="dxa"/>
            <w:gridSpan w:val="3"/>
            <w:vAlign w:val="center"/>
          </w:tcPr>
          <w:p>
            <w:pPr>
              <w:pStyle w:val="15"/>
            </w:pPr>
            <w:r>
              <w:t>文艺繁荣奖经费（2025）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w:t>
            </w:r>
          </w:p>
        </w:tc>
        <w:tc>
          <w:tcPr>
            <w:tcW w:w="2835" w:type="dxa"/>
            <w:vAlign w:val="center"/>
          </w:tcPr>
          <w:p>
            <w:pPr>
              <w:pStyle w:val="13"/>
            </w:pPr>
            <w:r>
              <w:t>其中：财政    资金</w:t>
            </w:r>
          </w:p>
        </w:tc>
        <w:tc>
          <w:tcPr>
            <w:tcW w:w="2551" w:type="dxa"/>
            <w:vAlign w:val="center"/>
          </w:tcPr>
          <w:p>
            <w:pPr>
              <w:pStyle w:val="15"/>
            </w:pPr>
            <w:r>
              <w:t>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积极组织开展文艺繁荣奖评选活动，支持重点文艺创作活动，繁荣文化事业，促进文化事业发展。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1.积极组织开展文艺繁荣奖评选活动，支持重点文艺创作活动，繁荣文化事业，促进文化事业发展。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评选活动完成量</w:t>
            </w:r>
          </w:p>
        </w:tc>
        <w:tc>
          <w:tcPr>
            <w:tcW w:w="5386" w:type="dxa"/>
            <w:vAlign w:val="center"/>
          </w:tcPr>
          <w:p>
            <w:pPr>
              <w:pStyle w:val="15"/>
            </w:pPr>
            <w:r>
              <w:t>评选活动完成量</w:t>
            </w:r>
          </w:p>
        </w:tc>
        <w:tc>
          <w:tcPr>
            <w:tcW w:w="2268" w:type="dxa"/>
            <w:vAlign w:val="center"/>
          </w:tcPr>
          <w:p>
            <w:pPr>
              <w:pStyle w:val="15"/>
            </w:pPr>
            <w:r>
              <w:t>1次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受邀观众的参与率</w:t>
            </w:r>
          </w:p>
        </w:tc>
        <w:tc>
          <w:tcPr>
            <w:tcW w:w="5386" w:type="dxa"/>
            <w:vAlign w:val="center"/>
          </w:tcPr>
          <w:p>
            <w:pPr>
              <w:pStyle w:val="15"/>
            </w:pPr>
            <w:r>
              <w:t>受邀观众的参与率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完成的及时率</w:t>
            </w:r>
          </w:p>
        </w:tc>
        <w:tc>
          <w:tcPr>
            <w:tcW w:w="5386" w:type="dxa"/>
            <w:vAlign w:val="center"/>
          </w:tcPr>
          <w:p>
            <w:pPr>
              <w:pStyle w:val="15"/>
            </w:pPr>
            <w:r>
              <w:t>完成的及时率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成本控制</w:t>
            </w:r>
          </w:p>
        </w:tc>
        <w:tc>
          <w:tcPr>
            <w:tcW w:w="5386" w:type="dxa"/>
            <w:vAlign w:val="center"/>
          </w:tcPr>
          <w:p>
            <w:pPr>
              <w:pStyle w:val="15"/>
            </w:pPr>
            <w:r>
              <w:t>组织成本控制</w:t>
            </w:r>
          </w:p>
        </w:tc>
        <w:tc>
          <w:tcPr>
            <w:tcW w:w="2268" w:type="dxa"/>
            <w:vAlign w:val="center"/>
          </w:tcPr>
          <w:p>
            <w:pPr>
              <w:pStyle w:val="15"/>
            </w:pPr>
            <w:r>
              <w:t>≤2万元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保障文联工作需要</w:t>
            </w:r>
          </w:p>
        </w:tc>
        <w:tc>
          <w:tcPr>
            <w:tcW w:w="5386" w:type="dxa"/>
            <w:vAlign w:val="center"/>
          </w:tcPr>
          <w:p>
            <w:pPr>
              <w:pStyle w:val="15"/>
            </w:pPr>
            <w:r>
              <w:t>保障文联工作需要，促进文艺工作发展</w:t>
            </w:r>
          </w:p>
        </w:tc>
        <w:tc>
          <w:tcPr>
            <w:tcW w:w="2268" w:type="dxa"/>
            <w:vAlign w:val="center"/>
          </w:tcPr>
          <w:p>
            <w:pPr>
              <w:pStyle w:val="15"/>
            </w:pPr>
            <w:r>
              <w:t>进一步加强文艺建设力度，促进文化发展</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受益人口满意度</w:t>
            </w:r>
          </w:p>
        </w:tc>
        <w:tc>
          <w:tcPr>
            <w:tcW w:w="5386" w:type="dxa"/>
            <w:vAlign w:val="center"/>
          </w:tcPr>
          <w:p>
            <w:pPr>
              <w:pStyle w:val="15"/>
            </w:pPr>
            <w:r>
              <w:t>受益群体调查中，满意和较满意人数</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3、文艺家之家加固经费（2025）绩效目标表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13011025P00323910195Q</w:t>
            </w:r>
          </w:p>
        </w:tc>
        <w:tc>
          <w:tcPr>
            <w:tcW w:w="2835" w:type="dxa"/>
            <w:vAlign w:val="center"/>
          </w:tcPr>
          <w:p>
            <w:pPr>
              <w:pStyle w:val="13"/>
            </w:pPr>
            <w:r>
              <w:t>项目名称</w:t>
            </w:r>
          </w:p>
        </w:tc>
        <w:tc>
          <w:tcPr>
            <w:tcW w:w="6095" w:type="dxa"/>
            <w:gridSpan w:val="3"/>
            <w:vAlign w:val="center"/>
          </w:tcPr>
          <w:p>
            <w:pPr>
              <w:pStyle w:val="15"/>
            </w:pPr>
            <w:r>
              <w:t>文艺家之家加固经费（2025）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完成本年文艺家之家加固项目建设计划，确保负一层及以上的拆除、植筋、加大截面、砌筑工程，负二层的地面拆除、挖土方、垫层、砼挡土墙工程完工，且符合工程施工质量验收相关要求。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1.完成本年文艺家之家加固项目建设计划，确保负一层及以上的拆除、植筋、加大截面、砌筑工程，负二层的地面拆除、挖土方、垫层、砼挡土墙工程完工，且符合工程施工质量验收相关要求。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工程完工率</w:t>
            </w:r>
          </w:p>
        </w:tc>
        <w:tc>
          <w:tcPr>
            <w:tcW w:w="5386" w:type="dxa"/>
            <w:vAlign w:val="center"/>
          </w:tcPr>
          <w:p>
            <w:pPr>
              <w:pStyle w:val="15"/>
            </w:pPr>
            <w:r>
              <w:t>工程施工进度工作量占本年计划工程完工总量的比率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工程质量合格率</w:t>
            </w:r>
          </w:p>
        </w:tc>
        <w:tc>
          <w:tcPr>
            <w:tcW w:w="5386" w:type="dxa"/>
            <w:vAlign w:val="center"/>
          </w:tcPr>
          <w:p>
            <w:pPr>
              <w:pStyle w:val="15"/>
            </w:pPr>
            <w:r>
              <w:t>合格的工程数量占工程完工总量的比例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项目按计划开工率</w:t>
            </w:r>
          </w:p>
        </w:tc>
        <w:tc>
          <w:tcPr>
            <w:tcW w:w="5386" w:type="dxa"/>
            <w:vAlign w:val="center"/>
          </w:tcPr>
          <w:p>
            <w:pPr>
              <w:pStyle w:val="15"/>
            </w:pPr>
            <w:r>
              <w:t>项目按计划开工情况</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加固项目成本费用</w:t>
            </w:r>
          </w:p>
        </w:tc>
        <w:tc>
          <w:tcPr>
            <w:tcW w:w="5386" w:type="dxa"/>
            <w:vAlign w:val="center"/>
          </w:tcPr>
          <w:p>
            <w:pPr>
              <w:pStyle w:val="15"/>
            </w:pPr>
            <w:r>
              <w:t>加固项目成本费用</w:t>
            </w:r>
          </w:p>
        </w:tc>
        <w:tc>
          <w:tcPr>
            <w:tcW w:w="2268" w:type="dxa"/>
            <w:vAlign w:val="center"/>
          </w:tcPr>
          <w:p>
            <w:pPr>
              <w:pStyle w:val="15"/>
            </w:pPr>
            <w:r>
              <w:t>≤20万元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保障文联工作需要</w:t>
            </w:r>
          </w:p>
        </w:tc>
        <w:tc>
          <w:tcPr>
            <w:tcW w:w="5386" w:type="dxa"/>
            <w:vAlign w:val="center"/>
          </w:tcPr>
          <w:p>
            <w:pPr>
              <w:pStyle w:val="15"/>
            </w:pPr>
            <w:r>
              <w:t>保障文联工作需要，促进文艺工作发展</w:t>
            </w:r>
          </w:p>
        </w:tc>
        <w:tc>
          <w:tcPr>
            <w:tcW w:w="2268" w:type="dxa"/>
            <w:vAlign w:val="center"/>
          </w:tcPr>
          <w:p>
            <w:pPr>
              <w:pStyle w:val="15"/>
            </w:pPr>
            <w:r>
              <w:t>进一步加强文艺建设力度，促进文化发展</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受益人口满意度</w:t>
            </w:r>
          </w:p>
        </w:tc>
        <w:tc>
          <w:tcPr>
            <w:tcW w:w="5386" w:type="dxa"/>
            <w:vAlign w:val="center"/>
          </w:tcPr>
          <w:p>
            <w:pPr>
              <w:pStyle w:val="15"/>
            </w:pPr>
            <w:r>
              <w:t>受益群体调查中，满意和较满意人数</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4、文艺家之家设备招标项目经费（2025）绩效目标表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13011025P00323910188P</w:t>
            </w:r>
          </w:p>
        </w:tc>
        <w:tc>
          <w:tcPr>
            <w:tcW w:w="2835" w:type="dxa"/>
            <w:vAlign w:val="center"/>
          </w:tcPr>
          <w:p>
            <w:pPr>
              <w:pStyle w:val="13"/>
            </w:pPr>
            <w:r>
              <w:t>项目名称</w:t>
            </w:r>
          </w:p>
        </w:tc>
        <w:tc>
          <w:tcPr>
            <w:tcW w:w="6095" w:type="dxa"/>
            <w:gridSpan w:val="3"/>
            <w:vAlign w:val="center"/>
          </w:tcPr>
          <w:p>
            <w:pPr>
              <w:pStyle w:val="15"/>
            </w:pPr>
            <w:r>
              <w:t>文艺家之家设备招标项目经费（2025）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购置安装电子设备、办公家具、空调设备、监控设施等设备，保障文艺家之家业务顺利开展，满足群众文化需求。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1.购置安装电子设备、办公家具、空调设备、监控设施等设备，保障文艺家之家业务顺利开展，满足群众文化需求。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无线覆盖率</w:t>
            </w:r>
          </w:p>
        </w:tc>
        <w:tc>
          <w:tcPr>
            <w:tcW w:w="5386" w:type="dxa"/>
            <w:vAlign w:val="center"/>
          </w:tcPr>
          <w:p>
            <w:pPr>
              <w:pStyle w:val="15"/>
            </w:pPr>
            <w:r>
              <w:t>无线覆盖率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购置安装办公家具</w:t>
            </w:r>
          </w:p>
        </w:tc>
        <w:tc>
          <w:tcPr>
            <w:tcW w:w="5386" w:type="dxa"/>
            <w:vAlign w:val="center"/>
          </w:tcPr>
          <w:p>
            <w:pPr>
              <w:pStyle w:val="15"/>
            </w:pPr>
            <w:r>
              <w:t>购置安装办公家具</w:t>
            </w:r>
          </w:p>
        </w:tc>
        <w:tc>
          <w:tcPr>
            <w:tcW w:w="2268" w:type="dxa"/>
            <w:vAlign w:val="center"/>
          </w:tcPr>
          <w:p>
            <w:pPr>
              <w:pStyle w:val="15"/>
            </w:pPr>
            <w:r>
              <w:t>10类</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购置安装空调设备</w:t>
            </w:r>
          </w:p>
        </w:tc>
        <w:tc>
          <w:tcPr>
            <w:tcW w:w="5386" w:type="dxa"/>
            <w:vAlign w:val="center"/>
          </w:tcPr>
          <w:p>
            <w:pPr>
              <w:pStyle w:val="15"/>
            </w:pPr>
            <w:r>
              <w:t>购置安装空调设备</w:t>
            </w:r>
          </w:p>
        </w:tc>
        <w:tc>
          <w:tcPr>
            <w:tcW w:w="2268" w:type="dxa"/>
            <w:vAlign w:val="center"/>
          </w:tcPr>
          <w:p>
            <w:pPr>
              <w:pStyle w:val="15"/>
            </w:pPr>
            <w:r>
              <w:t>8类</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验收合格率</w:t>
            </w:r>
          </w:p>
        </w:tc>
        <w:tc>
          <w:tcPr>
            <w:tcW w:w="5386" w:type="dxa"/>
            <w:vAlign w:val="center"/>
          </w:tcPr>
          <w:p>
            <w:pPr>
              <w:pStyle w:val="15"/>
            </w:pPr>
            <w:r>
              <w:t>验收合格率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招标采购时间</w:t>
            </w:r>
          </w:p>
        </w:tc>
        <w:tc>
          <w:tcPr>
            <w:tcW w:w="5386" w:type="dxa"/>
            <w:vAlign w:val="center"/>
          </w:tcPr>
          <w:p>
            <w:pPr>
              <w:pStyle w:val="15"/>
            </w:pPr>
            <w:r>
              <w:t>招标采购时间</w:t>
            </w:r>
          </w:p>
        </w:tc>
        <w:tc>
          <w:tcPr>
            <w:tcW w:w="2268" w:type="dxa"/>
            <w:vAlign w:val="center"/>
          </w:tcPr>
          <w:p>
            <w:pPr>
              <w:pStyle w:val="15"/>
            </w:pPr>
            <w:r>
              <w:t>9月前</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购置安装成本</w:t>
            </w:r>
          </w:p>
        </w:tc>
        <w:tc>
          <w:tcPr>
            <w:tcW w:w="5386" w:type="dxa"/>
            <w:vAlign w:val="center"/>
          </w:tcPr>
          <w:p>
            <w:pPr>
              <w:pStyle w:val="15"/>
            </w:pPr>
            <w:r>
              <w:t>购置安装部分成本费用</w:t>
            </w:r>
          </w:p>
        </w:tc>
        <w:tc>
          <w:tcPr>
            <w:tcW w:w="2268" w:type="dxa"/>
            <w:vAlign w:val="center"/>
          </w:tcPr>
          <w:p>
            <w:pPr>
              <w:pStyle w:val="15"/>
            </w:pPr>
            <w:r>
              <w:t>≤20万元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保障文联工作需要</w:t>
            </w:r>
          </w:p>
        </w:tc>
        <w:tc>
          <w:tcPr>
            <w:tcW w:w="5386" w:type="dxa"/>
            <w:vAlign w:val="center"/>
          </w:tcPr>
          <w:p>
            <w:pPr>
              <w:pStyle w:val="15"/>
            </w:pPr>
            <w:r>
              <w:t>保障文联工作需要，促进文艺工作发展</w:t>
            </w:r>
          </w:p>
        </w:tc>
        <w:tc>
          <w:tcPr>
            <w:tcW w:w="2268" w:type="dxa"/>
            <w:vAlign w:val="center"/>
          </w:tcPr>
          <w:p>
            <w:pPr>
              <w:pStyle w:val="15"/>
            </w:pPr>
            <w:r>
              <w:t>进一步加强文艺建设力度，促进文化发展</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受益人口满意度</w:t>
            </w:r>
          </w:p>
        </w:tc>
        <w:tc>
          <w:tcPr>
            <w:tcW w:w="5386" w:type="dxa"/>
            <w:vAlign w:val="center"/>
          </w:tcPr>
          <w:p>
            <w:pPr>
              <w:pStyle w:val="15"/>
            </w:pPr>
            <w:r>
              <w:t>受益群体调查中，满意和较满意人数</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5、文艺家之家维修改造项目经费（2025）绩效目标表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13011025P003239101945</w:t>
            </w:r>
          </w:p>
        </w:tc>
        <w:tc>
          <w:tcPr>
            <w:tcW w:w="2835" w:type="dxa"/>
            <w:vAlign w:val="center"/>
          </w:tcPr>
          <w:p>
            <w:pPr>
              <w:pStyle w:val="13"/>
            </w:pPr>
            <w:r>
              <w:t>项目名称</w:t>
            </w:r>
          </w:p>
        </w:tc>
        <w:tc>
          <w:tcPr>
            <w:tcW w:w="6095" w:type="dxa"/>
            <w:gridSpan w:val="3"/>
            <w:vAlign w:val="center"/>
          </w:tcPr>
          <w:p>
            <w:pPr>
              <w:pStyle w:val="15"/>
            </w:pPr>
            <w:r>
              <w:t>文艺家之家维修改造项目经费（2025）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60.00</w:t>
            </w:r>
          </w:p>
        </w:tc>
        <w:tc>
          <w:tcPr>
            <w:tcW w:w="2835" w:type="dxa"/>
            <w:vAlign w:val="center"/>
          </w:tcPr>
          <w:p>
            <w:pPr>
              <w:pStyle w:val="13"/>
            </w:pPr>
            <w:r>
              <w:t>其中：财政    资金</w:t>
            </w:r>
          </w:p>
        </w:tc>
        <w:tc>
          <w:tcPr>
            <w:tcW w:w="2551" w:type="dxa"/>
            <w:vAlign w:val="center"/>
          </w:tcPr>
          <w:p>
            <w:pPr>
              <w:pStyle w:val="15"/>
            </w:pPr>
            <w:r>
              <w:t>60.00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完成文艺家之家初步建设，确保本年维修修改造工作完成，符合工程施工质量验收相关要求。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1.完成文艺家之家初步建设，确保本年维修修改造工作完成，符合工程施工质量验收相关要求。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工程完工率</w:t>
            </w:r>
          </w:p>
        </w:tc>
        <w:tc>
          <w:tcPr>
            <w:tcW w:w="5386" w:type="dxa"/>
            <w:vAlign w:val="center"/>
          </w:tcPr>
          <w:p>
            <w:pPr>
              <w:pStyle w:val="15"/>
            </w:pPr>
            <w:r>
              <w:t>工程施工进度工作量占本年工程完工总量的比率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工程质量合格率</w:t>
            </w:r>
          </w:p>
        </w:tc>
        <w:tc>
          <w:tcPr>
            <w:tcW w:w="5386" w:type="dxa"/>
            <w:vAlign w:val="center"/>
          </w:tcPr>
          <w:p>
            <w:pPr>
              <w:pStyle w:val="15"/>
            </w:pPr>
            <w:r>
              <w:t>合格的工程数量占工程完工总量的比例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项目按计划开工率</w:t>
            </w:r>
          </w:p>
        </w:tc>
        <w:tc>
          <w:tcPr>
            <w:tcW w:w="5386" w:type="dxa"/>
            <w:vAlign w:val="center"/>
          </w:tcPr>
          <w:p>
            <w:pPr>
              <w:pStyle w:val="15"/>
            </w:pPr>
            <w:r>
              <w:t>项目按计划开工情况</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维修改造项目成本费用</w:t>
            </w:r>
          </w:p>
        </w:tc>
        <w:tc>
          <w:tcPr>
            <w:tcW w:w="5386" w:type="dxa"/>
            <w:vAlign w:val="center"/>
          </w:tcPr>
          <w:p>
            <w:pPr>
              <w:pStyle w:val="15"/>
            </w:pPr>
            <w:r>
              <w:t>维修改造项目成本费用</w:t>
            </w:r>
          </w:p>
        </w:tc>
        <w:tc>
          <w:tcPr>
            <w:tcW w:w="2268" w:type="dxa"/>
            <w:vAlign w:val="center"/>
          </w:tcPr>
          <w:p>
            <w:pPr>
              <w:pStyle w:val="15"/>
            </w:pPr>
            <w:r>
              <w:t>≤60万</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保障文联工作需要</w:t>
            </w:r>
          </w:p>
        </w:tc>
        <w:tc>
          <w:tcPr>
            <w:tcW w:w="5386" w:type="dxa"/>
            <w:vAlign w:val="center"/>
          </w:tcPr>
          <w:p>
            <w:pPr>
              <w:pStyle w:val="15"/>
            </w:pPr>
            <w:r>
              <w:t>保障文联工作需要，促进文艺工作发展</w:t>
            </w:r>
          </w:p>
        </w:tc>
        <w:tc>
          <w:tcPr>
            <w:tcW w:w="2268" w:type="dxa"/>
            <w:vAlign w:val="center"/>
          </w:tcPr>
          <w:p>
            <w:pPr>
              <w:pStyle w:val="15"/>
            </w:pPr>
            <w:r>
              <w:t>进一步加强文艺建设力度，促进文化发展</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受益人口满意度</w:t>
            </w:r>
          </w:p>
        </w:tc>
        <w:tc>
          <w:tcPr>
            <w:tcW w:w="5386" w:type="dxa"/>
            <w:vAlign w:val="center"/>
          </w:tcPr>
          <w:p>
            <w:pPr>
              <w:pStyle w:val="15"/>
            </w:pPr>
            <w:r>
              <w:t>受益群体调查中，满意和较满意人数</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6、文艺家之家运转费（2025）绩效目标表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13011025P00323910196C</w:t>
            </w:r>
          </w:p>
        </w:tc>
        <w:tc>
          <w:tcPr>
            <w:tcW w:w="2835" w:type="dxa"/>
            <w:vAlign w:val="center"/>
          </w:tcPr>
          <w:p>
            <w:pPr>
              <w:pStyle w:val="13"/>
            </w:pPr>
            <w:r>
              <w:t>项目名称</w:t>
            </w:r>
          </w:p>
        </w:tc>
        <w:tc>
          <w:tcPr>
            <w:tcW w:w="6095" w:type="dxa"/>
            <w:gridSpan w:val="3"/>
            <w:vAlign w:val="center"/>
          </w:tcPr>
          <w:p>
            <w:pPr>
              <w:pStyle w:val="15"/>
            </w:pPr>
            <w:r>
              <w:t>文艺家之家运转费（2025）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w:t>
            </w:r>
          </w:p>
        </w:tc>
        <w:tc>
          <w:tcPr>
            <w:tcW w:w="2835" w:type="dxa"/>
            <w:vAlign w:val="center"/>
          </w:tcPr>
          <w:p>
            <w:pPr>
              <w:pStyle w:val="13"/>
            </w:pPr>
            <w:r>
              <w:t>其中：财政    资金</w:t>
            </w:r>
          </w:p>
        </w:tc>
        <w:tc>
          <w:tcPr>
            <w:tcW w:w="2551" w:type="dxa"/>
            <w:vAlign w:val="center"/>
          </w:tcPr>
          <w:p>
            <w:pPr>
              <w:pStyle w:val="15"/>
            </w:pPr>
            <w:r>
              <w:t>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保障文艺家之家正常运转，繁荣文化事业，促进文化事业发展。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1.保障文艺家之家正常运转，繁荣文化事业，促进文化事业发展。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办公用房面积</w:t>
            </w:r>
          </w:p>
        </w:tc>
        <w:tc>
          <w:tcPr>
            <w:tcW w:w="5386" w:type="dxa"/>
            <w:vAlign w:val="center"/>
          </w:tcPr>
          <w:p>
            <w:pPr>
              <w:pStyle w:val="15"/>
            </w:pPr>
            <w:r>
              <w:t>服务办公用房面积</w:t>
            </w:r>
          </w:p>
        </w:tc>
        <w:tc>
          <w:tcPr>
            <w:tcW w:w="2268" w:type="dxa"/>
            <w:vAlign w:val="center"/>
          </w:tcPr>
          <w:p>
            <w:pPr>
              <w:pStyle w:val="15"/>
            </w:pPr>
            <w:r>
              <w:t>≤1250平方米</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服务质量</w:t>
            </w:r>
          </w:p>
        </w:tc>
        <w:tc>
          <w:tcPr>
            <w:tcW w:w="5386" w:type="dxa"/>
            <w:vAlign w:val="center"/>
          </w:tcPr>
          <w:p>
            <w:pPr>
              <w:pStyle w:val="15"/>
            </w:pPr>
            <w:r>
              <w:t>水、电、暖、网络、安保、保洁等服务质量</w:t>
            </w:r>
          </w:p>
        </w:tc>
        <w:tc>
          <w:tcPr>
            <w:tcW w:w="2268" w:type="dxa"/>
            <w:vAlign w:val="center"/>
          </w:tcPr>
          <w:p>
            <w:pPr>
              <w:pStyle w:val="15"/>
            </w:pPr>
            <w:r>
              <w:t>不低于合同约定标准100%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合同签订时间</w:t>
            </w:r>
          </w:p>
        </w:tc>
        <w:tc>
          <w:tcPr>
            <w:tcW w:w="5386" w:type="dxa"/>
            <w:vAlign w:val="center"/>
          </w:tcPr>
          <w:p>
            <w:pPr>
              <w:pStyle w:val="15"/>
            </w:pPr>
            <w:r>
              <w:t>服务合同签订日期</w:t>
            </w:r>
          </w:p>
        </w:tc>
        <w:tc>
          <w:tcPr>
            <w:tcW w:w="2268" w:type="dxa"/>
            <w:vAlign w:val="center"/>
          </w:tcPr>
          <w:p>
            <w:pPr>
              <w:pStyle w:val="15"/>
            </w:pPr>
            <w:r>
              <w:t>≤8月前</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年度单位面积物业费</w:t>
            </w:r>
          </w:p>
        </w:tc>
        <w:tc>
          <w:tcPr>
            <w:tcW w:w="5386" w:type="dxa"/>
            <w:vAlign w:val="center"/>
          </w:tcPr>
          <w:p>
            <w:pPr>
              <w:pStyle w:val="15"/>
            </w:pPr>
            <w:r>
              <w:t>每平方米办公用房年度物业费支出标准</w:t>
            </w:r>
          </w:p>
        </w:tc>
        <w:tc>
          <w:tcPr>
            <w:tcW w:w="2268" w:type="dxa"/>
            <w:vAlign w:val="center"/>
          </w:tcPr>
          <w:p>
            <w:pPr>
              <w:pStyle w:val="15"/>
            </w:pPr>
            <w:r>
              <w:t>≤160元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保障文联工作需要</w:t>
            </w:r>
          </w:p>
        </w:tc>
        <w:tc>
          <w:tcPr>
            <w:tcW w:w="5386" w:type="dxa"/>
            <w:vAlign w:val="center"/>
          </w:tcPr>
          <w:p>
            <w:pPr>
              <w:pStyle w:val="15"/>
            </w:pPr>
            <w:r>
              <w:t>保障文联工作需要，促进文艺工作发展</w:t>
            </w:r>
          </w:p>
        </w:tc>
        <w:tc>
          <w:tcPr>
            <w:tcW w:w="2268" w:type="dxa"/>
            <w:vAlign w:val="center"/>
          </w:tcPr>
          <w:p>
            <w:pPr>
              <w:pStyle w:val="15"/>
            </w:pPr>
            <w:r>
              <w:t>进一步加强文艺建设力度，促进文化发展</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受益人口满意度</w:t>
            </w:r>
          </w:p>
        </w:tc>
        <w:tc>
          <w:tcPr>
            <w:tcW w:w="5386" w:type="dxa"/>
            <w:vAlign w:val="center"/>
          </w:tcPr>
          <w:p>
            <w:pPr>
              <w:pStyle w:val="15"/>
            </w:pPr>
            <w:r>
              <w:t>受益群体调查中，满意和较满意人数</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7、协会活动经费（2025）绩效目标表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13011025P00323910198K</w:t>
            </w:r>
          </w:p>
        </w:tc>
        <w:tc>
          <w:tcPr>
            <w:tcW w:w="2835" w:type="dxa"/>
            <w:vAlign w:val="center"/>
          </w:tcPr>
          <w:p>
            <w:pPr>
              <w:pStyle w:val="13"/>
            </w:pPr>
            <w:r>
              <w:t>项目名称</w:t>
            </w:r>
          </w:p>
        </w:tc>
        <w:tc>
          <w:tcPr>
            <w:tcW w:w="6095" w:type="dxa"/>
            <w:gridSpan w:val="3"/>
            <w:vAlign w:val="center"/>
          </w:tcPr>
          <w:p>
            <w:pPr>
              <w:pStyle w:val="15"/>
            </w:pPr>
            <w:r>
              <w:t>协会活动经费（2025）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8.00</w:t>
            </w:r>
          </w:p>
        </w:tc>
        <w:tc>
          <w:tcPr>
            <w:tcW w:w="2835" w:type="dxa"/>
            <w:vAlign w:val="center"/>
          </w:tcPr>
          <w:p>
            <w:pPr>
              <w:pStyle w:val="13"/>
            </w:pPr>
            <w:r>
              <w:t>其中：财政    资金</w:t>
            </w:r>
          </w:p>
        </w:tc>
        <w:tc>
          <w:tcPr>
            <w:tcW w:w="2551" w:type="dxa"/>
            <w:vAlign w:val="center"/>
          </w:tcPr>
          <w:p>
            <w:pPr>
              <w:pStyle w:val="15"/>
            </w:pPr>
            <w:r>
              <w:t>8.00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积极组织协会开展文化活动，繁荣文化事业，进一步促进文化艺术的影响力和美誉度。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1.积极组织协会开展文化活动，繁荣文化事业，进一步促进文化艺术的影响力和美誉度。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文化活动演出次数</w:t>
            </w:r>
          </w:p>
        </w:tc>
        <w:tc>
          <w:tcPr>
            <w:tcW w:w="5386" w:type="dxa"/>
            <w:vAlign w:val="center"/>
          </w:tcPr>
          <w:p>
            <w:pPr>
              <w:pStyle w:val="15"/>
            </w:pPr>
            <w:r>
              <w:t>文化活动演出场次</w:t>
            </w:r>
          </w:p>
        </w:tc>
        <w:tc>
          <w:tcPr>
            <w:tcW w:w="2268" w:type="dxa"/>
            <w:vAlign w:val="center"/>
          </w:tcPr>
          <w:p>
            <w:pPr>
              <w:pStyle w:val="15"/>
            </w:pPr>
            <w:r>
              <w:t>≥10次数</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指导协会工作覆盖率(%)</w:t>
            </w:r>
          </w:p>
        </w:tc>
        <w:tc>
          <w:tcPr>
            <w:tcW w:w="5386" w:type="dxa"/>
            <w:vAlign w:val="center"/>
          </w:tcPr>
          <w:p>
            <w:pPr>
              <w:pStyle w:val="15"/>
            </w:pPr>
            <w:r>
              <w:t>指导协会工作覆盖率(%)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按期完成率</w:t>
            </w:r>
          </w:p>
        </w:tc>
        <w:tc>
          <w:tcPr>
            <w:tcW w:w="5386" w:type="dxa"/>
            <w:vAlign w:val="center"/>
          </w:tcPr>
          <w:p>
            <w:pPr>
              <w:pStyle w:val="15"/>
            </w:pPr>
            <w:r>
              <w:t>按期完成率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控制在预算成本内</w:t>
            </w:r>
          </w:p>
        </w:tc>
        <w:tc>
          <w:tcPr>
            <w:tcW w:w="5386" w:type="dxa"/>
            <w:vAlign w:val="center"/>
          </w:tcPr>
          <w:p>
            <w:pPr>
              <w:pStyle w:val="15"/>
            </w:pPr>
            <w:r>
              <w:t>控制在预算成本内</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传播推广中国文化</w:t>
            </w:r>
          </w:p>
        </w:tc>
        <w:tc>
          <w:tcPr>
            <w:tcW w:w="5386" w:type="dxa"/>
            <w:vAlign w:val="center"/>
          </w:tcPr>
          <w:p>
            <w:pPr>
              <w:pStyle w:val="15"/>
            </w:pPr>
            <w:r>
              <w:t>为群众提供丰富多彩的文化大餐，繁荣文化事业，进一步促进文化艺术的影响力和美誉度。</w:t>
            </w:r>
          </w:p>
        </w:tc>
        <w:tc>
          <w:tcPr>
            <w:tcW w:w="2268" w:type="dxa"/>
            <w:vAlign w:val="center"/>
          </w:tcPr>
          <w:p>
            <w:pPr>
              <w:pStyle w:val="15"/>
            </w:pPr>
            <w:r>
              <w:t>进一步促进文联下属协会发展</w:t>
            </w:r>
          </w:p>
          <w:p>
            <w:pPr>
              <w:pStyle w:val="15"/>
            </w:pP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观众满意度</w:t>
            </w:r>
          </w:p>
        </w:tc>
        <w:tc>
          <w:tcPr>
            <w:tcW w:w="5386" w:type="dxa"/>
            <w:vAlign w:val="center"/>
          </w:tcPr>
          <w:p>
            <w:pPr>
              <w:pStyle w:val="15"/>
            </w:pPr>
            <w:r>
              <w:t>观众满意度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721石家庄市鹿泉区文学艺术界联合会</w:t>
            </w:r>
          </w:p>
        </w:tc>
        <w:tc>
          <w:tcPr>
            <w:tcW w:w="7712"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6748" w:type="dxa"/>
            <w:gridSpan w:val="7"/>
            <w:vAlign w:val="center"/>
          </w:tcPr>
          <w:p>
            <w:pPr>
              <w:pStyle w:val="13"/>
            </w:pPr>
            <w:r>
              <w:t>政府采购金额（当年部门预算安排资金）</w:t>
            </w:r>
          </w:p>
        </w:tc>
        <w:tc>
          <w:tcPr>
            <w:tcW w:w="964" w:type="dxa"/>
            <w:vMerge w:val="restart"/>
            <w:vAlign w:val="center"/>
          </w:tcPr>
          <w:p>
            <w:pPr>
              <w:pStyle w:val="13"/>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石家庄市鹿泉区文学艺术界联合会（含所属单位）上年末固定资产金额为36.91万元（详见下表）。本年度拟购置固定资产总额为0.00万元，已按要求列入政府采购预算，详见政府采购预算表。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2"/>
            </w:pPr>
            <w:r>
              <w:t>721石家庄市鹿泉区文学艺术界联合会</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36.91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pPr>
            <w:r>
              <w:t>2、车辆（台、辆）</w:t>
            </w:r>
          </w:p>
        </w:tc>
        <w:tc>
          <w:tcPr>
            <w:tcW w:w="2835" w:type="dxa"/>
            <w:vAlign w:val="center"/>
          </w:tcPr>
          <w:p>
            <w:pPr>
              <w:pStyle w:val="16"/>
            </w:pPr>
            <w:r>
              <w:t>1</w:t>
            </w:r>
          </w:p>
        </w:tc>
        <w:tc>
          <w:tcPr>
            <w:tcW w:w="2835" w:type="dxa"/>
            <w:vAlign w:val="center"/>
          </w:tcPr>
          <w:p>
            <w:pPr>
              <w:pStyle w:val="14"/>
            </w:pPr>
            <w:r>
              <w:t>12.50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pPr>
            <w:r>
              <w:t>4、其他固定资产</w:t>
            </w:r>
          </w:p>
        </w:tc>
        <w:tc>
          <w:tcPr>
            <w:tcW w:w="2835" w:type="dxa"/>
            <w:vAlign w:val="center"/>
          </w:tcPr>
          <w:p>
            <w:pPr>
              <w:pStyle w:val="16"/>
            </w:pPr>
            <w:r>
              <w:t>126</w:t>
            </w:r>
          </w:p>
        </w:tc>
        <w:tc>
          <w:tcPr>
            <w:tcW w:w="2835" w:type="dxa"/>
            <w:vAlign w:val="center"/>
          </w:tcPr>
          <w:p>
            <w:pPr>
              <w:pStyle w:val="14"/>
            </w:pPr>
            <w:r>
              <w:t>24.41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B8554F1"/>
    <w:multiLevelType w:val="singleLevel"/>
    <w:tmpl w:val="6B8554F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4A24C3"/>
    <w:rsid w:val="0D1A3194"/>
    <w:rsid w:val="1A475CB0"/>
    <w:rsid w:val="6D0619B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2303</Words>
  <Characters>3239</Characters>
  <TotalTime>580</TotalTime>
  <ScaleCrop>false</ScaleCrop>
  <LinksUpToDate>false</LinksUpToDate>
  <CharactersWithSpaces>3287</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2025-02-12T16:51:00Z</dcterms:created>
  <dc:creator>Administrator</dc:creator>
  <cp:lastModifiedBy>Administrator</cp:lastModifiedBy>
  <dcterms:modified xsi:type="dcterms:W3CDTF">2025-09-11T02:04:07Z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eyJoZGlkIjoiMmRhMzVjMjUxNGEyZTI4ODhkZDRhYTkxNzgwNDkwZDAiLCJ1c2VySWQiOiI1Mzg3MTA4NTQifQ==</vt:lpwstr>
  </property>
  <property fmtid="{D5CDD505-2E9C-101B-9397-08002B2CF9AE}" pid="3" name="KSOProductBuildVer">
    <vt:lpwstr>2052-11.8.2.12309</vt:lpwstr>
  </property>
  <property fmtid="{D5CDD505-2E9C-101B-9397-08002B2CF9AE}" pid="4" name="ICV">
    <vt:lpwstr>714EB1F320844501AF17341268F99FBD_12</vt:lpwstr>
  </property>
</Properties>
</file>