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一、石家庄市鹿泉区文学艺术界联合会本级收支预算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一、石家庄市鹿泉区文学艺术界联合会本级收支预算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265.93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265.93</w:t>
            </w:r>
          </w:p>
        </w:tc>
        <w:tc>
          <w:tcPr>
            <w:tcW w:w="4535" w:type="dxa"/>
            <w:vAlign w:val="center"/>
          </w:tcPr>
          <w:p>
            <w:pPr>
              <w:pStyle w:val="14"/>
            </w:pPr>
            <w:r>
              <w:t>本年支出合计</w:t>
            </w:r>
          </w:p>
        </w:tc>
        <w:tc>
          <w:tcPr>
            <w:tcW w:w="2126" w:type="dxa"/>
            <w:vAlign w:val="center"/>
          </w:tcPr>
          <w:p>
            <w:pPr>
              <w:pStyle w:val="15"/>
            </w:pPr>
            <w:r>
              <w:t>265.93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265.93</w:t>
            </w:r>
          </w:p>
        </w:tc>
        <w:tc>
          <w:tcPr>
            <w:tcW w:w="4535" w:type="dxa"/>
            <w:vAlign w:val="center"/>
          </w:tcPr>
          <w:p>
            <w:pPr>
              <w:pStyle w:val="14"/>
            </w:pPr>
            <w:r>
              <w:t>支出总计</w:t>
            </w:r>
          </w:p>
        </w:tc>
        <w:tc>
          <w:tcPr>
            <w:tcW w:w="2126" w:type="dxa"/>
            <w:vAlign w:val="center"/>
          </w:tcPr>
          <w:p>
            <w:pPr>
              <w:pStyle w:val="15"/>
            </w:pPr>
            <w:r>
              <w:t>265.93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265.93</w:t>
            </w:r>
          </w:p>
        </w:tc>
        <w:tc>
          <w:tcPr>
            <w:tcW w:w="1134" w:type="dxa"/>
            <w:vAlign w:val="center"/>
          </w:tcPr>
          <w:p>
            <w:pPr>
              <w:pStyle w:val="15"/>
            </w:pPr>
            <w:r>
              <w:t>265.93</w:t>
            </w:r>
          </w:p>
        </w:tc>
        <w:tc>
          <w:tcPr>
            <w:tcW w:w="1134" w:type="dxa"/>
            <w:vAlign w:val="center"/>
          </w:tcPr>
          <w:p>
            <w:pPr>
              <w:pStyle w:val="15"/>
            </w:pPr>
            <w:r>
              <w:t>265.93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225.30</w:t>
            </w:r>
          </w:p>
        </w:tc>
        <w:tc>
          <w:tcPr>
            <w:tcW w:w="1134" w:type="dxa"/>
            <w:vAlign w:val="center"/>
          </w:tcPr>
          <w:p>
            <w:pPr>
              <w:pStyle w:val="11"/>
            </w:pPr>
            <w:r>
              <w:t>225.30</w:t>
            </w:r>
          </w:p>
        </w:tc>
        <w:tc>
          <w:tcPr>
            <w:tcW w:w="1134" w:type="dxa"/>
            <w:vAlign w:val="center"/>
          </w:tcPr>
          <w:p>
            <w:pPr>
              <w:pStyle w:val="11"/>
            </w:pPr>
            <w:r>
              <w:t>225.30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225.30</w:t>
            </w:r>
          </w:p>
        </w:tc>
        <w:tc>
          <w:tcPr>
            <w:tcW w:w="1134" w:type="dxa"/>
            <w:vAlign w:val="center"/>
          </w:tcPr>
          <w:p>
            <w:pPr>
              <w:pStyle w:val="11"/>
            </w:pPr>
            <w:r>
              <w:t>225.30</w:t>
            </w:r>
          </w:p>
        </w:tc>
        <w:tc>
          <w:tcPr>
            <w:tcW w:w="1134" w:type="dxa"/>
            <w:vAlign w:val="center"/>
          </w:tcPr>
          <w:p>
            <w:pPr>
              <w:pStyle w:val="11"/>
            </w:pPr>
            <w:r>
              <w:t>225.30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110.30</w:t>
            </w:r>
          </w:p>
        </w:tc>
        <w:tc>
          <w:tcPr>
            <w:tcW w:w="1134" w:type="dxa"/>
            <w:vAlign w:val="center"/>
          </w:tcPr>
          <w:p>
            <w:pPr>
              <w:pStyle w:val="11"/>
            </w:pPr>
            <w:r>
              <w:t>110.30</w:t>
            </w:r>
          </w:p>
        </w:tc>
        <w:tc>
          <w:tcPr>
            <w:tcW w:w="1134" w:type="dxa"/>
            <w:vAlign w:val="center"/>
          </w:tcPr>
          <w:p>
            <w:pPr>
              <w:pStyle w:val="11"/>
            </w:pPr>
            <w:r>
              <w:t>110.30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2070106</w:t>
            </w:r>
          </w:p>
        </w:tc>
        <w:tc>
          <w:tcPr>
            <w:tcW w:w="1559" w:type="dxa"/>
            <w:vAlign w:val="center"/>
          </w:tcPr>
          <w:p>
            <w:pPr>
              <w:pStyle w:val="12"/>
            </w:pPr>
            <w:r>
              <w:t>艺术表演场所</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2070108</w:t>
            </w:r>
          </w:p>
        </w:tc>
        <w:tc>
          <w:tcPr>
            <w:tcW w:w="1559" w:type="dxa"/>
            <w:vAlign w:val="center"/>
          </w:tcPr>
          <w:p>
            <w:pPr>
              <w:pStyle w:val="12"/>
            </w:pPr>
            <w:r>
              <w:t>文化活动</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21.86</w:t>
            </w:r>
          </w:p>
        </w:tc>
        <w:tc>
          <w:tcPr>
            <w:tcW w:w="1134" w:type="dxa"/>
            <w:vAlign w:val="center"/>
          </w:tcPr>
          <w:p>
            <w:pPr>
              <w:pStyle w:val="11"/>
            </w:pPr>
            <w:r>
              <w:t>21.86</w:t>
            </w:r>
          </w:p>
        </w:tc>
        <w:tc>
          <w:tcPr>
            <w:tcW w:w="1134" w:type="dxa"/>
            <w:vAlign w:val="center"/>
          </w:tcPr>
          <w:p>
            <w:pPr>
              <w:pStyle w:val="11"/>
            </w:pPr>
            <w:r>
              <w:t>21.86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21.86</w:t>
            </w:r>
          </w:p>
        </w:tc>
        <w:tc>
          <w:tcPr>
            <w:tcW w:w="1134" w:type="dxa"/>
            <w:vAlign w:val="center"/>
          </w:tcPr>
          <w:p>
            <w:pPr>
              <w:pStyle w:val="11"/>
            </w:pPr>
            <w:r>
              <w:t>21.86</w:t>
            </w:r>
          </w:p>
        </w:tc>
        <w:tc>
          <w:tcPr>
            <w:tcW w:w="1134" w:type="dxa"/>
            <w:vAlign w:val="center"/>
          </w:tcPr>
          <w:p>
            <w:pPr>
              <w:pStyle w:val="11"/>
            </w:pPr>
            <w:r>
              <w:t>21.86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11.09</w:t>
            </w:r>
          </w:p>
        </w:tc>
        <w:tc>
          <w:tcPr>
            <w:tcW w:w="1134" w:type="dxa"/>
            <w:vAlign w:val="center"/>
          </w:tcPr>
          <w:p>
            <w:pPr>
              <w:pStyle w:val="11"/>
            </w:pPr>
            <w:r>
              <w:t>11.09</w:t>
            </w:r>
          </w:p>
        </w:tc>
        <w:tc>
          <w:tcPr>
            <w:tcW w:w="1134" w:type="dxa"/>
            <w:vAlign w:val="center"/>
          </w:tcPr>
          <w:p>
            <w:pPr>
              <w:pStyle w:val="11"/>
            </w:pPr>
            <w:r>
              <w:t>11.09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10.77</w:t>
            </w:r>
          </w:p>
        </w:tc>
        <w:tc>
          <w:tcPr>
            <w:tcW w:w="1134" w:type="dxa"/>
            <w:vAlign w:val="center"/>
          </w:tcPr>
          <w:p>
            <w:pPr>
              <w:pStyle w:val="11"/>
            </w:pPr>
            <w:r>
              <w:t>10.77</w:t>
            </w:r>
          </w:p>
        </w:tc>
        <w:tc>
          <w:tcPr>
            <w:tcW w:w="1134" w:type="dxa"/>
            <w:vAlign w:val="center"/>
          </w:tcPr>
          <w:p>
            <w:pPr>
              <w:pStyle w:val="11"/>
            </w:pPr>
            <w:r>
              <w:t>10.77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r>
              <w:t>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265.93</w:t>
            </w:r>
          </w:p>
        </w:tc>
        <w:tc>
          <w:tcPr>
            <w:tcW w:w="1361" w:type="dxa"/>
            <w:vAlign w:val="center"/>
          </w:tcPr>
          <w:p>
            <w:pPr>
              <w:pStyle w:val="15"/>
            </w:pPr>
            <w:r>
              <w:t>150.93</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225.30</w:t>
            </w:r>
          </w:p>
        </w:tc>
        <w:tc>
          <w:tcPr>
            <w:tcW w:w="1361" w:type="dxa"/>
            <w:vAlign w:val="center"/>
          </w:tcPr>
          <w:p>
            <w:pPr>
              <w:pStyle w:val="11"/>
            </w:pPr>
            <w:r>
              <w:t>110.30</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225.30</w:t>
            </w:r>
          </w:p>
        </w:tc>
        <w:tc>
          <w:tcPr>
            <w:tcW w:w="1361" w:type="dxa"/>
            <w:vAlign w:val="center"/>
          </w:tcPr>
          <w:p>
            <w:pPr>
              <w:pStyle w:val="11"/>
            </w:pPr>
            <w:r>
              <w:t>110.30</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110.30</w:t>
            </w:r>
          </w:p>
        </w:tc>
        <w:tc>
          <w:tcPr>
            <w:tcW w:w="1361" w:type="dxa"/>
            <w:vAlign w:val="center"/>
          </w:tcPr>
          <w:p>
            <w:pPr>
              <w:pStyle w:val="11"/>
            </w:pPr>
            <w:r>
              <w:t>110.30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2070106</w:t>
            </w:r>
          </w:p>
        </w:tc>
        <w:tc>
          <w:tcPr>
            <w:tcW w:w="4535" w:type="dxa"/>
            <w:vAlign w:val="center"/>
          </w:tcPr>
          <w:p>
            <w:pPr>
              <w:pStyle w:val="12"/>
            </w:pPr>
            <w:r>
              <w:t>艺术表演场所</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2070108</w:t>
            </w:r>
          </w:p>
        </w:tc>
        <w:tc>
          <w:tcPr>
            <w:tcW w:w="4535" w:type="dxa"/>
            <w:vAlign w:val="center"/>
          </w:tcPr>
          <w:p>
            <w:pPr>
              <w:pStyle w:val="12"/>
            </w:pPr>
            <w:r>
              <w:t>文化活动</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21.86</w:t>
            </w:r>
          </w:p>
        </w:tc>
        <w:tc>
          <w:tcPr>
            <w:tcW w:w="1361" w:type="dxa"/>
            <w:vAlign w:val="center"/>
          </w:tcPr>
          <w:p>
            <w:pPr>
              <w:pStyle w:val="11"/>
            </w:pPr>
            <w:r>
              <w:t>21.86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21.86</w:t>
            </w:r>
          </w:p>
        </w:tc>
        <w:tc>
          <w:tcPr>
            <w:tcW w:w="1361" w:type="dxa"/>
            <w:vAlign w:val="center"/>
          </w:tcPr>
          <w:p>
            <w:pPr>
              <w:pStyle w:val="11"/>
            </w:pPr>
            <w:r>
              <w:t>21.86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11.09</w:t>
            </w:r>
          </w:p>
        </w:tc>
        <w:tc>
          <w:tcPr>
            <w:tcW w:w="1361" w:type="dxa"/>
            <w:vAlign w:val="center"/>
          </w:tcPr>
          <w:p>
            <w:pPr>
              <w:pStyle w:val="11"/>
            </w:pPr>
            <w:r>
              <w:t>11.09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10.77</w:t>
            </w:r>
          </w:p>
        </w:tc>
        <w:tc>
          <w:tcPr>
            <w:tcW w:w="1361" w:type="dxa"/>
            <w:vAlign w:val="center"/>
          </w:tcPr>
          <w:p>
            <w:pPr>
              <w:pStyle w:val="11"/>
            </w:pPr>
            <w:r>
              <w:t>10.77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7.85</w:t>
            </w:r>
          </w:p>
        </w:tc>
        <w:tc>
          <w:tcPr>
            <w:tcW w:w="1361" w:type="dxa"/>
            <w:vAlign w:val="center"/>
          </w:tcPr>
          <w:p>
            <w:pPr>
              <w:pStyle w:val="11"/>
            </w:pPr>
            <w:r>
              <w:t>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7.85</w:t>
            </w:r>
          </w:p>
        </w:tc>
        <w:tc>
          <w:tcPr>
            <w:tcW w:w="1361" w:type="dxa"/>
            <w:vAlign w:val="center"/>
          </w:tcPr>
          <w:p>
            <w:pPr>
              <w:pStyle w:val="11"/>
            </w:pPr>
            <w:r>
              <w:t>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7.85</w:t>
            </w:r>
          </w:p>
        </w:tc>
        <w:tc>
          <w:tcPr>
            <w:tcW w:w="1361" w:type="dxa"/>
            <w:vAlign w:val="center"/>
          </w:tcPr>
          <w:p>
            <w:pPr>
              <w:pStyle w:val="11"/>
            </w:pPr>
            <w:r>
              <w:t>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10.91</w:t>
            </w:r>
          </w:p>
        </w:tc>
        <w:tc>
          <w:tcPr>
            <w:tcW w:w="1361" w:type="dxa"/>
            <w:vAlign w:val="center"/>
          </w:tcPr>
          <w:p>
            <w:pPr>
              <w:pStyle w:val="11"/>
            </w:pPr>
            <w:r>
              <w:t>10.91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10.91</w:t>
            </w:r>
          </w:p>
        </w:tc>
        <w:tc>
          <w:tcPr>
            <w:tcW w:w="1361" w:type="dxa"/>
            <w:vAlign w:val="center"/>
          </w:tcPr>
          <w:p>
            <w:pPr>
              <w:pStyle w:val="11"/>
            </w:pPr>
            <w:r>
              <w:t>10.91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10.91</w:t>
            </w:r>
          </w:p>
        </w:tc>
        <w:tc>
          <w:tcPr>
            <w:tcW w:w="1361" w:type="dxa"/>
            <w:vAlign w:val="center"/>
          </w:tcPr>
          <w:p>
            <w:pPr>
              <w:pStyle w:val="11"/>
            </w:pPr>
            <w:r>
              <w:t>10.91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265.93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225.30</w:t>
            </w:r>
          </w:p>
        </w:tc>
        <w:tc>
          <w:tcPr>
            <w:tcW w:w="1474" w:type="dxa"/>
            <w:vAlign w:val="center"/>
          </w:tcPr>
          <w:p>
            <w:pPr>
              <w:pStyle w:val="11"/>
            </w:pPr>
            <w:r>
              <w:t>225.30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21.86</w:t>
            </w:r>
          </w:p>
        </w:tc>
        <w:tc>
          <w:tcPr>
            <w:tcW w:w="1474" w:type="dxa"/>
            <w:vAlign w:val="center"/>
          </w:tcPr>
          <w:p>
            <w:pPr>
              <w:pStyle w:val="11"/>
            </w:pPr>
            <w:r>
              <w:t>21.86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7.85</w:t>
            </w:r>
          </w:p>
        </w:tc>
        <w:tc>
          <w:tcPr>
            <w:tcW w:w="1474" w:type="dxa"/>
            <w:vAlign w:val="center"/>
          </w:tcPr>
          <w:p>
            <w:pPr>
              <w:pStyle w:val="11"/>
            </w:pPr>
            <w:r>
              <w:t>7.85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10.91</w:t>
            </w:r>
          </w:p>
        </w:tc>
        <w:tc>
          <w:tcPr>
            <w:tcW w:w="1474" w:type="dxa"/>
            <w:vAlign w:val="center"/>
          </w:tcPr>
          <w:p>
            <w:pPr>
              <w:pStyle w:val="11"/>
            </w:pPr>
            <w:r>
              <w:t>10.91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265.93</w:t>
            </w:r>
          </w:p>
        </w:tc>
        <w:tc>
          <w:tcPr>
            <w:tcW w:w="3402" w:type="dxa"/>
            <w:vAlign w:val="center"/>
          </w:tcPr>
          <w:p>
            <w:pPr>
              <w:pStyle w:val="14"/>
            </w:pPr>
            <w:r>
              <w:t>本年支出合计</w:t>
            </w:r>
          </w:p>
        </w:tc>
        <w:tc>
          <w:tcPr>
            <w:tcW w:w="1474" w:type="dxa"/>
            <w:vAlign w:val="center"/>
          </w:tcPr>
          <w:p>
            <w:pPr>
              <w:pStyle w:val="15"/>
            </w:pPr>
            <w:r>
              <w:t>265.93</w:t>
            </w:r>
          </w:p>
        </w:tc>
        <w:tc>
          <w:tcPr>
            <w:tcW w:w="1474" w:type="dxa"/>
            <w:vAlign w:val="center"/>
          </w:tcPr>
          <w:p>
            <w:pPr>
              <w:pStyle w:val="15"/>
            </w:pPr>
            <w:r>
              <w:t>265.93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265.93</w:t>
            </w:r>
          </w:p>
        </w:tc>
        <w:tc>
          <w:tcPr>
            <w:tcW w:w="3402" w:type="dxa"/>
            <w:vAlign w:val="center"/>
          </w:tcPr>
          <w:p>
            <w:pPr>
              <w:pStyle w:val="14"/>
            </w:pPr>
            <w:r>
              <w:t>支出总计</w:t>
            </w:r>
          </w:p>
        </w:tc>
        <w:tc>
          <w:tcPr>
            <w:tcW w:w="1474" w:type="dxa"/>
            <w:vAlign w:val="center"/>
          </w:tcPr>
          <w:p>
            <w:pPr>
              <w:pStyle w:val="15"/>
            </w:pPr>
            <w:r>
              <w:t>265.93</w:t>
            </w:r>
          </w:p>
        </w:tc>
        <w:tc>
          <w:tcPr>
            <w:tcW w:w="1474" w:type="dxa"/>
            <w:vAlign w:val="center"/>
          </w:tcPr>
          <w:p>
            <w:pPr>
              <w:pStyle w:val="15"/>
            </w:pPr>
            <w:r>
              <w:t>265.93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265.93</w:t>
            </w:r>
          </w:p>
        </w:tc>
        <w:tc>
          <w:tcPr>
            <w:tcW w:w="2551" w:type="dxa"/>
            <w:vAlign w:val="center"/>
          </w:tcPr>
          <w:p>
            <w:pPr>
              <w:pStyle w:val="15"/>
            </w:pPr>
            <w:r>
              <w:t>150.93</w:t>
            </w:r>
          </w:p>
        </w:tc>
        <w:tc>
          <w:tcPr>
            <w:tcW w:w="2551" w:type="dxa"/>
            <w:vAlign w:val="center"/>
          </w:tcPr>
          <w:p>
            <w:pPr>
              <w:pStyle w:val="15"/>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225.30</w:t>
            </w:r>
          </w:p>
        </w:tc>
        <w:tc>
          <w:tcPr>
            <w:tcW w:w="2551" w:type="dxa"/>
            <w:vAlign w:val="center"/>
          </w:tcPr>
          <w:p>
            <w:pPr>
              <w:pStyle w:val="11"/>
            </w:pPr>
            <w:r>
              <w:t>110.30</w:t>
            </w:r>
          </w:p>
        </w:tc>
        <w:tc>
          <w:tcPr>
            <w:tcW w:w="2551" w:type="dxa"/>
            <w:vAlign w:val="center"/>
          </w:tcPr>
          <w:p>
            <w:pPr>
              <w:pStyle w:val="11"/>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225.30</w:t>
            </w:r>
          </w:p>
        </w:tc>
        <w:tc>
          <w:tcPr>
            <w:tcW w:w="2551" w:type="dxa"/>
            <w:vAlign w:val="center"/>
          </w:tcPr>
          <w:p>
            <w:pPr>
              <w:pStyle w:val="11"/>
            </w:pPr>
            <w:r>
              <w:t>110.30</w:t>
            </w:r>
          </w:p>
        </w:tc>
        <w:tc>
          <w:tcPr>
            <w:tcW w:w="2551" w:type="dxa"/>
            <w:vAlign w:val="center"/>
          </w:tcPr>
          <w:p>
            <w:pPr>
              <w:pStyle w:val="11"/>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110.30</w:t>
            </w:r>
          </w:p>
        </w:tc>
        <w:tc>
          <w:tcPr>
            <w:tcW w:w="2551" w:type="dxa"/>
            <w:vAlign w:val="center"/>
          </w:tcPr>
          <w:p>
            <w:pPr>
              <w:pStyle w:val="11"/>
            </w:pPr>
            <w:r>
              <w:t>110.30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2070106</w:t>
            </w:r>
          </w:p>
        </w:tc>
        <w:tc>
          <w:tcPr>
            <w:tcW w:w="4535" w:type="dxa"/>
            <w:vAlign w:val="center"/>
          </w:tcPr>
          <w:p>
            <w:pPr>
              <w:pStyle w:val="12"/>
            </w:pPr>
            <w:r>
              <w:t>艺术表演场所</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2070108</w:t>
            </w:r>
          </w:p>
        </w:tc>
        <w:tc>
          <w:tcPr>
            <w:tcW w:w="4535" w:type="dxa"/>
            <w:vAlign w:val="center"/>
          </w:tcPr>
          <w:p>
            <w:pPr>
              <w:pStyle w:val="12"/>
            </w:pPr>
            <w:r>
              <w:t>文化活动</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21.86</w:t>
            </w:r>
          </w:p>
        </w:tc>
        <w:tc>
          <w:tcPr>
            <w:tcW w:w="2551" w:type="dxa"/>
            <w:vAlign w:val="center"/>
          </w:tcPr>
          <w:p>
            <w:pPr>
              <w:pStyle w:val="11"/>
            </w:pPr>
            <w:r>
              <w:t>21.86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21.86</w:t>
            </w:r>
          </w:p>
        </w:tc>
        <w:tc>
          <w:tcPr>
            <w:tcW w:w="2551" w:type="dxa"/>
            <w:vAlign w:val="center"/>
          </w:tcPr>
          <w:p>
            <w:pPr>
              <w:pStyle w:val="11"/>
            </w:pPr>
            <w:r>
              <w:t>21.86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11.09</w:t>
            </w:r>
          </w:p>
        </w:tc>
        <w:tc>
          <w:tcPr>
            <w:tcW w:w="2551" w:type="dxa"/>
            <w:vAlign w:val="center"/>
          </w:tcPr>
          <w:p>
            <w:pPr>
              <w:pStyle w:val="11"/>
            </w:pPr>
            <w:r>
              <w:t>11.09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10.77</w:t>
            </w:r>
          </w:p>
        </w:tc>
        <w:tc>
          <w:tcPr>
            <w:tcW w:w="2551" w:type="dxa"/>
            <w:vAlign w:val="center"/>
          </w:tcPr>
          <w:p>
            <w:pPr>
              <w:pStyle w:val="11"/>
            </w:pPr>
            <w:r>
              <w:t>10.77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7.85</w:t>
            </w:r>
          </w:p>
        </w:tc>
        <w:tc>
          <w:tcPr>
            <w:tcW w:w="2551" w:type="dxa"/>
            <w:vAlign w:val="center"/>
          </w:tcPr>
          <w:p>
            <w:pPr>
              <w:pStyle w:val="11"/>
            </w:pPr>
            <w:r>
              <w:t>7.85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7.85</w:t>
            </w:r>
          </w:p>
        </w:tc>
        <w:tc>
          <w:tcPr>
            <w:tcW w:w="2551" w:type="dxa"/>
            <w:vAlign w:val="center"/>
          </w:tcPr>
          <w:p>
            <w:pPr>
              <w:pStyle w:val="11"/>
            </w:pPr>
            <w:r>
              <w:t>7.85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7.85</w:t>
            </w:r>
          </w:p>
        </w:tc>
        <w:tc>
          <w:tcPr>
            <w:tcW w:w="2551" w:type="dxa"/>
            <w:vAlign w:val="center"/>
          </w:tcPr>
          <w:p>
            <w:pPr>
              <w:pStyle w:val="11"/>
            </w:pPr>
            <w:r>
              <w:t>7.85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10.91</w:t>
            </w:r>
          </w:p>
        </w:tc>
        <w:tc>
          <w:tcPr>
            <w:tcW w:w="2551" w:type="dxa"/>
            <w:vAlign w:val="center"/>
          </w:tcPr>
          <w:p>
            <w:pPr>
              <w:pStyle w:val="11"/>
            </w:pPr>
            <w:r>
              <w:t>10.91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10.91</w:t>
            </w:r>
          </w:p>
        </w:tc>
        <w:tc>
          <w:tcPr>
            <w:tcW w:w="2551" w:type="dxa"/>
            <w:vAlign w:val="center"/>
          </w:tcPr>
          <w:p>
            <w:pPr>
              <w:pStyle w:val="11"/>
            </w:pPr>
            <w:r>
              <w:t>10.91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10.91</w:t>
            </w:r>
          </w:p>
        </w:tc>
        <w:tc>
          <w:tcPr>
            <w:tcW w:w="2551" w:type="dxa"/>
            <w:vAlign w:val="center"/>
          </w:tcPr>
          <w:p>
            <w:pPr>
              <w:pStyle w:val="11"/>
            </w:pPr>
            <w:r>
              <w:t>10.91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150.93</w:t>
            </w:r>
          </w:p>
        </w:tc>
        <w:tc>
          <w:tcPr>
            <w:tcW w:w="2551" w:type="dxa"/>
            <w:vAlign w:val="center"/>
          </w:tcPr>
          <w:p>
            <w:pPr>
              <w:pStyle w:val="15"/>
            </w:pPr>
            <w:r>
              <w:t>123.84</w:t>
            </w:r>
          </w:p>
        </w:tc>
        <w:tc>
          <w:tcPr>
            <w:tcW w:w="2551" w:type="dxa"/>
            <w:vAlign w:val="center"/>
          </w:tcPr>
          <w:p>
            <w:pPr>
              <w:pStyle w:val="15"/>
            </w:pPr>
            <w:r>
              <w:t>27.09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113.06</w:t>
            </w:r>
          </w:p>
        </w:tc>
        <w:tc>
          <w:tcPr>
            <w:tcW w:w="2551" w:type="dxa"/>
            <w:vAlign w:val="center"/>
          </w:tcPr>
          <w:p>
            <w:pPr>
              <w:pStyle w:val="11"/>
            </w:pPr>
            <w:r>
              <w:t>113.06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28.04</w:t>
            </w:r>
          </w:p>
        </w:tc>
        <w:tc>
          <w:tcPr>
            <w:tcW w:w="2551" w:type="dxa"/>
            <w:vAlign w:val="center"/>
          </w:tcPr>
          <w:p>
            <w:pPr>
              <w:pStyle w:val="11"/>
            </w:pPr>
            <w:r>
              <w:t>28.04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25.71</w:t>
            </w:r>
          </w:p>
        </w:tc>
        <w:tc>
          <w:tcPr>
            <w:tcW w:w="2551" w:type="dxa"/>
            <w:vAlign w:val="center"/>
          </w:tcPr>
          <w:p>
            <w:pPr>
              <w:pStyle w:val="11"/>
            </w:pPr>
            <w:r>
              <w:t>25.71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29.53</w:t>
            </w:r>
          </w:p>
        </w:tc>
        <w:tc>
          <w:tcPr>
            <w:tcW w:w="2551" w:type="dxa"/>
            <w:vAlign w:val="center"/>
          </w:tcPr>
          <w:p>
            <w:pPr>
              <w:pStyle w:val="11"/>
            </w:pPr>
            <w:r>
              <w:t>29.53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10.77</w:t>
            </w:r>
          </w:p>
        </w:tc>
        <w:tc>
          <w:tcPr>
            <w:tcW w:w="2551" w:type="dxa"/>
            <w:vAlign w:val="center"/>
          </w:tcPr>
          <w:p>
            <w:pPr>
              <w:pStyle w:val="11"/>
            </w:pPr>
            <w:r>
              <w:t>10.77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4.43</w:t>
            </w:r>
          </w:p>
        </w:tc>
        <w:tc>
          <w:tcPr>
            <w:tcW w:w="2551" w:type="dxa"/>
            <w:vAlign w:val="center"/>
          </w:tcPr>
          <w:p>
            <w:pPr>
              <w:pStyle w:val="11"/>
            </w:pPr>
            <w:r>
              <w:t>4.43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3.43</w:t>
            </w:r>
          </w:p>
        </w:tc>
        <w:tc>
          <w:tcPr>
            <w:tcW w:w="2551" w:type="dxa"/>
            <w:vAlign w:val="center"/>
          </w:tcPr>
          <w:p>
            <w:pPr>
              <w:pStyle w:val="11"/>
            </w:pPr>
            <w:r>
              <w:t>3.43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0.25</w:t>
            </w:r>
          </w:p>
        </w:tc>
        <w:tc>
          <w:tcPr>
            <w:tcW w:w="2551" w:type="dxa"/>
            <w:vAlign w:val="center"/>
          </w:tcPr>
          <w:p>
            <w:pPr>
              <w:pStyle w:val="11"/>
            </w:pPr>
            <w:r>
              <w:t>0.25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10.91</w:t>
            </w:r>
          </w:p>
        </w:tc>
        <w:tc>
          <w:tcPr>
            <w:tcW w:w="2551" w:type="dxa"/>
            <w:vAlign w:val="center"/>
          </w:tcPr>
          <w:p>
            <w:pPr>
              <w:pStyle w:val="11"/>
            </w:pPr>
            <w:r>
              <w:t>10.91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27.09</w:t>
            </w:r>
          </w:p>
        </w:tc>
        <w:tc>
          <w:tcPr>
            <w:tcW w:w="2551" w:type="dxa"/>
            <w:vAlign w:val="center"/>
          </w:tcPr>
          <w:p>
            <w:pPr>
              <w:pStyle w:val="11"/>
            </w:pPr>
          </w:p>
        </w:tc>
        <w:tc>
          <w:tcPr>
            <w:tcW w:w="2551" w:type="dxa"/>
            <w:vAlign w:val="center"/>
          </w:tcPr>
          <w:p>
            <w:pPr>
              <w:pStyle w:val="11"/>
            </w:pPr>
            <w:r>
              <w:t>27.09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3.72</w:t>
            </w:r>
          </w:p>
        </w:tc>
        <w:tc>
          <w:tcPr>
            <w:tcW w:w="2551" w:type="dxa"/>
            <w:vAlign w:val="center"/>
          </w:tcPr>
          <w:p>
            <w:pPr>
              <w:pStyle w:val="11"/>
            </w:pPr>
          </w:p>
        </w:tc>
        <w:tc>
          <w:tcPr>
            <w:tcW w:w="2551" w:type="dxa"/>
            <w:vAlign w:val="center"/>
          </w:tcPr>
          <w:p>
            <w:pPr>
              <w:pStyle w:val="11"/>
            </w:pPr>
            <w:r>
              <w:t>3.72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1.73</w:t>
            </w:r>
          </w:p>
        </w:tc>
        <w:tc>
          <w:tcPr>
            <w:tcW w:w="2551" w:type="dxa"/>
            <w:vAlign w:val="center"/>
          </w:tcPr>
          <w:p>
            <w:pPr>
              <w:pStyle w:val="11"/>
            </w:pPr>
          </w:p>
        </w:tc>
        <w:tc>
          <w:tcPr>
            <w:tcW w:w="2551" w:type="dxa"/>
            <w:vAlign w:val="center"/>
          </w:tcPr>
          <w:p>
            <w:pPr>
              <w:pStyle w:val="11"/>
            </w:pPr>
            <w:r>
              <w:t>1.73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8.85</w:t>
            </w:r>
          </w:p>
        </w:tc>
        <w:tc>
          <w:tcPr>
            <w:tcW w:w="2551" w:type="dxa"/>
            <w:vAlign w:val="center"/>
          </w:tcPr>
          <w:p>
            <w:pPr>
              <w:pStyle w:val="11"/>
            </w:pPr>
          </w:p>
        </w:tc>
        <w:tc>
          <w:tcPr>
            <w:tcW w:w="2551" w:type="dxa"/>
            <w:vAlign w:val="center"/>
          </w:tcPr>
          <w:p>
            <w:pPr>
              <w:pStyle w:val="11"/>
            </w:pPr>
            <w:r>
              <w:t>8.85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4.14</w:t>
            </w:r>
          </w:p>
        </w:tc>
        <w:tc>
          <w:tcPr>
            <w:tcW w:w="2551" w:type="dxa"/>
            <w:vAlign w:val="center"/>
          </w:tcPr>
          <w:p>
            <w:pPr>
              <w:pStyle w:val="11"/>
            </w:pPr>
          </w:p>
        </w:tc>
        <w:tc>
          <w:tcPr>
            <w:tcW w:w="2551" w:type="dxa"/>
            <w:vAlign w:val="center"/>
          </w:tcPr>
          <w:p>
            <w:pPr>
              <w:pStyle w:val="11"/>
            </w:pPr>
            <w:r>
              <w:t>4.14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10.77</w:t>
            </w:r>
          </w:p>
        </w:tc>
        <w:tc>
          <w:tcPr>
            <w:tcW w:w="2551" w:type="dxa"/>
            <w:vAlign w:val="center"/>
          </w:tcPr>
          <w:p>
            <w:pPr>
              <w:pStyle w:val="11"/>
            </w:pPr>
            <w:r>
              <w:t>10.77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10.77</w:t>
            </w:r>
          </w:p>
        </w:tc>
        <w:tc>
          <w:tcPr>
            <w:tcW w:w="2551" w:type="dxa"/>
            <w:vAlign w:val="center"/>
          </w:tcPr>
          <w:p>
            <w:pPr>
              <w:pStyle w:val="11"/>
            </w:pPr>
            <w:r>
              <w:t>10.77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石家庄市鹿泉区文学艺术界联合会本级2025年单位预算信息公开情况说明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按照《中华人民共和国预算法》、《地方预决算公开操作规程》和《关于进一步推进预算公开工作的实施意见》规定，现将石家庄市鹿泉区文学艺术界联合会本级2025年单位预算公开如下：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pPr>
        <w:pStyle w:val="17"/>
      </w:pPr>
      <w:r>
        <w:t>组织召开全区文联代表大会，全委会和主席团会议；组织召开全区文艺家协会代表大会、理事会、主席团会议以及全区文联系统工作会议。</w:t>
      </w:r>
    </w:p>
    <w:p>
      <w:pPr>
        <w:pStyle w:val="17"/>
      </w:pPr>
      <w:r>
        <w:t>组织开展采风创作、文艺志愿服务、主题文艺活动、展演展示展播等文艺实践活动。组织开展文艺人才教育培训、培养举荐、创作扶持等工作。</w:t>
      </w:r>
    </w:p>
    <w:p>
      <w:pPr>
        <w:pStyle w:val="17"/>
      </w:pPr>
      <w:r>
        <w:t>协同有关部门组织文艺活动的重大评奖活动。组织开展文艺评论、文艺理论研究、学术交流研讨等活动。</w:t>
      </w:r>
    </w:p>
    <w:p>
      <w:pPr>
        <w:pStyle w:val="17"/>
      </w:pPr>
      <w:r>
        <w:t>依法开展文艺领域行业教育、行业自律、行业服务和行业管理工作，开展行风建设和职业道德建设。</w:t>
      </w:r>
    </w:p>
    <w:p>
      <w:pPr>
        <w:pStyle w:val="17"/>
      </w:pPr>
      <w:r>
        <w:t>服务区委、区政府工作大局，传播中华优秀传统文化，组织开展文化交流合作。</w:t>
      </w:r>
    </w:p>
    <w:p>
      <w:pPr>
        <w:pStyle w:val="17"/>
      </w:pPr>
      <w:r>
        <w:t>组织开展文艺领域侵权纠纷调解、权益保护协调合作、诉求表达处理、法律志愿服务等维权服务工作，维护文艺工作者合法权益。</w:t>
      </w:r>
    </w:p>
    <w:p>
      <w:pPr>
        <w:pStyle w:val="17"/>
      </w:pPr>
      <w:r>
        <w:t>引导网络文艺创作生产，促进传统文艺和网络文艺融合发展。</w:t>
      </w:r>
    </w:p>
    <w:p>
      <w:pPr>
        <w:pStyle w:val="17"/>
      </w:pPr>
      <w:r>
        <w:t>联络、协调、服务和指导各文艺家协会，对区文联业务主管的社会组织进行日常联系和监督管理，依法依章程指导基层文联工作。编辑出版有关文艺刊物和文艺书籍。</w:t>
      </w:r>
    </w:p>
    <w:p>
      <w:pPr>
        <w:pStyle w:val="17"/>
      </w:pPr>
      <w:r>
        <w:t>完成区委、区政府交办的其他事项。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石家庄市鹿泉区文学艺术界联合会本级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265.93万元，其中：一般公共预算收入265.93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文学艺术界联合会本级年度单位预算中支出预算的总体情况。2025年支出预算265.93万元，其中基本支出150.93万元，包括人员经费123.84万元和日常公用经费27.09万元；项目支出115.00万元，主要为单位人员工资及社保支出，日常办公用品支出，文艺家之家建设项目专项支出，协会活动支出，《鹿泉文苑》等书籍印刷费用，文艺繁荣奖经费等</w:t>
      </w:r>
    </w:p>
    <w:p>
      <w:pPr>
        <w:pStyle w:val="18"/>
      </w:pPr>
      <w:r>
        <w:t>3、比上年增减情况</w:t>
      </w:r>
    </w:p>
    <w:p>
      <w:pPr>
        <w:pStyle w:val="18"/>
      </w:pPr>
      <w:r>
        <w:t>2025年预算收支安排265.93万元，较2024年预算减少32.75万元，其中：基本支出减少31.75万元，主要为单位人员调出，人员支出减少项目支出减少1.00万元，主要为网费电话经费不再列入专项项目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2025年，我单位机关运行经费共计安排27.09万元，主要用于日常维修、办公用房水电费、办公用房取暖费、办公用房物业管理费等日常运行支出。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2.70万元，其中因公出国（境）费0.00万元；公务用车购置及运维费2.70万元（其中：公务用车购置费为0.00万元，公务用车运维费2.70万元)；公务接待费0.00万元。与2024年相比增加2.70万元，增减变化的主要原因是自2025年起，原先由</w:t>
      </w:r>
      <w:r>
        <w:rPr>
          <w:rFonts w:hint="eastAsia"/>
          <w:lang w:val="en-US" w:eastAsia="zh-CN"/>
        </w:rPr>
        <w:t>机关事务管理中心</w:t>
      </w:r>
      <w:r>
        <w:t>管理的一辆公用应急车辆转而由我单位负责管理</w:t>
      </w:r>
      <w:r>
        <w:rPr>
          <w:rFonts w:hint="eastAsia"/>
          <w:lang w:eastAsia="zh-CN"/>
        </w:rPr>
        <w:t>。</w:t>
      </w: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1、《鹿泉文苑》等书籍印刷费（2025）绩效目标表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13011025P003239101970</w:t>
            </w:r>
          </w:p>
        </w:tc>
        <w:tc>
          <w:tcPr>
            <w:tcW w:w="2835" w:type="dxa"/>
            <w:vAlign w:val="center"/>
          </w:tcPr>
          <w:p>
            <w:pPr>
              <w:pStyle w:val="10"/>
            </w:pPr>
            <w:r>
              <w:t>项目名称</w:t>
            </w:r>
          </w:p>
        </w:tc>
        <w:tc>
          <w:tcPr>
            <w:tcW w:w="6095" w:type="dxa"/>
            <w:gridSpan w:val="3"/>
            <w:vAlign w:val="center"/>
          </w:tcPr>
          <w:p>
            <w:pPr>
              <w:pStyle w:val="12"/>
            </w:pPr>
            <w:r>
              <w:t>《鹿泉文苑》等书籍印刷费（2025）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积极组织编纂出版印刷《鹿泉文苑》等书籍，支持重点文艺创作和活动，繁荣文化事业，促进文化事业发展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1.积极组织编纂出版印刷《鹿泉文苑》等书籍，支持重点文艺创作和活动，繁荣文化事业，促进文化事业发展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印制计划完成量</w:t>
            </w:r>
          </w:p>
        </w:tc>
        <w:tc>
          <w:tcPr>
            <w:tcW w:w="5386" w:type="dxa"/>
            <w:vAlign w:val="center"/>
          </w:tcPr>
          <w:p>
            <w:pPr>
              <w:pStyle w:val="12"/>
            </w:pPr>
            <w:r>
              <w:t>印制计划完成量1000本</w:t>
            </w:r>
          </w:p>
        </w:tc>
        <w:tc>
          <w:tcPr>
            <w:tcW w:w="2268" w:type="dxa"/>
            <w:vAlign w:val="center"/>
          </w:tcPr>
          <w:p>
            <w:pPr>
              <w:pStyle w:val="12"/>
            </w:pPr>
            <w:r>
              <w:t>≥1000本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群众阅读书籍的参与率</w:t>
            </w:r>
          </w:p>
        </w:tc>
        <w:tc>
          <w:tcPr>
            <w:tcW w:w="5386" w:type="dxa"/>
            <w:vAlign w:val="center"/>
          </w:tcPr>
          <w:p>
            <w:pPr>
              <w:pStyle w:val="12"/>
            </w:pPr>
            <w:r>
              <w:t>群众阅读书籍的参与率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产出完成的及时性</w:t>
            </w:r>
          </w:p>
        </w:tc>
        <w:tc>
          <w:tcPr>
            <w:tcW w:w="5386" w:type="dxa"/>
            <w:vAlign w:val="center"/>
          </w:tcPr>
          <w:p>
            <w:pPr>
              <w:pStyle w:val="12"/>
            </w:pPr>
            <w:r>
              <w:t>产出完成的及时性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≤20元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保障文联工作需要，维护正常运转</w:t>
            </w:r>
          </w:p>
          <w:p>
            <w:pPr>
              <w:pStyle w:val="12"/>
            </w:pPr>
          </w:p>
        </w:tc>
        <w:tc>
          <w:tcPr>
            <w:tcW w:w="5386" w:type="dxa"/>
            <w:vAlign w:val="center"/>
          </w:tcPr>
          <w:p>
            <w:pPr>
              <w:pStyle w:val="12"/>
            </w:pPr>
            <w:r>
              <w:t>保障文联工作需要，促进文艺工作发展</w:t>
            </w:r>
          </w:p>
        </w:tc>
        <w:tc>
          <w:tcPr>
            <w:tcW w:w="2268" w:type="dxa"/>
            <w:vAlign w:val="center"/>
          </w:tcPr>
          <w:p>
            <w:pPr>
              <w:pStyle w:val="12"/>
            </w:pPr>
            <w:r>
              <w:t>进一步加强文艺建设力度，促进文艺工作发展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受益群体调查中，满意和较满意的人数占全部调查人数的比率</w:t>
            </w:r>
          </w:p>
          <w:p>
            <w:pPr>
              <w:pStyle w:val="12"/>
            </w:pP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2、文艺繁荣奖经费（2025）绩效目标表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13011025P003239102005</w:t>
            </w:r>
          </w:p>
        </w:tc>
        <w:tc>
          <w:tcPr>
            <w:tcW w:w="2835" w:type="dxa"/>
            <w:vAlign w:val="center"/>
          </w:tcPr>
          <w:p>
            <w:pPr>
              <w:pStyle w:val="10"/>
            </w:pPr>
            <w:r>
              <w:t>项目名称</w:t>
            </w:r>
          </w:p>
        </w:tc>
        <w:tc>
          <w:tcPr>
            <w:tcW w:w="6095" w:type="dxa"/>
            <w:gridSpan w:val="3"/>
            <w:vAlign w:val="center"/>
          </w:tcPr>
          <w:p>
            <w:pPr>
              <w:pStyle w:val="12"/>
            </w:pPr>
            <w:r>
              <w:t>文艺繁荣奖经费（2025）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积极组织开展文艺繁荣奖评选活动，支持重点文艺创作活动，繁荣文化事业，促进文化事业发展。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1.积极组织开展文艺繁荣奖评选活动，支持重点文艺创作活动，繁荣文化事业，促进文化事业发展。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评选活动完成量</w:t>
            </w:r>
          </w:p>
        </w:tc>
        <w:tc>
          <w:tcPr>
            <w:tcW w:w="5386" w:type="dxa"/>
            <w:vAlign w:val="center"/>
          </w:tcPr>
          <w:p>
            <w:pPr>
              <w:pStyle w:val="12"/>
            </w:pPr>
            <w:r>
              <w:t>评选活动完成量</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受邀观众的参与率</w:t>
            </w:r>
          </w:p>
        </w:tc>
        <w:tc>
          <w:tcPr>
            <w:tcW w:w="5386" w:type="dxa"/>
            <w:vAlign w:val="center"/>
          </w:tcPr>
          <w:p>
            <w:pPr>
              <w:pStyle w:val="12"/>
            </w:pPr>
            <w:r>
              <w:t>受邀观众的参与率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完成的及时率</w:t>
            </w:r>
          </w:p>
        </w:tc>
        <w:tc>
          <w:tcPr>
            <w:tcW w:w="5386" w:type="dxa"/>
            <w:vAlign w:val="center"/>
          </w:tcPr>
          <w:p>
            <w:pPr>
              <w:pStyle w:val="12"/>
            </w:pPr>
            <w:r>
              <w:t>完成的及时率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组织成本控制</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保障文联工作需要</w:t>
            </w:r>
          </w:p>
        </w:tc>
        <w:tc>
          <w:tcPr>
            <w:tcW w:w="5386" w:type="dxa"/>
            <w:vAlign w:val="center"/>
          </w:tcPr>
          <w:p>
            <w:pPr>
              <w:pStyle w:val="12"/>
            </w:pPr>
            <w:r>
              <w:t>保障文联工作需要，促进文艺工作发展</w:t>
            </w:r>
          </w:p>
        </w:tc>
        <w:tc>
          <w:tcPr>
            <w:tcW w:w="2268" w:type="dxa"/>
            <w:vAlign w:val="center"/>
          </w:tcPr>
          <w:p>
            <w:pPr>
              <w:pStyle w:val="12"/>
            </w:pPr>
            <w:r>
              <w:t>进一步加强文艺建设力度，促进文化发展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受益群体调查中，满意和较满意人数</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3、文艺家之家加固经费（2025）绩效目标表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13011025P00323910195Q</w:t>
            </w:r>
          </w:p>
        </w:tc>
        <w:tc>
          <w:tcPr>
            <w:tcW w:w="2835" w:type="dxa"/>
            <w:vAlign w:val="center"/>
          </w:tcPr>
          <w:p>
            <w:pPr>
              <w:pStyle w:val="10"/>
            </w:pPr>
            <w:r>
              <w:t>项目名称</w:t>
            </w:r>
          </w:p>
        </w:tc>
        <w:tc>
          <w:tcPr>
            <w:tcW w:w="6095" w:type="dxa"/>
            <w:gridSpan w:val="3"/>
            <w:vAlign w:val="center"/>
          </w:tcPr>
          <w:p>
            <w:pPr>
              <w:pStyle w:val="12"/>
            </w:pPr>
            <w:r>
              <w:t>文艺家之家加固经费（2025）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完成本年文艺家之家加固项目建设计划，确保负一层及以上的拆除、植筋、加大截面、砌筑工程，负二层的地面拆除、挖土方、垫层、砼挡土墙工程完工，且符合工程施工质量验收相关要求。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1.完成本年文艺家之家加固项目建设计划，确保负一层及以上的拆除、植筋、加大截面、砌筑工程，负二层的地面拆除、挖土方、垫层、砼挡土墙工程完工，且符合工程施工质量验收相关要求。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工程完工率</w:t>
            </w:r>
          </w:p>
        </w:tc>
        <w:tc>
          <w:tcPr>
            <w:tcW w:w="5386" w:type="dxa"/>
            <w:vAlign w:val="center"/>
          </w:tcPr>
          <w:p>
            <w:pPr>
              <w:pStyle w:val="12"/>
            </w:pPr>
            <w:r>
              <w:t>工程施工进度工作量占本年计划工程完工总量的比率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5386" w:type="dxa"/>
            <w:vAlign w:val="center"/>
          </w:tcPr>
          <w:p>
            <w:pPr>
              <w:pStyle w:val="12"/>
            </w:pPr>
            <w:r>
              <w:t>项目按计划开工情况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加固项目成本费用</w:t>
            </w:r>
          </w:p>
        </w:tc>
        <w:tc>
          <w:tcPr>
            <w:tcW w:w="5386" w:type="dxa"/>
            <w:vAlign w:val="center"/>
          </w:tcPr>
          <w:p>
            <w:pPr>
              <w:pStyle w:val="12"/>
            </w:pPr>
            <w:r>
              <w:t>加固项目成本费用</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保障文联工作需要</w:t>
            </w:r>
          </w:p>
        </w:tc>
        <w:tc>
          <w:tcPr>
            <w:tcW w:w="5386" w:type="dxa"/>
            <w:vAlign w:val="center"/>
          </w:tcPr>
          <w:p>
            <w:pPr>
              <w:pStyle w:val="12"/>
            </w:pPr>
            <w:r>
              <w:t>保障文联工作需要，促进文艺工作发展</w:t>
            </w:r>
          </w:p>
        </w:tc>
        <w:tc>
          <w:tcPr>
            <w:tcW w:w="2268" w:type="dxa"/>
            <w:vAlign w:val="center"/>
          </w:tcPr>
          <w:p>
            <w:pPr>
              <w:pStyle w:val="12"/>
            </w:pPr>
            <w:r>
              <w:t>进一步加强文艺建设力度，促进文化发展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受益群体调查中，满意和较满意人数</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4、文艺家之家设备招标项目经费（2025）绩效目标表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13011025P00323910188P</w:t>
            </w:r>
          </w:p>
        </w:tc>
        <w:tc>
          <w:tcPr>
            <w:tcW w:w="2835" w:type="dxa"/>
            <w:vAlign w:val="center"/>
          </w:tcPr>
          <w:p>
            <w:pPr>
              <w:pStyle w:val="10"/>
            </w:pPr>
            <w:r>
              <w:t>项目名称</w:t>
            </w:r>
          </w:p>
        </w:tc>
        <w:tc>
          <w:tcPr>
            <w:tcW w:w="6095" w:type="dxa"/>
            <w:gridSpan w:val="3"/>
            <w:vAlign w:val="center"/>
          </w:tcPr>
          <w:p>
            <w:pPr>
              <w:pStyle w:val="12"/>
            </w:pPr>
            <w:r>
              <w:t>文艺家之家设备招标项目经费（2025）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购置安装电子设备、办公家具、空调设备、监控设施等设备，保障文艺家之家业务顺利开展，满足群众文化需求。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1.购置安装电子设备、办公家具、空调设备、监控设施等设备，保障文艺家之家业务顺利开展，满足群众文化需求。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无线覆盖率</w:t>
            </w:r>
          </w:p>
        </w:tc>
        <w:tc>
          <w:tcPr>
            <w:tcW w:w="5386" w:type="dxa"/>
            <w:vAlign w:val="center"/>
          </w:tcPr>
          <w:p>
            <w:pPr>
              <w:pStyle w:val="12"/>
            </w:pPr>
            <w:r>
              <w:t>无线覆盖率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购置安装办公家具</w:t>
            </w:r>
          </w:p>
        </w:tc>
        <w:tc>
          <w:tcPr>
            <w:tcW w:w="5386" w:type="dxa"/>
            <w:vAlign w:val="center"/>
          </w:tcPr>
          <w:p>
            <w:pPr>
              <w:pStyle w:val="12"/>
            </w:pPr>
            <w:r>
              <w:t>购置安装办公家具</w:t>
            </w:r>
          </w:p>
        </w:tc>
        <w:tc>
          <w:tcPr>
            <w:tcW w:w="2268" w:type="dxa"/>
            <w:vAlign w:val="center"/>
          </w:tcPr>
          <w:p>
            <w:pPr>
              <w:pStyle w:val="12"/>
            </w:pPr>
            <w:r>
              <w:t>10类</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购置安装空调设备</w:t>
            </w:r>
          </w:p>
        </w:tc>
        <w:tc>
          <w:tcPr>
            <w:tcW w:w="5386" w:type="dxa"/>
            <w:vAlign w:val="center"/>
          </w:tcPr>
          <w:p>
            <w:pPr>
              <w:pStyle w:val="12"/>
            </w:pPr>
            <w:r>
              <w:t>购置安装空调设备</w:t>
            </w:r>
          </w:p>
        </w:tc>
        <w:tc>
          <w:tcPr>
            <w:tcW w:w="2268" w:type="dxa"/>
            <w:vAlign w:val="center"/>
          </w:tcPr>
          <w:p>
            <w:pPr>
              <w:pStyle w:val="12"/>
            </w:pPr>
            <w:r>
              <w:t>8类</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招标采购时间</w:t>
            </w:r>
          </w:p>
        </w:tc>
        <w:tc>
          <w:tcPr>
            <w:tcW w:w="5386" w:type="dxa"/>
            <w:vAlign w:val="center"/>
          </w:tcPr>
          <w:p>
            <w:pPr>
              <w:pStyle w:val="12"/>
            </w:pPr>
            <w:r>
              <w:t>招标采购时间</w:t>
            </w:r>
          </w:p>
        </w:tc>
        <w:tc>
          <w:tcPr>
            <w:tcW w:w="2268" w:type="dxa"/>
            <w:vAlign w:val="center"/>
          </w:tcPr>
          <w:p>
            <w:pPr>
              <w:pStyle w:val="12"/>
            </w:pPr>
            <w:r>
              <w:t>9月前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购置安装成本</w:t>
            </w:r>
          </w:p>
        </w:tc>
        <w:tc>
          <w:tcPr>
            <w:tcW w:w="5386" w:type="dxa"/>
            <w:vAlign w:val="center"/>
          </w:tcPr>
          <w:p>
            <w:pPr>
              <w:pStyle w:val="12"/>
            </w:pPr>
            <w:r>
              <w:t>购置安装部分成本费用</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保障文联工作需要</w:t>
            </w:r>
          </w:p>
        </w:tc>
        <w:tc>
          <w:tcPr>
            <w:tcW w:w="5386" w:type="dxa"/>
            <w:vAlign w:val="center"/>
          </w:tcPr>
          <w:p>
            <w:pPr>
              <w:pStyle w:val="12"/>
            </w:pPr>
            <w:r>
              <w:t>保障文联工作需要，促进文艺工作发展</w:t>
            </w:r>
          </w:p>
        </w:tc>
        <w:tc>
          <w:tcPr>
            <w:tcW w:w="2268" w:type="dxa"/>
            <w:vAlign w:val="center"/>
          </w:tcPr>
          <w:p>
            <w:pPr>
              <w:pStyle w:val="12"/>
            </w:pPr>
            <w:r>
              <w:t>进一步加强文艺建设力度，促进文化发展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受益群体调查中，满意和较满意人数</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5、文艺家之家维修改造项目经费（2025）绩效目标表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13011025P003239101945</w:t>
            </w:r>
          </w:p>
        </w:tc>
        <w:tc>
          <w:tcPr>
            <w:tcW w:w="2835" w:type="dxa"/>
            <w:vAlign w:val="center"/>
          </w:tcPr>
          <w:p>
            <w:pPr>
              <w:pStyle w:val="10"/>
            </w:pPr>
            <w:r>
              <w:t>项目名称</w:t>
            </w:r>
          </w:p>
        </w:tc>
        <w:tc>
          <w:tcPr>
            <w:tcW w:w="6095" w:type="dxa"/>
            <w:gridSpan w:val="3"/>
            <w:vAlign w:val="center"/>
          </w:tcPr>
          <w:p>
            <w:pPr>
              <w:pStyle w:val="12"/>
            </w:pPr>
            <w:r>
              <w:t>文艺家之家维修改造项目经费（2025）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完成文艺家之家初步建设，确保本年维修修改造工作完成，符合工程施工质量验收相关要求。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1.完成文艺家之家初步建设，确保本年维修修改造工作完成，符合工程施工质量验收相关要求。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工程完工率</w:t>
            </w:r>
          </w:p>
        </w:tc>
        <w:tc>
          <w:tcPr>
            <w:tcW w:w="5386" w:type="dxa"/>
            <w:vAlign w:val="center"/>
          </w:tcPr>
          <w:p>
            <w:pPr>
              <w:pStyle w:val="12"/>
            </w:pPr>
            <w:r>
              <w:t>工程施工进度工作量占本年工程完工总量的比率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5386" w:type="dxa"/>
            <w:vAlign w:val="center"/>
          </w:tcPr>
          <w:p>
            <w:pPr>
              <w:pStyle w:val="12"/>
            </w:pPr>
            <w:r>
              <w:t>项目按计划开工情况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维修改造项目成本费用</w:t>
            </w:r>
          </w:p>
        </w:tc>
        <w:tc>
          <w:tcPr>
            <w:tcW w:w="5386" w:type="dxa"/>
            <w:vAlign w:val="center"/>
          </w:tcPr>
          <w:p>
            <w:pPr>
              <w:pStyle w:val="12"/>
            </w:pPr>
            <w:r>
              <w:t>维修改造项目成本费用</w:t>
            </w:r>
          </w:p>
        </w:tc>
        <w:tc>
          <w:tcPr>
            <w:tcW w:w="2268" w:type="dxa"/>
            <w:vAlign w:val="center"/>
          </w:tcPr>
          <w:p>
            <w:pPr>
              <w:pStyle w:val="12"/>
            </w:pPr>
            <w:r>
              <w:t>≤60万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保障文联工作需要</w:t>
            </w:r>
          </w:p>
        </w:tc>
        <w:tc>
          <w:tcPr>
            <w:tcW w:w="5386" w:type="dxa"/>
            <w:vAlign w:val="center"/>
          </w:tcPr>
          <w:p>
            <w:pPr>
              <w:pStyle w:val="12"/>
            </w:pPr>
            <w:r>
              <w:t>保障文联工作需要，促进文艺工作发展</w:t>
            </w:r>
          </w:p>
        </w:tc>
        <w:tc>
          <w:tcPr>
            <w:tcW w:w="2268" w:type="dxa"/>
            <w:vAlign w:val="center"/>
          </w:tcPr>
          <w:p>
            <w:pPr>
              <w:pStyle w:val="12"/>
            </w:pPr>
            <w:r>
              <w:t>进一步加强文艺建设力度，促进文化发展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受益群体调查中，满意和较满意人数</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6、文艺家之家运转费（2025）绩效目标表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13011025P00323910196C</w:t>
            </w:r>
          </w:p>
        </w:tc>
        <w:tc>
          <w:tcPr>
            <w:tcW w:w="2835" w:type="dxa"/>
            <w:vAlign w:val="center"/>
          </w:tcPr>
          <w:p>
            <w:pPr>
              <w:pStyle w:val="10"/>
            </w:pPr>
            <w:r>
              <w:t>项目名称</w:t>
            </w:r>
          </w:p>
        </w:tc>
        <w:tc>
          <w:tcPr>
            <w:tcW w:w="6095" w:type="dxa"/>
            <w:gridSpan w:val="3"/>
            <w:vAlign w:val="center"/>
          </w:tcPr>
          <w:p>
            <w:pPr>
              <w:pStyle w:val="12"/>
            </w:pPr>
            <w:r>
              <w:t>文艺家之家运转费（2025）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保障文艺家之家正常运转，繁荣文化事业，促进文化事业发展。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1.保障文艺家之家正常运转，繁荣文化事业，促进文化事业发展。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办公用房面积</w:t>
            </w:r>
          </w:p>
        </w:tc>
        <w:tc>
          <w:tcPr>
            <w:tcW w:w="5386" w:type="dxa"/>
            <w:vAlign w:val="center"/>
          </w:tcPr>
          <w:p>
            <w:pPr>
              <w:pStyle w:val="12"/>
            </w:pPr>
            <w:r>
              <w:t>服务办公用房面积</w:t>
            </w:r>
          </w:p>
        </w:tc>
        <w:tc>
          <w:tcPr>
            <w:tcW w:w="2268" w:type="dxa"/>
            <w:vAlign w:val="center"/>
          </w:tcPr>
          <w:p>
            <w:pPr>
              <w:pStyle w:val="12"/>
            </w:pPr>
            <w:r>
              <w:t>≤1250平方米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服务质量</w:t>
            </w:r>
          </w:p>
        </w:tc>
        <w:tc>
          <w:tcPr>
            <w:tcW w:w="5386" w:type="dxa"/>
            <w:vAlign w:val="center"/>
          </w:tcPr>
          <w:p>
            <w:pPr>
              <w:pStyle w:val="12"/>
            </w:pPr>
            <w:r>
              <w:t>水、电、暖、网络、安保、保洁等服务质量</w:t>
            </w:r>
          </w:p>
        </w:tc>
        <w:tc>
          <w:tcPr>
            <w:tcW w:w="2268" w:type="dxa"/>
            <w:vAlign w:val="center"/>
          </w:tcPr>
          <w:p>
            <w:pPr>
              <w:pStyle w:val="12"/>
            </w:pPr>
            <w:r>
              <w:t>不低于合同约定标准100%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合同签订时间</w:t>
            </w:r>
          </w:p>
        </w:tc>
        <w:tc>
          <w:tcPr>
            <w:tcW w:w="5386" w:type="dxa"/>
            <w:vAlign w:val="center"/>
          </w:tcPr>
          <w:p>
            <w:pPr>
              <w:pStyle w:val="12"/>
            </w:pPr>
            <w:r>
              <w:t>服务合同签订日期</w:t>
            </w:r>
          </w:p>
        </w:tc>
        <w:tc>
          <w:tcPr>
            <w:tcW w:w="2268" w:type="dxa"/>
            <w:vAlign w:val="center"/>
          </w:tcPr>
          <w:p>
            <w:pPr>
              <w:pStyle w:val="12"/>
            </w:pPr>
            <w:r>
              <w:t>≤8月前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年度单位面积物业费</w:t>
            </w:r>
          </w:p>
        </w:tc>
        <w:tc>
          <w:tcPr>
            <w:tcW w:w="5386" w:type="dxa"/>
            <w:vAlign w:val="center"/>
          </w:tcPr>
          <w:p>
            <w:pPr>
              <w:pStyle w:val="12"/>
            </w:pPr>
            <w:r>
              <w:t>每平方米办公用房年度物业费支出标准</w:t>
            </w:r>
          </w:p>
        </w:tc>
        <w:tc>
          <w:tcPr>
            <w:tcW w:w="2268" w:type="dxa"/>
            <w:vAlign w:val="center"/>
          </w:tcPr>
          <w:p>
            <w:pPr>
              <w:pStyle w:val="12"/>
            </w:pPr>
            <w:r>
              <w:t>≤160元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保障文联工作需要</w:t>
            </w:r>
          </w:p>
        </w:tc>
        <w:tc>
          <w:tcPr>
            <w:tcW w:w="5386" w:type="dxa"/>
            <w:vAlign w:val="center"/>
          </w:tcPr>
          <w:p>
            <w:pPr>
              <w:pStyle w:val="12"/>
            </w:pPr>
            <w:r>
              <w:t>保障文联工作需要，促进文艺工作发展</w:t>
            </w:r>
          </w:p>
        </w:tc>
        <w:tc>
          <w:tcPr>
            <w:tcW w:w="2268" w:type="dxa"/>
            <w:vAlign w:val="center"/>
          </w:tcPr>
          <w:p>
            <w:pPr>
              <w:pStyle w:val="12"/>
            </w:pPr>
            <w:r>
              <w:t>进一步加强文艺建设力度，促进文化发展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受益群体调查中，满意和较满意人数</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7、协会活动经费（2025）绩效目标表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13011025P00323910198K</w:t>
            </w:r>
          </w:p>
        </w:tc>
        <w:tc>
          <w:tcPr>
            <w:tcW w:w="2835" w:type="dxa"/>
            <w:vAlign w:val="center"/>
          </w:tcPr>
          <w:p>
            <w:pPr>
              <w:pStyle w:val="10"/>
            </w:pPr>
            <w:r>
              <w:t>项目名称</w:t>
            </w:r>
          </w:p>
        </w:tc>
        <w:tc>
          <w:tcPr>
            <w:tcW w:w="6095" w:type="dxa"/>
            <w:gridSpan w:val="3"/>
            <w:vAlign w:val="center"/>
          </w:tcPr>
          <w:p>
            <w:pPr>
              <w:pStyle w:val="12"/>
            </w:pPr>
            <w:r>
              <w:t>协会活动经费（2025）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积极组织协会开展文化活动，繁荣文化事业，进一步促进文化艺术的影响力和美誉度。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1.积极组织协会开展文化活动，繁荣文化事业，进一步促进文化艺术的影响力和美誉度。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文化活动演出次数</w:t>
            </w:r>
          </w:p>
        </w:tc>
        <w:tc>
          <w:tcPr>
            <w:tcW w:w="5386" w:type="dxa"/>
            <w:vAlign w:val="center"/>
          </w:tcPr>
          <w:p>
            <w:pPr>
              <w:pStyle w:val="12"/>
            </w:pPr>
            <w:r>
              <w:t>文化活动演出场次</w:t>
            </w:r>
          </w:p>
        </w:tc>
        <w:tc>
          <w:tcPr>
            <w:tcW w:w="2268" w:type="dxa"/>
            <w:vAlign w:val="center"/>
          </w:tcPr>
          <w:p>
            <w:pPr>
              <w:pStyle w:val="12"/>
            </w:pPr>
            <w:r>
              <w:t>≥10次数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指导协会工作覆盖率(%)</w:t>
            </w:r>
          </w:p>
        </w:tc>
        <w:tc>
          <w:tcPr>
            <w:tcW w:w="5386" w:type="dxa"/>
            <w:vAlign w:val="center"/>
          </w:tcPr>
          <w:p>
            <w:pPr>
              <w:pStyle w:val="12"/>
            </w:pPr>
            <w:r>
              <w:t>指导协会工作覆盖率(%)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传播推广中国文化</w:t>
            </w:r>
          </w:p>
        </w:tc>
        <w:tc>
          <w:tcPr>
            <w:tcW w:w="5386" w:type="dxa"/>
            <w:vAlign w:val="center"/>
          </w:tcPr>
          <w:p>
            <w:pPr>
              <w:pStyle w:val="12"/>
            </w:pPr>
            <w:r>
              <w:t>为群众提供丰富多彩的文化大餐，繁荣文化事业，进一步促进文化艺术的影响力和美誉度。</w:t>
            </w:r>
          </w:p>
        </w:tc>
        <w:tc>
          <w:tcPr>
            <w:tcW w:w="2268" w:type="dxa"/>
            <w:vAlign w:val="center"/>
          </w:tcPr>
          <w:p>
            <w:pPr>
              <w:pStyle w:val="12"/>
            </w:pPr>
            <w:r>
              <w:t>进一步促进文联下属协会发展</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观众满意度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石家庄市鹿泉区文学艺术界联合会本级上年末固定资产金额为36.91万元（详见下表）。本年度拟购置固定资产总额为0.00万元，已按要求列入政府采购预算，详见政府采购预算表。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721001石家庄市鹿泉区文学艺术界联合会本级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126</w:t>
            </w:r>
          </w:p>
        </w:tc>
        <w:tc>
          <w:tcPr>
            <w:tcW w:w="2835" w:type="dxa"/>
            <w:vAlign w:val="center"/>
          </w:tcPr>
          <w:p>
            <w:pPr>
              <w:pStyle w:val="11"/>
            </w:pPr>
            <w:r>
              <w:t>24.41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EE3026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2025-02-12T16:53:00Z</dcterms:created>
  <dc:creator>Administrator</dc:creator>
  <cp:lastModifiedBy>Administrator</cp:lastModifiedBy>
  <dcterms:modified xsi:type="dcterms:W3CDTF">2025-09-11T02:12:43Z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7861FF1FF7384D25A92F192FB40E7731</vt:lpwstr>
  </property>
</Properties>
</file>