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center"/>
        <w:rPr>
          <w:rFonts w:ascii="宋体" w:hAnsi="宋体" w:cs="宋体"/>
          <w:b/>
          <w:bCs/>
          <w:sz w:val="44"/>
          <w:szCs w:val="44"/>
        </w:rPr>
      </w:pPr>
      <w:r>
        <w:rPr>
          <w:rFonts w:hint="eastAsia" w:ascii="宋体" w:hAnsi="宋体" w:cs="宋体"/>
          <w:b/>
          <w:bCs/>
          <w:sz w:val="44"/>
          <w:szCs w:val="44"/>
        </w:rPr>
        <w:t>石家庄市鹿泉区财政局</w:t>
      </w:r>
    </w:p>
    <w:p>
      <w:pPr>
        <w:spacing w:line="560" w:lineRule="exact"/>
        <w:jc w:val="center"/>
        <w:rPr>
          <w:rFonts w:ascii="宋体" w:hAnsi="宋体" w:cs="宋体"/>
          <w:b/>
          <w:bCs/>
          <w:sz w:val="44"/>
          <w:szCs w:val="44"/>
        </w:rPr>
      </w:pPr>
      <w:r>
        <w:rPr>
          <w:rFonts w:hint="eastAsia" w:ascii="宋体" w:hAnsi="宋体" w:cs="宋体"/>
          <w:b/>
          <w:bCs/>
          <w:sz w:val="44"/>
          <w:szCs w:val="44"/>
        </w:rPr>
        <w:t>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贯彻落实石家庄市鹿泉区人民政府《关于全面实施预算绩效管理的实施意见》（鹿发﹝2019﹞8号）文件精神，遵循“科学性、规范性、客观性和公正性”的原则，鹿泉区财政局对202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numPr>
          <w:ilvl w:val="0"/>
          <w:numId w:val="1"/>
        </w:numPr>
        <w:tabs>
          <w:tab w:val="left" w:pos="684"/>
        </w:tabs>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部门概况</w:t>
      </w:r>
    </w:p>
    <w:p>
      <w:pPr>
        <w:adjustRightInd w:val="0"/>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石家庄市鹿泉区财政局为正科级行政单位，下设鹿泉区财政集中支付中心、鹿泉区收费中心、鹿泉区预算绩效管理中心、鹿泉区政府投资评审中心、鹿泉区</w:t>
      </w:r>
      <w:r>
        <w:rPr>
          <w:rFonts w:hint="eastAsia" w:ascii="仿宋" w:hAnsi="仿宋" w:eastAsia="仿宋" w:cs="仿宋"/>
          <w:sz w:val="32"/>
          <w:szCs w:val="32"/>
          <w:lang w:eastAsia="zh-CN"/>
        </w:rPr>
        <w:t>财源建设</w:t>
      </w:r>
      <w:r>
        <w:rPr>
          <w:rFonts w:hint="eastAsia" w:ascii="仿宋" w:hAnsi="仿宋" w:eastAsia="仿宋" w:cs="仿宋"/>
          <w:sz w:val="32"/>
          <w:szCs w:val="32"/>
        </w:rPr>
        <w:t>中心五个全额拨款事业单位。现有行政在编人员1</w:t>
      </w:r>
      <w:r>
        <w:rPr>
          <w:rFonts w:hint="eastAsia" w:ascii="仿宋" w:hAnsi="仿宋" w:eastAsia="仿宋" w:cs="仿宋"/>
          <w:sz w:val="32"/>
          <w:szCs w:val="32"/>
          <w:lang w:val="en-US" w:eastAsia="zh-CN"/>
        </w:rPr>
        <w:t>4</w:t>
      </w:r>
      <w:r>
        <w:rPr>
          <w:rFonts w:hint="eastAsia" w:ascii="仿宋" w:hAnsi="仿宋" w:eastAsia="仿宋" w:cs="仿宋"/>
          <w:sz w:val="32"/>
          <w:szCs w:val="32"/>
        </w:rPr>
        <w:t>人，事业人员在编4</w:t>
      </w:r>
      <w:r>
        <w:rPr>
          <w:rFonts w:hint="eastAsia" w:ascii="仿宋" w:hAnsi="仿宋" w:eastAsia="仿宋" w:cs="仿宋"/>
          <w:sz w:val="32"/>
          <w:szCs w:val="32"/>
          <w:lang w:val="en-US" w:eastAsia="zh-CN"/>
        </w:rPr>
        <w:t>2</w:t>
      </w:r>
      <w:r>
        <w:rPr>
          <w:rFonts w:hint="eastAsia" w:ascii="仿宋" w:hAnsi="仿宋" w:eastAsia="仿宋" w:cs="仿宋"/>
          <w:sz w:val="32"/>
          <w:szCs w:val="32"/>
        </w:rPr>
        <w:t>人，离退休人员</w:t>
      </w:r>
      <w:r>
        <w:rPr>
          <w:rFonts w:hint="eastAsia" w:ascii="仿宋" w:hAnsi="仿宋" w:eastAsia="仿宋" w:cs="仿宋"/>
          <w:sz w:val="32"/>
          <w:szCs w:val="32"/>
          <w:lang w:val="en-US" w:eastAsia="zh-CN"/>
        </w:rPr>
        <w:t>55</w:t>
      </w:r>
      <w:r>
        <w:rPr>
          <w:rFonts w:hint="eastAsia" w:ascii="仿宋" w:hAnsi="仿宋" w:eastAsia="仿宋" w:cs="仿宋"/>
          <w:sz w:val="32"/>
          <w:szCs w:val="32"/>
        </w:rPr>
        <w:t>人，劳动聘用人员2</w:t>
      </w:r>
      <w:r>
        <w:rPr>
          <w:rFonts w:hint="eastAsia" w:ascii="仿宋" w:hAnsi="仿宋" w:eastAsia="仿宋" w:cs="仿宋"/>
          <w:sz w:val="32"/>
          <w:szCs w:val="32"/>
          <w:lang w:val="en-US" w:eastAsia="zh-CN"/>
        </w:rPr>
        <w:t>6</w:t>
      </w:r>
      <w:r>
        <w:rPr>
          <w:rFonts w:hint="eastAsia" w:ascii="仿宋" w:hAnsi="仿宋" w:eastAsia="仿宋" w:cs="仿宋"/>
          <w:sz w:val="32"/>
          <w:szCs w:val="32"/>
        </w:rPr>
        <w:t>人，合计13</w:t>
      </w:r>
      <w:r>
        <w:rPr>
          <w:rFonts w:hint="eastAsia" w:ascii="仿宋" w:hAnsi="仿宋" w:eastAsia="仿宋" w:cs="仿宋"/>
          <w:sz w:val="32"/>
          <w:szCs w:val="32"/>
          <w:lang w:val="en-US" w:eastAsia="zh-CN"/>
        </w:rPr>
        <w:t>7</w:t>
      </w:r>
      <w:r>
        <w:rPr>
          <w:rFonts w:hint="eastAsia" w:ascii="仿宋" w:hAnsi="仿宋" w:eastAsia="仿宋" w:cs="仿宋"/>
          <w:sz w:val="32"/>
          <w:szCs w:val="32"/>
        </w:rPr>
        <w:t>人。</w:t>
      </w:r>
    </w:p>
    <w:p>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部门收支预决算情况</w:t>
      </w:r>
    </w:p>
    <w:p>
      <w:pPr>
        <w:spacing w:line="578" w:lineRule="exact"/>
        <w:ind w:firstLine="640" w:firstLineChars="200"/>
        <w:jc w:val="left"/>
        <w:rPr>
          <w:rFonts w:hint="eastAsia" w:ascii="仿宋" w:hAnsi="仿宋" w:eastAsia="仿宋" w:cs="仿宋"/>
          <w:kern w:val="0"/>
          <w:sz w:val="32"/>
          <w:szCs w:val="32"/>
          <w:lang w:eastAsia="zh-CN"/>
        </w:rPr>
      </w:pPr>
      <w:r>
        <w:rPr>
          <w:rFonts w:hint="eastAsia" w:ascii="仿宋" w:hAnsi="仿宋" w:eastAsia="仿宋" w:cs="仿宋"/>
          <w:kern w:val="0"/>
          <w:sz w:val="32"/>
          <w:szCs w:val="32"/>
        </w:rPr>
        <w:t>本部门202</w:t>
      </w: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年度收、支总计（含结转和结余）</w:t>
      </w:r>
      <w:r>
        <w:rPr>
          <w:rFonts w:hint="eastAsia" w:ascii="仿宋" w:hAnsi="仿宋" w:eastAsia="仿宋" w:cs="仿宋"/>
          <w:kern w:val="0"/>
          <w:sz w:val="32"/>
          <w:szCs w:val="32"/>
          <w:lang w:val="en-US" w:eastAsia="zh-CN"/>
        </w:rPr>
        <w:t>3507.35</w:t>
      </w:r>
      <w:r>
        <w:rPr>
          <w:rFonts w:hint="eastAsia" w:ascii="仿宋" w:hAnsi="仿宋" w:eastAsia="仿宋" w:cs="仿宋"/>
          <w:kern w:val="0"/>
          <w:sz w:val="32"/>
          <w:szCs w:val="32"/>
        </w:rPr>
        <w:t>万元。与202</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年度决算相比，收支各</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5390.34</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减少</w:t>
      </w:r>
      <w:r>
        <w:rPr>
          <w:rFonts w:hint="eastAsia" w:ascii="仿宋" w:hAnsi="仿宋" w:eastAsia="仿宋" w:cs="仿宋"/>
          <w:kern w:val="0"/>
          <w:sz w:val="32"/>
          <w:szCs w:val="32"/>
          <w:lang w:val="en-US" w:eastAsia="zh-CN"/>
        </w:rPr>
        <w:t>60.58</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项目资金减少，其中</w:t>
      </w:r>
      <w:r>
        <w:rPr>
          <w:rFonts w:hint="eastAsia" w:ascii="仿宋" w:hAnsi="仿宋" w:eastAsia="仿宋" w:cs="仿宋"/>
          <w:kern w:val="0"/>
          <w:sz w:val="32"/>
          <w:szCs w:val="32"/>
          <w:lang w:val="en-US" w:eastAsia="zh-CN"/>
        </w:rPr>
        <w:t>2024年</w:t>
      </w:r>
      <w:r>
        <w:rPr>
          <w:rFonts w:hint="eastAsia" w:ascii="仿宋" w:hAnsi="仿宋" w:eastAsia="仿宋" w:cs="仿宋"/>
          <w:kern w:val="0"/>
          <w:sz w:val="32"/>
          <w:szCs w:val="32"/>
        </w:rPr>
        <w:t>缴纳土增税及资产处置应缴税费等大额资金项目</w:t>
      </w:r>
      <w:r>
        <w:rPr>
          <w:rFonts w:hint="eastAsia" w:ascii="仿宋" w:hAnsi="仿宋" w:eastAsia="仿宋" w:cs="仿宋"/>
          <w:kern w:val="0"/>
          <w:sz w:val="32"/>
          <w:szCs w:val="32"/>
          <w:lang w:eastAsia="zh-CN"/>
        </w:rPr>
        <w:t>较</w:t>
      </w:r>
      <w:r>
        <w:rPr>
          <w:rFonts w:hint="eastAsia" w:ascii="仿宋" w:hAnsi="仿宋" w:eastAsia="仿宋" w:cs="仿宋"/>
          <w:kern w:val="0"/>
          <w:sz w:val="32"/>
          <w:szCs w:val="32"/>
          <w:lang w:val="en-US" w:eastAsia="zh-CN"/>
        </w:rPr>
        <w:t>2023年</w:t>
      </w:r>
      <w:r>
        <w:rPr>
          <w:rFonts w:hint="eastAsia" w:ascii="仿宋" w:hAnsi="仿宋" w:eastAsia="仿宋" w:cs="仿宋"/>
          <w:kern w:val="0"/>
          <w:sz w:val="32"/>
          <w:szCs w:val="32"/>
          <w:lang w:eastAsia="zh-CN"/>
        </w:rPr>
        <w:t>减少。</w:t>
      </w:r>
    </w:p>
    <w:p>
      <w:pPr>
        <w:spacing w:line="578" w:lineRule="exact"/>
        <w:ind w:firstLine="640" w:firstLineChars="200"/>
        <w:jc w:val="left"/>
        <w:rPr>
          <w:rFonts w:ascii="仿宋_GB2312" w:eastAsia="仿宋_GB2312" w:cs="仿宋_GB2312"/>
          <w:kern w:val="0"/>
          <w:sz w:val="32"/>
          <w:szCs w:val="32"/>
        </w:rPr>
      </w:pPr>
      <w:r>
        <w:rPr>
          <w:rFonts w:hint="eastAsia" w:ascii="仿宋" w:hAnsi="仿宋" w:eastAsia="仿宋" w:cs="仿宋"/>
          <w:kern w:val="0"/>
          <w:sz w:val="32"/>
          <w:szCs w:val="32"/>
        </w:rPr>
        <w:t>本部门202</w:t>
      </w: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年度形成的财政拨款收支为一般公共预算财政拨款</w:t>
      </w:r>
      <w:r>
        <w:rPr>
          <w:rFonts w:hint="eastAsia" w:ascii="仿宋" w:hAnsi="仿宋" w:eastAsia="仿宋" w:cs="仿宋"/>
          <w:kern w:val="0"/>
          <w:sz w:val="32"/>
          <w:szCs w:val="32"/>
          <w:lang w:eastAsia="zh-CN"/>
        </w:rPr>
        <w:t>和政府性基金财政拨款</w:t>
      </w:r>
      <w:r>
        <w:rPr>
          <w:rFonts w:hint="eastAsia" w:ascii="仿宋" w:hAnsi="仿宋" w:eastAsia="仿宋" w:cs="仿宋"/>
          <w:kern w:val="0"/>
          <w:sz w:val="32"/>
          <w:szCs w:val="32"/>
        </w:rPr>
        <w:t>，其中</w:t>
      </w:r>
      <w:r>
        <w:rPr>
          <w:rFonts w:hint="eastAsia" w:ascii="仿宋" w:hAnsi="仿宋" w:eastAsia="仿宋" w:cs="仿宋"/>
          <w:kern w:val="0"/>
          <w:sz w:val="32"/>
          <w:szCs w:val="32"/>
          <w:lang w:eastAsia="zh-CN"/>
        </w:rPr>
        <w:t>一般公共预算财政拨款</w:t>
      </w:r>
      <w:r>
        <w:rPr>
          <w:rFonts w:hint="eastAsia" w:ascii="仿宋" w:hAnsi="仿宋" w:eastAsia="仿宋" w:cs="仿宋"/>
          <w:kern w:val="0"/>
          <w:sz w:val="32"/>
          <w:szCs w:val="32"/>
        </w:rPr>
        <w:t>收入</w:t>
      </w:r>
      <w:r>
        <w:rPr>
          <w:rFonts w:hint="eastAsia" w:ascii="仿宋" w:hAnsi="仿宋" w:eastAsia="仿宋" w:cs="仿宋"/>
          <w:kern w:val="0"/>
          <w:sz w:val="32"/>
          <w:szCs w:val="32"/>
          <w:lang w:val="en-US" w:eastAsia="zh-CN"/>
        </w:rPr>
        <w:t>2404.5</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118.83</w:t>
      </w:r>
      <w:r>
        <w:rPr>
          <w:rFonts w:hint="eastAsia" w:ascii="仿宋" w:hAnsi="仿宋" w:eastAsia="仿宋" w:cs="仿宋"/>
          <w:kern w:val="0"/>
          <w:sz w:val="32"/>
          <w:szCs w:val="32"/>
        </w:rPr>
        <w:t>%,比年初预算增加</w:t>
      </w:r>
      <w:r>
        <w:rPr>
          <w:rFonts w:hint="eastAsia" w:ascii="仿宋" w:hAnsi="仿宋" w:eastAsia="仿宋" w:cs="仿宋"/>
          <w:kern w:val="0"/>
          <w:sz w:val="32"/>
          <w:szCs w:val="32"/>
          <w:lang w:val="en-US" w:eastAsia="zh-CN"/>
        </w:rPr>
        <w:t>381.1</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人员工资正常升级和调整工资标准，基本支出较预算增加</w:t>
      </w:r>
      <w:r>
        <w:rPr>
          <w:rFonts w:hint="eastAsia" w:ascii="仿宋" w:hAnsi="仿宋" w:eastAsia="仿宋" w:cs="仿宋"/>
          <w:kern w:val="0"/>
          <w:sz w:val="32"/>
          <w:szCs w:val="32"/>
          <w:lang w:val="en-US" w:eastAsia="zh-CN"/>
        </w:rPr>
        <w:t>430.5万元</w:t>
      </w:r>
      <w:r>
        <w:rPr>
          <w:rFonts w:hint="eastAsia" w:ascii="仿宋_GB2312" w:hAnsi="仿宋_GB2312" w:eastAsia="仿宋_GB2312" w:cs="仿宋_GB2312"/>
          <w:kern w:val="0"/>
          <w:sz w:val="32"/>
          <w:szCs w:val="32"/>
          <w:lang w:eastAsia="zh-CN"/>
        </w:rPr>
        <w:t>；</w:t>
      </w:r>
      <w:r>
        <w:rPr>
          <w:rFonts w:hint="eastAsia" w:ascii="仿宋" w:hAnsi="仿宋" w:eastAsia="仿宋" w:cs="仿宋"/>
          <w:kern w:val="0"/>
          <w:sz w:val="32"/>
          <w:szCs w:val="32"/>
          <w:lang w:eastAsia="zh-CN"/>
        </w:rPr>
        <w:t>政府性基金收入</w:t>
      </w:r>
      <w:r>
        <w:rPr>
          <w:rFonts w:hint="eastAsia" w:ascii="仿宋" w:hAnsi="仿宋" w:eastAsia="仿宋" w:cs="仿宋"/>
          <w:kern w:val="0"/>
          <w:sz w:val="32"/>
          <w:szCs w:val="32"/>
          <w:lang w:val="en-US" w:eastAsia="zh-CN"/>
        </w:rPr>
        <w:t>1102.85</w:t>
      </w:r>
      <w:r>
        <w:rPr>
          <w:rFonts w:hint="eastAsia" w:ascii="仿宋" w:hAnsi="仿宋" w:eastAsia="仿宋" w:cs="仿宋"/>
          <w:kern w:val="0"/>
          <w:sz w:val="32"/>
          <w:szCs w:val="32"/>
        </w:rPr>
        <w:t>万元,比年初预算</w:t>
      </w:r>
      <w:r>
        <w:rPr>
          <w:rFonts w:hint="eastAsia" w:ascii="仿宋" w:hAnsi="仿宋" w:eastAsia="仿宋" w:cs="仿宋"/>
          <w:kern w:val="0"/>
          <w:sz w:val="32"/>
          <w:szCs w:val="32"/>
          <w:lang w:eastAsia="zh-CN"/>
        </w:rPr>
        <w:t>增加</w:t>
      </w:r>
      <w:r>
        <w:rPr>
          <w:rFonts w:hint="eastAsia" w:ascii="仿宋" w:hAnsi="仿宋" w:eastAsia="仿宋" w:cs="仿宋"/>
          <w:kern w:val="0"/>
          <w:sz w:val="32"/>
          <w:szCs w:val="32"/>
          <w:lang w:val="en-US" w:eastAsia="zh-CN"/>
        </w:rPr>
        <w:t>1102.85</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w:t>
      </w:r>
      <w:r>
        <w:rPr>
          <w:rFonts w:hint="eastAsia" w:ascii="仿宋" w:hAnsi="仿宋" w:eastAsia="仿宋" w:cs="仿宋"/>
          <w:kern w:val="0"/>
          <w:sz w:val="32"/>
          <w:szCs w:val="32"/>
          <w:lang w:eastAsia="zh-CN"/>
        </w:rPr>
        <w:t>是根</w:t>
      </w:r>
      <w:r>
        <w:rPr>
          <w:rFonts w:hint="eastAsia" w:ascii="仿宋" w:hAnsi="仿宋" w:eastAsia="仿宋" w:cs="仿宋"/>
          <w:kern w:val="0"/>
          <w:sz w:val="32"/>
          <w:szCs w:val="32"/>
        </w:rPr>
        <w:t>据区委区政府安排，</w:t>
      </w:r>
      <w:r>
        <w:rPr>
          <w:rFonts w:hint="eastAsia" w:ascii="仿宋" w:hAnsi="仿宋" w:eastAsia="仿宋" w:cs="仿宋"/>
          <w:kern w:val="0"/>
          <w:sz w:val="32"/>
          <w:szCs w:val="32"/>
          <w:lang w:eastAsia="zh-CN"/>
        </w:rPr>
        <w:t>今年我局新增返还曲寨水泥铁路专线成本费用。</w:t>
      </w:r>
    </w:p>
    <w:p>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部门整体支出绩效目标、指标</w:t>
      </w:r>
    </w:p>
    <w:p>
      <w:pPr>
        <w:pStyle w:val="7"/>
        <w:rPr>
          <w:rFonts w:ascii="仿宋" w:hAnsi="仿宋" w:eastAsia="仿宋" w:cs="仿宋"/>
          <w:sz w:val="32"/>
          <w:szCs w:val="32"/>
        </w:rPr>
      </w:pPr>
      <w:r>
        <w:rPr>
          <w:rFonts w:hint="eastAsia" w:ascii="仿宋" w:hAnsi="仿宋" w:eastAsia="仿宋" w:cs="仿宋"/>
          <w:sz w:val="32"/>
          <w:szCs w:val="32"/>
        </w:rPr>
        <w:t>以深入学习宣传贯彻党的十九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中求进，稳定政策预期、强化风险管理，努力为新时代全面建设美丽鹿泉提供坚强财政支撑。</w:t>
      </w:r>
    </w:p>
    <w:p>
      <w:pPr>
        <w:pStyle w:val="8"/>
        <w:rPr>
          <w:rFonts w:ascii="仿宋" w:hAnsi="仿宋" w:eastAsia="仿宋" w:cs="仿宋"/>
          <w:sz w:val="32"/>
          <w:szCs w:val="32"/>
        </w:rPr>
      </w:pPr>
      <w:r>
        <w:rPr>
          <w:rFonts w:hint="eastAsia" w:ascii="仿宋" w:hAnsi="仿宋" w:eastAsia="仿宋" w:cs="仿宋"/>
          <w:sz w:val="32"/>
          <w:szCs w:val="32"/>
        </w:rPr>
        <w:t>1、财政综合实力进一步增强</w:t>
      </w:r>
    </w:p>
    <w:p>
      <w:pPr>
        <w:pStyle w:val="8"/>
        <w:rPr>
          <w:rFonts w:ascii="仿宋" w:hAnsi="仿宋" w:eastAsia="仿宋" w:cs="仿宋"/>
          <w:sz w:val="32"/>
          <w:szCs w:val="32"/>
        </w:rPr>
      </w:pPr>
      <w:r>
        <w:rPr>
          <w:rFonts w:hint="eastAsia" w:ascii="仿宋" w:hAnsi="仿宋" w:eastAsia="仿宋" w:cs="仿宋"/>
          <w:sz w:val="32"/>
          <w:szCs w:val="32"/>
        </w:rPr>
        <w:t>绩效目标：财政收入规模得到提升，财源基础不断壮大，可用财力稳步增长；争取上级支持有力有效，对我市的支持力度进一步加大。</w:t>
      </w:r>
    </w:p>
    <w:p>
      <w:pPr>
        <w:pStyle w:val="8"/>
        <w:rPr>
          <w:rFonts w:ascii="仿宋" w:hAnsi="仿宋" w:eastAsia="仿宋" w:cs="仿宋"/>
          <w:sz w:val="32"/>
          <w:szCs w:val="32"/>
        </w:rPr>
      </w:pPr>
      <w:r>
        <w:rPr>
          <w:rFonts w:hint="eastAsia" w:ascii="仿宋" w:hAnsi="仿宋" w:eastAsia="仿宋" w:cs="仿宋"/>
          <w:sz w:val="32"/>
          <w:szCs w:val="32"/>
        </w:rPr>
        <w:t>绩效指标：预计202</w:t>
      </w:r>
      <w:r>
        <w:rPr>
          <w:rFonts w:hint="eastAsia" w:ascii="仿宋" w:hAnsi="仿宋" w:eastAsia="仿宋" w:cs="仿宋"/>
          <w:sz w:val="32"/>
          <w:szCs w:val="32"/>
          <w:lang w:val="en-US" w:eastAsia="zh-CN"/>
        </w:rPr>
        <w:t>4</w:t>
      </w:r>
      <w:r>
        <w:rPr>
          <w:rFonts w:hint="eastAsia" w:ascii="仿宋" w:hAnsi="仿宋" w:eastAsia="仿宋" w:cs="仿宋"/>
          <w:sz w:val="32"/>
          <w:szCs w:val="32"/>
        </w:rPr>
        <w:t>年全区全部财政收入</w:t>
      </w:r>
      <w:r>
        <w:rPr>
          <w:rFonts w:hint="eastAsia" w:ascii="仿宋" w:hAnsi="仿宋" w:eastAsia="仿宋" w:cs="仿宋"/>
          <w:sz w:val="32"/>
          <w:szCs w:val="32"/>
          <w:lang w:val="en-US" w:eastAsia="zh-CN"/>
        </w:rPr>
        <w:t>78.53</w:t>
      </w:r>
      <w:r>
        <w:rPr>
          <w:rFonts w:hint="eastAsia" w:ascii="仿宋" w:hAnsi="仿宋" w:eastAsia="仿宋" w:cs="仿宋"/>
          <w:sz w:val="32"/>
          <w:szCs w:val="32"/>
        </w:rPr>
        <w:t>亿元，同比增长</w:t>
      </w:r>
      <w:r>
        <w:rPr>
          <w:rFonts w:hint="eastAsia" w:ascii="仿宋" w:hAnsi="仿宋" w:eastAsia="仿宋" w:cs="仿宋"/>
          <w:sz w:val="32"/>
          <w:szCs w:val="32"/>
          <w:lang w:val="en-US" w:eastAsia="zh-CN"/>
        </w:rPr>
        <w:t>8</w:t>
      </w:r>
      <w:r>
        <w:rPr>
          <w:rFonts w:hint="eastAsia" w:ascii="仿宋" w:hAnsi="仿宋" w:eastAsia="仿宋" w:cs="仿宋"/>
          <w:sz w:val="32"/>
          <w:szCs w:val="32"/>
        </w:rPr>
        <w:t>%；一般公共预算收入</w:t>
      </w:r>
      <w:r>
        <w:rPr>
          <w:rFonts w:hint="eastAsia" w:ascii="仿宋" w:hAnsi="仿宋" w:eastAsia="仿宋" w:cs="仿宋"/>
          <w:sz w:val="32"/>
          <w:szCs w:val="32"/>
          <w:lang w:val="en-US" w:eastAsia="zh-CN"/>
        </w:rPr>
        <w:t>46.81</w:t>
      </w:r>
      <w:r>
        <w:rPr>
          <w:rFonts w:hint="eastAsia" w:ascii="仿宋" w:hAnsi="仿宋" w:eastAsia="仿宋" w:cs="仿宋"/>
          <w:sz w:val="32"/>
          <w:szCs w:val="32"/>
        </w:rPr>
        <w:t>亿元，同比增长8%。合理调度库款，加快预算执行进度，确保完成全年任务目标。</w:t>
      </w:r>
    </w:p>
    <w:p>
      <w:pPr>
        <w:pStyle w:val="8"/>
        <w:rPr>
          <w:rFonts w:ascii="仿宋" w:hAnsi="仿宋" w:eastAsia="仿宋" w:cs="仿宋"/>
          <w:sz w:val="32"/>
          <w:szCs w:val="32"/>
        </w:rPr>
      </w:pPr>
      <w:r>
        <w:rPr>
          <w:rFonts w:hint="eastAsia" w:ascii="仿宋" w:hAnsi="仿宋" w:eastAsia="仿宋" w:cs="仿宋"/>
          <w:sz w:val="32"/>
          <w:szCs w:val="32"/>
        </w:rPr>
        <w:t>2、助推发展水平进一步提升</w:t>
      </w:r>
    </w:p>
    <w:p>
      <w:pPr>
        <w:pStyle w:val="8"/>
        <w:rPr>
          <w:rFonts w:ascii="仿宋" w:hAnsi="仿宋" w:eastAsia="仿宋" w:cs="仿宋"/>
          <w:sz w:val="32"/>
          <w:szCs w:val="32"/>
        </w:rPr>
      </w:pPr>
      <w:r>
        <w:rPr>
          <w:rFonts w:hint="eastAsia" w:ascii="仿宋" w:hAnsi="仿宋" w:eastAsia="仿宋" w:cs="仿宋"/>
          <w:sz w:val="32"/>
          <w:szCs w:val="32"/>
        </w:rPr>
        <w:t>绩效目标：积极财政政策得到有效落实，“4+4”现代产业、“四种类型”经济等重大部署得到较好保障，减税降费政策全面落实，减轻企业负担的成效更加明显。</w:t>
      </w:r>
    </w:p>
    <w:p>
      <w:pPr>
        <w:pStyle w:val="8"/>
        <w:rPr>
          <w:rFonts w:ascii="仿宋" w:hAnsi="仿宋" w:eastAsia="仿宋" w:cs="仿宋"/>
          <w:sz w:val="32"/>
          <w:szCs w:val="32"/>
        </w:rPr>
      </w:pPr>
      <w:r>
        <w:rPr>
          <w:rFonts w:hint="eastAsia" w:ascii="仿宋" w:hAnsi="仿宋" w:eastAsia="仿宋" w:cs="仿宋"/>
          <w:sz w:val="32"/>
          <w:szCs w:val="32"/>
        </w:rPr>
        <w:t>绩效指标：研究制定财政促进产业发展的政策措施，落实落细国家和省市减税降费政策，巩固减税降费成效，进一步激发市场活力。</w:t>
      </w:r>
    </w:p>
    <w:p>
      <w:pPr>
        <w:pStyle w:val="8"/>
        <w:rPr>
          <w:rFonts w:ascii="仿宋" w:hAnsi="仿宋" w:eastAsia="仿宋" w:cs="仿宋"/>
          <w:sz w:val="32"/>
          <w:szCs w:val="32"/>
        </w:rPr>
      </w:pPr>
      <w:r>
        <w:rPr>
          <w:rFonts w:hint="eastAsia" w:ascii="仿宋" w:hAnsi="仿宋" w:eastAsia="仿宋" w:cs="仿宋"/>
          <w:sz w:val="32"/>
          <w:szCs w:val="32"/>
        </w:rPr>
        <w:t>3、保障民生力度进一步加大</w:t>
      </w:r>
    </w:p>
    <w:p>
      <w:pPr>
        <w:pStyle w:val="8"/>
        <w:rPr>
          <w:rFonts w:ascii="仿宋" w:hAnsi="仿宋" w:eastAsia="仿宋" w:cs="仿宋"/>
          <w:sz w:val="32"/>
          <w:szCs w:val="32"/>
        </w:rPr>
      </w:pPr>
      <w:r>
        <w:rPr>
          <w:rFonts w:hint="eastAsia" w:ascii="仿宋" w:hAnsi="仿宋" w:eastAsia="仿宋" w:cs="仿宋"/>
          <w:sz w:val="32"/>
          <w:szCs w:val="32"/>
        </w:rPr>
        <w:t>绩效目标：全面落实各项民生政策，就业、教育、医疗、养老、低保等普惠性、基础性、兜底性民生保障水平持续提高，人民群众获得感、幸福感、安全感不断增强。</w:t>
      </w:r>
    </w:p>
    <w:p>
      <w:pPr>
        <w:pStyle w:val="8"/>
        <w:rPr>
          <w:rFonts w:ascii="仿宋" w:hAnsi="仿宋" w:eastAsia="仿宋" w:cs="仿宋"/>
          <w:sz w:val="32"/>
          <w:szCs w:val="32"/>
        </w:rPr>
      </w:pPr>
      <w:r>
        <w:rPr>
          <w:rFonts w:hint="eastAsia" w:ascii="仿宋" w:hAnsi="仿宋" w:eastAsia="仿宋" w:cs="仿宋"/>
          <w:sz w:val="32"/>
          <w:szCs w:val="32"/>
        </w:rPr>
        <w:t>绩效指标：全区民生支出占比保持在80%以上，惠民利民10件实事得到有效资金保障。</w:t>
      </w:r>
    </w:p>
    <w:p>
      <w:pPr>
        <w:pStyle w:val="8"/>
        <w:rPr>
          <w:rFonts w:ascii="仿宋" w:hAnsi="仿宋" w:eastAsia="仿宋" w:cs="仿宋"/>
          <w:sz w:val="32"/>
          <w:szCs w:val="32"/>
        </w:rPr>
      </w:pPr>
      <w:r>
        <w:rPr>
          <w:rFonts w:hint="eastAsia" w:ascii="仿宋" w:hAnsi="仿宋" w:eastAsia="仿宋" w:cs="仿宋"/>
          <w:sz w:val="32"/>
          <w:szCs w:val="32"/>
        </w:rPr>
        <w:t>4、政府债务风险持续平稳</w:t>
      </w:r>
    </w:p>
    <w:p>
      <w:pPr>
        <w:pStyle w:val="8"/>
        <w:rPr>
          <w:rFonts w:ascii="仿宋" w:hAnsi="仿宋" w:eastAsia="仿宋" w:cs="仿宋"/>
          <w:sz w:val="32"/>
          <w:szCs w:val="32"/>
        </w:rPr>
      </w:pPr>
      <w:r>
        <w:rPr>
          <w:rFonts w:hint="eastAsia" w:ascii="仿宋" w:hAnsi="仿宋" w:eastAsia="仿宋" w:cs="仿宋"/>
          <w:sz w:val="32"/>
          <w:szCs w:val="32"/>
        </w:rPr>
        <w:t>绩效目标：政府债务保持合理规模，债务风险水平总体平稳可控。</w:t>
      </w:r>
    </w:p>
    <w:p>
      <w:pPr>
        <w:pStyle w:val="8"/>
        <w:rPr>
          <w:rFonts w:ascii="仿宋" w:hAnsi="仿宋" w:eastAsia="仿宋" w:cs="仿宋"/>
          <w:sz w:val="32"/>
          <w:szCs w:val="32"/>
        </w:rPr>
      </w:pPr>
      <w:r>
        <w:rPr>
          <w:rFonts w:hint="eastAsia" w:ascii="仿宋" w:hAnsi="仿宋" w:eastAsia="仿宋" w:cs="仿宋"/>
          <w:sz w:val="32"/>
          <w:szCs w:val="32"/>
        </w:rPr>
        <w:t>绩效指标：政府债务不发生违约事件，全年不发生系统性区域性风险。</w:t>
      </w:r>
    </w:p>
    <w:p>
      <w:pPr>
        <w:pStyle w:val="8"/>
        <w:rPr>
          <w:rFonts w:ascii="仿宋" w:hAnsi="仿宋" w:eastAsia="仿宋" w:cs="仿宋"/>
          <w:sz w:val="32"/>
          <w:szCs w:val="32"/>
        </w:rPr>
      </w:pPr>
      <w:r>
        <w:rPr>
          <w:rFonts w:hint="eastAsia" w:ascii="仿宋" w:hAnsi="仿宋" w:eastAsia="仿宋" w:cs="仿宋"/>
          <w:sz w:val="32"/>
          <w:szCs w:val="32"/>
        </w:rPr>
        <w:t>5、现代财政制度进一步健全</w:t>
      </w:r>
    </w:p>
    <w:p>
      <w:pPr>
        <w:pStyle w:val="8"/>
        <w:rPr>
          <w:rFonts w:ascii="仿宋" w:hAnsi="仿宋" w:eastAsia="仿宋" w:cs="仿宋"/>
          <w:sz w:val="32"/>
          <w:szCs w:val="32"/>
        </w:rPr>
      </w:pPr>
      <w:r>
        <w:rPr>
          <w:rFonts w:hint="eastAsia" w:ascii="仿宋" w:hAnsi="仿宋" w:eastAsia="仿宋" w:cs="仿宋"/>
          <w:sz w:val="32"/>
          <w:szCs w:val="32"/>
        </w:rP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8"/>
        <w:rPr>
          <w:rFonts w:ascii="仿宋" w:hAnsi="仿宋" w:eastAsia="仿宋" w:cs="仿宋"/>
          <w:sz w:val="32"/>
          <w:szCs w:val="32"/>
        </w:rPr>
      </w:pPr>
      <w:r>
        <w:rPr>
          <w:rFonts w:hint="eastAsia" w:ascii="仿宋" w:hAnsi="仿宋" w:eastAsia="仿宋" w:cs="仿宋"/>
          <w:sz w:val="32"/>
          <w:szCs w:val="32"/>
        </w:rPr>
        <w:t>绩效指标：202</w:t>
      </w:r>
      <w:r>
        <w:rPr>
          <w:rFonts w:hint="eastAsia" w:ascii="仿宋" w:hAnsi="仿宋" w:eastAsia="仿宋" w:cs="仿宋"/>
          <w:sz w:val="32"/>
          <w:szCs w:val="32"/>
          <w:lang w:val="en-US" w:eastAsia="zh-CN"/>
        </w:rPr>
        <w:t>4</w:t>
      </w:r>
      <w:r>
        <w:rPr>
          <w:rFonts w:hint="eastAsia" w:ascii="仿宋" w:hAnsi="仿宋" w:eastAsia="仿宋" w:cs="仿宋"/>
          <w:sz w:val="32"/>
          <w:szCs w:val="32"/>
        </w:rPr>
        <w:t>年基本建成全方位、全过程、全覆盖的预算绩效管理体系，区财政与区直各部门及乡镇财政事权和支出责任划分更加清晰。</w:t>
      </w:r>
    </w:p>
    <w:p>
      <w:pPr>
        <w:pStyle w:val="8"/>
        <w:rPr>
          <w:rFonts w:ascii="仿宋" w:hAnsi="仿宋" w:eastAsia="仿宋" w:cs="仿宋"/>
          <w:sz w:val="32"/>
          <w:szCs w:val="32"/>
        </w:rPr>
      </w:pPr>
      <w:r>
        <w:rPr>
          <w:rFonts w:hint="eastAsia" w:ascii="仿宋" w:hAnsi="仿宋" w:eastAsia="仿宋" w:cs="仿宋"/>
          <w:sz w:val="32"/>
          <w:szCs w:val="32"/>
        </w:rPr>
        <w:t>6、财政财务管理进一步规范</w:t>
      </w:r>
    </w:p>
    <w:p>
      <w:pPr>
        <w:pStyle w:val="8"/>
        <w:rPr>
          <w:rFonts w:ascii="仿宋" w:hAnsi="仿宋" w:eastAsia="仿宋" w:cs="仿宋"/>
          <w:sz w:val="32"/>
          <w:szCs w:val="32"/>
        </w:rPr>
      </w:pPr>
      <w:r>
        <w:rPr>
          <w:rFonts w:hint="eastAsia" w:ascii="仿宋" w:hAnsi="仿宋" w:eastAsia="仿宋" w:cs="仿宋"/>
          <w:sz w:val="32"/>
          <w:szCs w:val="32"/>
        </w:rP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adjustRightInd w:val="0"/>
        <w:snapToGrid w:val="0"/>
        <w:spacing w:line="560" w:lineRule="exact"/>
        <w:ind w:left="420" w:leftChars="200"/>
        <w:rPr>
          <w:rFonts w:ascii="仿宋" w:hAnsi="仿宋" w:eastAsia="仿宋" w:cs="仿宋"/>
          <w:b/>
          <w:bCs/>
          <w:sz w:val="32"/>
          <w:szCs w:val="32"/>
        </w:rPr>
      </w:pPr>
      <w:r>
        <w:rPr>
          <w:rFonts w:hint="eastAsia" w:ascii="仿宋" w:hAnsi="仿宋" w:eastAsia="仿宋" w:cs="仿宋"/>
          <w:sz w:val="32"/>
          <w:szCs w:val="32"/>
        </w:rPr>
        <w:t>绩效指标：区直部门决算在财政部门批复之日起20日内公开，区直部门决算公开率达到100%，财政支出达到95%以上，预算项目绩效评价实现全覆盖</w:t>
      </w:r>
      <w:r>
        <w:rPr>
          <w:rFonts w:hint="eastAsia" w:ascii="宋体" w:hAnsi="宋体" w:cs="宋体"/>
          <w:sz w:val="32"/>
          <w:szCs w:val="32"/>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仿宋" w:hAnsi="仿宋" w:eastAsia="仿宋" w:cs="楷体_GB2312"/>
          <w:sz w:val="32"/>
          <w:szCs w:val="32"/>
        </w:rPr>
      </w:pPr>
      <w:r>
        <w:rPr>
          <w:rFonts w:hint="eastAsia" w:ascii="仿宋" w:hAnsi="仿宋" w:eastAsia="仿宋" w:cs="楷体_GB2312"/>
          <w:b/>
          <w:bCs/>
          <w:sz w:val="32"/>
          <w:szCs w:val="32"/>
        </w:rPr>
        <w:t>（一）自评的组织工作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numPr>
          <w:ilvl w:val="0"/>
          <w:numId w:val="2"/>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（三）评价工作过程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第三阶段：由评价工作小组对项目进行抽样核查，总结评价结论，最终形成自评报告，报区财政局。</w:t>
      </w:r>
    </w:p>
    <w:p>
      <w:pPr>
        <w:spacing w:line="560" w:lineRule="exact"/>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hint="eastAsia" w:ascii="仿宋" w:hAnsi="仿宋" w:eastAsia="仿宋" w:cs="仿宋"/>
          <w:kern w:val="0"/>
          <w:sz w:val="32"/>
          <w:szCs w:val="32"/>
        </w:rPr>
        <w:t>组织对202</w:t>
      </w: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年度一般公共预算</w:t>
      </w:r>
      <w:r>
        <w:rPr>
          <w:rFonts w:hint="eastAsia" w:ascii="仿宋" w:hAnsi="仿宋" w:eastAsia="仿宋" w:cs="仿宋"/>
          <w:kern w:val="0"/>
          <w:sz w:val="32"/>
          <w:szCs w:val="32"/>
          <w:lang w:eastAsia="zh-CN"/>
        </w:rPr>
        <w:t>和政府性基金</w:t>
      </w:r>
      <w:r>
        <w:rPr>
          <w:rFonts w:hint="eastAsia" w:ascii="仿宋" w:hAnsi="仿宋" w:eastAsia="仿宋" w:cs="仿宋"/>
          <w:kern w:val="0"/>
          <w:sz w:val="32"/>
          <w:szCs w:val="32"/>
        </w:rPr>
        <w:t>2</w:t>
      </w:r>
      <w:r>
        <w:rPr>
          <w:rFonts w:hint="eastAsia" w:ascii="仿宋" w:hAnsi="仿宋" w:eastAsia="仿宋" w:cs="仿宋"/>
          <w:kern w:val="0"/>
          <w:sz w:val="32"/>
          <w:szCs w:val="32"/>
          <w:lang w:val="en-US" w:eastAsia="zh-CN"/>
        </w:rPr>
        <w:t>0</w:t>
      </w:r>
      <w:r>
        <w:rPr>
          <w:rFonts w:hint="eastAsia" w:ascii="仿宋" w:hAnsi="仿宋" w:eastAsia="仿宋" w:cs="仿宋"/>
          <w:kern w:val="0"/>
          <w:sz w:val="32"/>
          <w:szCs w:val="32"/>
        </w:rPr>
        <w:t>个项目全面开展绩效自评，共涉及资金</w:t>
      </w:r>
      <w:r>
        <w:rPr>
          <w:rFonts w:hint="eastAsia" w:ascii="仿宋" w:hAnsi="仿宋" w:eastAsia="仿宋" w:cs="仿宋"/>
          <w:kern w:val="0"/>
          <w:sz w:val="32"/>
          <w:szCs w:val="32"/>
          <w:lang w:val="en-US" w:eastAsia="zh-CN"/>
        </w:rPr>
        <w:t>1528.98</w:t>
      </w:r>
      <w:r>
        <w:rPr>
          <w:rFonts w:hint="eastAsia" w:ascii="仿宋" w:hAnsi="仿宋" w:eastAsia="仿宋" w:cs="仿宋"/>
          <w:kern w:val="0"/>
          <w:sz w:val="32"/>
          <w:szCs w:val="32"/>
        </w:rPr>
        <w:t>万元。</w:t>
      </w:r>
      <w:r>
        <w:rPr>
          <w:rFonts w:hint="eastAsia" w:ascii="仿宋" w:hAnsi="仿宋" w:eastAsia="仿宋" w:cs="仿宋"/>
          <w:sz w:val="32"/>
          <w:szCs w:val="32"/>
        </w:rPr>
        <w:t xml:space="preserve">总体项目的实施，形成了较好的成果，对预算、国库集中支付、预算绩效、评审审核、网络运行保障等各个方面均起到了积极意义，对鹿泉区经济社会发展提出了较好的意见建议，为政策制定提供了参考依据，为区领导提供了较好参谋成果，助推了鹿泉区高速健康发展。 </w:t>
      </w:r>
    </w:p>
    <w:p>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分项绩效目标实现情况及指标分析</w:t>
      </w:r>
    </w:p>
    <w:p>
      <w:pPr>
        <w:spacing w:line="560" w:lineRule="exact"/>
        <w:ind w:left="16" w:hanging="16" w:hangingChars="5"/>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 xml:space="preserve">    </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年本部门绩效自评项目共2</w:t>
      </w:r>
      <w:r>
        <w:rPr>
          <w:rFonts w:hint="eastAsia" w:ascii="仿宋_GB2312" w:hAnsi="仿宋_GB2312" w:eastAsia="仿宋_GB2312" w:cs="仿宋_GB2312"/>
          <w:kern w:val="0"/>
          <w:sz w:val="32"/>
          <w:szCs w:val="32"/>
          <w:lang w:val="en-US" w:eastAsia="zh-CN"/>
        </w:rPr>
        <w:t>0</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rPr>
        <w:t>其中评价等级为“优”项目</w:t>
      </w:r>
      <w:r>
        <w:rPr>
          <w:rFonts w:hint="eastAsia" w:ascii="仿宋_GB2312" w:hAnsi="仿宋_GB2312" w:eastAsia="仿宋_GB2312" w:cs="仿宋_GB2312"/>
          <w:kern w:val="0"/>
          <w:sz w:val="32"/>
          <w:szCs w:val="32"/>
          <w:lang w:val="en-US" w:eastAsia="zh-CN"/>
        </w:rPr>
        <w:t>19</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95</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其中评价等级为“</w:t>
      </w:r>
      <w:r>
        <w:rPr>
          <w:rFonts w:hint="eastAsia" w:ascii="仿宋_GB2312" w:hAnsi="仿宋_GB2312" w:eastAsia="仿宋_GB2312" w:cs="仿宋_GB2312"/>
          <w:kern w:val="0"/>
          <w:sz w:val="32"/>
          <w:szCs w:val="32"/>
          <w:lang w:eastAsia="zh-CN"/>
        </w:rPr>
        <w:t>良</w:t>
      </w:r>
      <w:r>
        <w:rPr>
          <w:rFonts w:hint="eastAsia" w:ascii="仿宋_GB2312" w:hAnsi="仿宋_GB2312" w:eastAsia="仿宋_GB2312" w:cs="仿宋_GB2312"/>
          <w:kern w:val="0"/>
          <w:sz w:val="32"/>
          <w:szCs w:val="32"/>
        </w:rPr>
        <w:t>”项目</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个，评</w:t>
      </w:r>
      <w:r>
        <w:rPr>
          <w:rFonts w:hint="eastAsia" w:ascii="仿宋_GB2312" w:hAnsi="仿宋_GB2312" w:eastAsia="仿宋_GB2312" w:cs="仿宋_GB2312"/>
          <w:kern w:val="0"/>
          <w:sz w:val="32"/>
          <w:szCs w:val="32"/>
          <w:lang w:eastAsia="zh-CN"/>
        </w:rPr>
        <w:t>良</w:t>
      </w:r>
      <w:r>
        <w:rPr>
          <w:rFonts w:hint="eastAsia" w:ascii="仿宋_GB2312" w:hAnsi="仿宋_GB2312" w:eastAsia="仿宋_GB2312" w:cs="仿宋_GB2312"/>
          <w:kern w:val="0"/>
          <w:sz w:val="32"/>
          <w:szCs w:val="32"/>
        </w:rPr>
        <w:t>率为</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详见下表。</w:t>
      </w:r>
    </w:p>
    <w:p>
      <w:pPr>
        <w:spacing w:line="560" w:lineRule="exact"/>
        <w:ind w:left="16" w:hanging="16" w:hangingChars="5"/>
        <w:rPr>
          <w:rFonts w:ascii="仿宋_GB2312" w:hAnsi="仿宋_GB2312" w:eastAsia="仿宋_GB2312" w:cs="仿宋_GB2312"/>
          <w:kern w:val="0"/>
          <w:sz w:val="32"/>
          <w:szCs w:val="32"/>
        </w:rPr>
      </w:pPr>
    </w:p>
    <w:tbl>
      <w:tblPr>
        <w:tblStyle w:val="4"/>
        <w:tblW w:w="9510" w:type="dxa"/>
        <w:tblInd w:w="0" w:type="dxa"/>
        <w:tblLayout w:type="fixed"/>
        <w:tblCellMar>
          <w:top w:w="15" w:type="dxa"/>
          <w:left w:w="15" w:type="dxa"/>
          <w:bottom w:w="15" w:type="dxa"/>
          <w:right w:w="15" w:type="dxa"/>
        </w:tblCellMar>
      </w:tblPr>
      <w:tblGrid>
        <w:gridCol w:w="703"/>
        <w:gridCol w:w="1811"/>
        <w:gridCol w:w="1529"/>
        <w:gridCol w:w="1082"/>
        <w:gridCol w:w="1210"/>
        <w:gridCol w:w="1046"/>
        <w:gridCol w:w="1089"/>
        <w:gridCol w:w="1032"/>
        <w:gridCol w:w="8"/>
      </w:tblGrid>
      <w:tr>
        <w:tblPrEx>
          <w:tblCellMar>
            <w:top w:w="15" w:type="dxa"/>
            <w:left w:w="15" w:type="dxa"/>
            <w:bottom w:w="15" w:type="dxa"/>
            <w:right w:w="15" w:type="dxa"/>
          </w:tblCellMar>
        </w:tblPrEx>
        <w:trPr>
          <w:gridAfter w:val="1"/>
          <w:wAfter w:w="8" w:type="dxa"/>
          <w:trHeight w:val="294" w:hRule="atLeast"/>
        </w:trPr>
        <w:tc>
          <w:tcPr>
            <w:tcW w:w="9502" w:type="dxa"/>
            <w:gridSpan w:val="8"/>
            <w:shd w:val="clear" w:color="auto" w:fill="auto"/>
            <w:vAlign w:val="center"/>
          </w:tcPr>
          <w:p>
            <w:pPr>
              <w:widowControl/>
              <w:textAlignment w:val="center"/>
              <w:rPr>
                <w:rFonts w:ascii="宋体" w:hAnsi="宋体" w:cs="宋体"/>
                <w:color w:val="000000"/>
                <w:sz w:val="44"/>
                <w:szCs w:val="44"/>
              </w:rPr>
            </w:pPr>
            <w:r>
              <w:rPr>
                <w:rFonts w:hint="eastAsia" w:ascii="宋体" w:hAnsi="宋体" w:cs="宋体"/>
                <w:color w:val="000000"/>
                <w:kern w:val="0"/>
                <w:sz w:val="44"/>
                <w:szCs w:val="44"/>
              </w:rPr>
              <w:t>部门绩效自评结果公开汇总表</w:t>
            </w:r>
          </w:p>
        </w:tc>
      </w:tr>
      <w:tr>
        <w:tblPrEx>
          <w:tblCellMar>
            <w:top w:w="15" w:type="dxa"/>
            <w:left w:w="15" w:type="dxa"/>
            <w:bottom w:w="15" w:type="dxa"/>
            <w:right w:w="15" w:type="dxa"/>
          </w:tblCellMar>
        </w:tblPrEx>
        <w:trPr>
          <w:gridAfter w:val="1"/>
          <w:wAfter w:w="8" w:type="dxa"/>
          <w:trHeight w:val="510" w:hRule="atLeast"/>
        </w:trPr>
        <w:tc>
          <w:tcPr>
            <w:tcW w:w="6335" w:type="dxa"/>
            <w:gridSpan w:val="5"/>
            <w:tcBorders>
              <w:bottom w:val="single" w:color="000000" w:sz="4" w:space="0"/>
            </w:tcBorders>
            <w:shd w:val="clear" w:color="auto" w:fill="auto"/>
            <w:vAlign w:val="center"/>
          </w:tcPr>
          <w:p>
            <w:pPr>
              <w:rPr>
                <w:rFonts w:ascii="仿宋" w:hAnsi="仿宋" w:eastAsia="仿宋" w:cs="仿宋"/>
                <w:color w:val="000000"/>
                <w:sz w:val="28"/>
                <w:szCs w:val="28"/>
              </w:rPr>
            </w:pPr>
            <w:r>
              <w:rPr>
                <w:rFonts w:hint="eastAsia" w:ascii="仿宋" w:hAnsi="仿宋" w:eastAsia="仿宋" w:cs="仿宋"/>
                <w:color w:val="000000"/>
                <w:kern w:val="0"/>
                <w:sz w:val="28"/>
                <w:szCs w:val="28"/>
              </w:rPr>
              <w:t>主管部门：石家庄市鹿泉区财政局</w:t>
            </w:r>
          </w:p>
        </w:tc>
        <w:tc>
          <w:tcPr>
            <w:tcW w:w="3167" w:type="dxa"/>
            <w:gridSpan w:val="3"/>
            <w:tcBorders>
              <w:bottom w:val="single" w:color="000000" w:sz="4" w:space="0"/>
            </w:tcBorders>
            <w:shd w:val="clear" w:color="auto" w:fill="auto"/>
            <w:vAlign w:val="center"/>
          </w:tcPr>
          <w:p>
            <w:pPr>
              <w:widowControl/>
              <w:jc w:val="righ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rPr>
              <w:t>单位：万元</w:t>
            </w:r>
          </w:p>
        </w:tc>
      </w:tr>
      <w:tr>
        <w:tblPrEx>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序号</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项目名称</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项目实施单位</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预算数</w:t>
            </w:r>
            <w:r>
              <w:rPr>
                <w:rFonts w:hint="eastAsia" w:ascii="仿宋" w:hAnsi="仿宋" w:eastAsia="仿宋" w:cs="仿宋"/>
                <w:color w:val="000000"/>
                <w:kern w:val="0"/>
                <w:sz w:val="24"/>
                <w:szCs w:val="24"/>
              </w:rPr>
              <w:br w:type="textWrapping"/>
            </w:r>
            <w:r>
              <w:rPr>
                <w:rFonts w:hint="eastAsia" w:ascii="仿宋" w:hAnsi="仿宋" w:eastAsia="仿宋" w:cs="仿宋"/>
                <w:color w:val="000000"/>
                <w:kern w:val="0"/>
                <w:sz w:val="24"/>
                <w:szCs w:val="24"/>
              </w:rPr>
              <w:t>（调整后）</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执行数</w:t>
            </w:r>
            <w:r>
              <w:rPr>
                <w:rFonts w:hint="eastAsia" w:ascii="仿宋" w:hAnsi="仿宋" w:eastAsia="仿宋" w:cs="仿宋"/>
                <w:color w:val="000000"/>
                <w:kern w:val="0"/>
                <w:sz w:val="24"/>
                <w:szCs w:val="24"/>
              </w:rPr>
              <w:br w:type="textWrapping"/>
            </w:r>
            <w:r>
              <w:rPr>
                <w:rFonts w:hint="eastAsia" w:ascii="仿宋" w:hAnsi="仿宋" w:eastAsia="仿宋" w:cs="仿宋"/>
                <w:color w:val="000000"/>
                <w:kern w:val="0"/>
                <w:sz w:val="24"/>
                <w:szCs w:val="24"/>
              </w:rPr>
              <w:t>（至202</w:t>
            </w:r>
            <w:r>
              <w:rPr>
                <w:rFonts w:hint="eastAsia" w:ascii="仿宋" w:hAnsi="仿宋" w:eastAsia="仿宋" w:cs="仿宋"/>
                <w:color w:val="000000"/>
                <w:kern w:val="0"/>
                <w:sz w:val="24"/>
                <w:szCs w:val="24"/>
                <w:lang w:val="en-US" w:eastAsia="zh-CN"/>
              </w:rPr>
              <w:t>4</w:t>
            </w:r>
            <w:r>
              <w:rPr>
                <w:rFonts w:hint="eastAsia" w:ascii="仿宋" w:hAnsi="仿宋" w:eastAsia="仿宋" w:cs="仿宋"/>
                <w:color w:val="000000"/>
                <w:kern w:val="0"/>
                <w:sz w:val="24"/>
                <w:szCs w:val="24"/>
              </w:rPr>
              <w:t>年底）</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结余交回财政数</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自评得分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自评结果应用意见</w:t>
            </w:r>
          </w:p>
        </w:tc>
      </w:tr>
      <w:tr>
        <w:tblPrEx>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仿宋" w:hAnsi="仿宋" w:eastAsia="仿宋" w:cs="仿宋"/>
                <w:sz w:val="24"/>
                <w:szCs w:val="24"/>
                <w:vertAlign w:val="baseline"/>
                <w:lang w:eastAsia="zh-CN"/>
              </w:rPr>
              <w:t>政府财务报告及内控制度编制委托业务费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0.15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0.15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90.3</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仿宋" w:hAnsi="仿宋" w:eastAsia="仿宋" w:cs="仿宋"/>
                <w:sz w:val="24"/>
                <w:szCs w:val="24"/>
                <w:vertAlign w:val="baseline"/>
                <w:lang w:eastAsia="zh-CN"/>
              </w:rPr>
              <w:t>占地补偿项目核查（旧欠）</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24.6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24.6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r>
      <w:tr>
        <w:tblPrEx>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财政改革业务费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33.312006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33.312006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税收专项检查服务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26.572225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26.572225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r>
      <w:tr>
        <w:tblPrEx>
          <w:tblCellMar>
            <w:top w:w="15" w:type="dxa"/>
            <w:left w:w="15" w:type="dxa"/>
            <w:bottom w:w="15" w:type="dxa"/>
            <w:right w:w="15" w:type="dxa"/>
          </w:tblCellMar>
        </w:tblPrEx>
        <w:trPr>
          <w:trHeight w:val="8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保密信息安全建设费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0.64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0.64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90.64</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返还曲寨水泥铁路专线成本费用</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1102.8466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仿宋" w:hAnsi="仿宋" w:eastAsia="仿宋" w:cs="仿宋"/>
                <w:color w:val="000000"/>
                <w:sz w:val="24"/>
                <w:szCs w:val="24"/>
              </w:rPr>
            </w:pPr>
            <w:r>
              <w:rPr>
                <w:rFonts w:hint="eastAsia" w:ascii="仿宋" w:hAnsi="仿宋" w:eastAsia="仿宋" w:cs="仿宋"/>
                <w:color w:val="000000"/>
                <w:sz w:val="24"/>
                <w:szCs w:val="24"/>
              </w:rPr>
              <w:t>1102.8466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委托拍卖佣金</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11.38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11.38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支付管网公司购买没收地上附着物应交税费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4.15267</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4.15267</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法律咨询、律师代理服务费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会议室终端建设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11.449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11.449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政府购买投资评审服务项目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150.481</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150.481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97.52</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财政专网等级保护测评及整改</w:t>
            </w:r>
          </w:p>
        </w:tc>
        <w:tc>
          <w:tcPr>
            <w:tcW w:w="152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8</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98</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财政专网运行维护费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29.64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29.64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机关服务专项经费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26.626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仿宋" w:hAnsi="仿宋" w:eastAsia="仿宋" w:cs="仿宋"/>
                <w:color w:val="000000"/>
                <w:sz w:val="24"/>
                <w:szCs w:val="24"/>
              </w:rPr>
            </w:pPr>
            <w:r>
              <w:rPr>
                <w:rFonts w:hint="eastAsia" w:ascii="仿宋" w:hAnsi="仿宋" w:eastAsia="仿宋" w:cs="仿宋"/>
                <w:color w:val="000000"/>
                <w:sz w:val="24"/>
                <w:szCs w:val="24"/>
              </w:rPr>
              <w:t>26.626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98.87</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网络运行维护、服务费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3.29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3.29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会计人员培训费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91</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预算绩效管理业务费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9.8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9.8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评估业务费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59.0403</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仿宋" w:hAnsi="仿宋" w:eastAsia="仿宋" w:cs="仿宋"/>
                <w:color w:val="000000"/>
                <w:sz w:val="24"/>
                <w:szCs w:val="24"/>
              </w:rPr>
            </w:pPr>
            <w:r>
              <w:rPr>
                <w:rFonts w:hint="eastAsia" w:ascii="仿宋" w:hAnsi="仿宋" w:eastAsia="仿宋" w:cs="仿宋"/>
                <w:color w:val="000000"/>
                <w:sz w:val="24"/>
                <w:szCs w:val="24"/>
              </w:rPr>
              <w:t>59.0403</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19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关于提前下达2024年省级农村财会人员培训资金预算的通知</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5.31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default"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97.6</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rPr>
              <w:t>20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wordWrap/>
              <w:adjustRightInd/>
              <w:snapToGrid w:val="0"/>
              <w:spacing w:line="360" w:lineRule="auto"/>
              <w:ind w:right="0" w:rightChars="0"/>
              <w:jc w:val="center"/>
              <w:textAlignment w:val="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eastAsia="zh-CN"/>
              </w:rPr>
              <w:t>2023年省级农村综合改革转移支付资金（一事一议财政奖补工作经费）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80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r>
        <w:tblPrEx>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仿宋" w:hAnsi="仿宋" w:eastAsia="仿宋" w:cs="仿宋"/>
                <w:color w:val="000000"/>
                <w:sz w:val="24"/>
                <w:szCs w:val="24"/>
              </w:rPr>
            </w:pPr>
            <w:r>
              <w:rPr>
                <w:rFonts w:hint="eastAsia" w:ascii="宋体" w:hAnsi="宋体" w:eastAsia="宋体" w:cs="宋体"/>
                <w:i w:val="0"/>
                <w:color w:val="000000"/>
                <w:kern w:val="0"/>
                <w:sz w:val="22"/>
                <w:szCs w:val="22"/>
                <w:u w:val="none"/>
                <w:lang w:val="en-US" w:eastAsia="zh-CN" w:bidi="ar"/>
              </w:rPr>
              <w:t>合计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1528.98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color w:val="000000"/>
                <w:sz w:val="24"/>
                <w:szCs w:val="24"/>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仿宋" w:hAnsi="仿宋" w:eastAsia="仿宋" w:cs="仿宋"/>
                <w:color w:val="000000"/>
                <w:sz w:val="24"/>
                <w:szCs w:val="24"/>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仿宋" w:hAnsi="仿宋" w:eastAsia="仿宋" w:cs="仿宋"/>
                <w:color w:val="000000"/>
                <w:sz w:val="24"/>
                <w:szCs w:val="24"/>
              </w:rPr>
            </w:pPr>
          </w:p>
        </w:tc>
        <w:tc>
          <w:tcPr>
            <w:tcW w:w="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r>
    </w:tbl>
    <w:p>
      <w:pPr>
        <w:spacing w:line="560" w:lineRule="exact"/>
        <w:ind w:firstLine="642"/>
        <w:rPr>
          <w:rFonts w:ascii="仿宋" w:hAnsi="仿宋" w:eastAsia="仿宋" w:cs="楷体_GB2312"/>
          <w:b/>
          <w:bCs/>
          <w:sz w:val="32"/>
          <w:szCs w:val="32"/>
        </w:rPr>
      </w:pPr>
    </w:p>
    <w:p>
      <w:pPr>
        <w:numPr>
          <w:ilvl w:val="0"/>
          <w:numId w:val="4"/>
        </w:numPr>
        <w:spacing w:line="560" w:lineRule="exact"/>
        <w:ind w:firstLine="640" w:firstLineChars="200"/>
        <w:rPr>
          <w:rFonts w:ascii="黑体" w:hAnsi="黑体" w:eastAsia="黑体"/>
          <w:sz w:val="32"/>
          <w:szCs w:val="32"/>
        </w:rPr>
      </w:pPr>
      <w:r>
        <w:rPr>
          <w:rFonts w:hint="eastAsia" w:ascii="黑体" w:hAnsi="黑体" w:eastAsia="黑体"/>
          <w:sz w:val="32"/>
          <w:szCs w:val="32"/>
        </w:rPr>
        <w:t>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600" w:lineRule="exact"/>
        <w:ind w:firstLine="640" w:firstLineChars="200"/>
        <w:rPr>
          <w:rFonts w:ascii="仿宋" w:hAnsi="仿宋" w:eastAsia="仿宋" w:cs="仿宋"/>
          <w:sz w:val="32"/>
          <w:szCs w:val="32"/>
        </w:rPr>
      </w:pPr>
      <w:r>
        <w:rPr>
          <w:rFonts w:hint="eastAsia" w:ascii="仿宋_GB2312" w:eastAsia="仿宋_GB2312" w:cs="仿宋_GB2312"/>
          <w:kern w:val="0"/>
          <w:sz w:val="32"/>
          <w:szCs w:val="32"/>
        </w:rPr>
        <w:t>总体来说资金到位，使用合规。资金拨付程序从申请、审核、审查、审批到最后发放都按照中央、省、市相关财政政策实施，使用符合财务管理规定。</w:t>
      </w:r>
      <w:r>
        <w:rPr>
          <w:rFonts w:hint="eastAsia" w:ascii="仿宋" w:hAnsi="仿宋" w:eastAsia="仿宋" w:cs="仿宋"/>
          <w:sz w:val="32"/>
          <w:szCs w:val="32"/>
        </w:rPr>
        <w:t>我局专项资金绩效</w:t>
      </w:r>
      <w:r>
        <w:rPr>
          <w:rFonts w:hint="eastAsia" w:ascii="仿宋_GB2312" w:eastAsia="仿宋_GB2312" w:cs="仿宋_GB2312"/>
          <w:kern w:val="0"/>
          <w:sz w:val="32"/>
          <w:szCs w:val="32"/>
        </w:rPr>
        <w:t>评优率达</w:t>
      </w:r>
      <w:r>
        <w:rPr>
          <w:rFonts w:hint="eastAsia" w:ascii="仿宋_GB2312" w:eastAsia="仿宋_GB2312" w:cs="仿宋_GB2312"/>
          <w:kern w:val="0"/>
          <w:sz w:val="32"/>
          <w:szCs w:val="32"/>
          <w:lang w:val="en-US" w:eastAsia="zh-CN"/>
        </w:rPr>
        <w:t>95</w:t>
      </w:r>
      <w:r>
        <w:rPr>
          <w:rFonts w:hint="eastAsia" w:ascii="仿宋_GB2312" w:eastAsia="仿宋_GB2312" w:cs="仿宋_GB2312"/>
          <w:kern w:val="0"/>
          <w:sz w:val="32"/>
          <w:szCs w:val="32"/>
        </w:rPr>
        <w:t>%，</w:t>
      </w:r>
      <w:r>
        <w:rPr>
          <w:rFonts w:hint="eastAsia" w:ascii="仿宋" w:hAnsi="仿宋" w:eastAsia="仿宋" w:cs="仿宋"/>
          <w:sz w:val="32"/>
          <w:szCs w:val="32"/>
        </w:rPr>
        <w:t>总体得分为优秀等次。</w:t>
      </w:r>
    </w:p>
    <w:p>
      <w:pPr>
        <w:numPr>
          <w:ilvl w:val="0"/>
          <w:numId w:val="4"/>
        </w:numPr>
        <w:spacing w:line="560" w:lineRule="exact"/>
        <w:ind w:firstLine="640" w:firstLineChars="200"/>
        <w:rPr>
          <w:rFonts w:ascii="黑体" w:hAnsi="黑体" w:eastAsia="黑体"/>
          <w:sz w:val="32"/>
          <w:szCs w:val="32"/>
        </w:rPr>
      </w:pPr>
      <w:r>
        <w:rPr>
          <w:rFonts w:hint="eastAsia" w:ascii="黑体" w:hAnsi="黑体" w:eastAsia="黑体"/>
          <w:sz w:val="32"/>
          <w:szCs w:val="32"/>
        </w:rPr>
        <w:t>存在的问题及改进措施</w:t>
      </w:r>
    </w:p>
    <w:p>
      <w:pPr>
        <w:adjustRightInd w:val="0"/>
        <w:snapToGrid w:val="0"/>
        <w:spacing w:line="578" w:lineRule="exact"/>
        <w:rPr>
          <w:rFonts w:ascii="仿宋_GB2312" w:eastAsia="仿宋_GB2312" w:cs="仿宋_GB2312"/>
          <w:kern w:val="0"/>
          <w:sz w:val="32"/>
          <w:szCs w:val="32"/>
        </w:rPr>
      </w:pPr>
      <w:r>
        <w:rPr>
          <w:rFonts w:hint="eastAsia" w:ascii="仿宋_GB2312" w:eastAsia="仿宋_GB2312" w:cs="仿宋_GB2312"/>
          <w:kern w:val="0"/>
          <w:sz w:val="32"/>
          <w:szCs w:val="32"/>
        </w:rPr>
        <w:t xml:space="preserve">   1、存在的问题</w:t>
      </w:r>
    </w:p>
    <w:p>
      <w:pPr>
        <w:spacing w:line="578"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rPr>
        <w:t>（1）</w:t>
      </w:r>
      <w:r>
        <w:rPr>
          <w:rFonts w:hint="eastAsia" w:ascii="仿宋" w:hAnsi="仿宋" w:eastAsia="仿宋" w:cs="仿宋"/>
          <w:sz w:val="32"/>
          <w:szCs w:val="32"/>
        </w:rPr>
        <w:t>年初预算不够准确</w:t>
      </w:r>
      <w:r>
        <w:rPr>
          <w:rFonts w:hint="eastAsia" w:ascii="仿宋" w:hAnsi="仿宋" w:eastAsia="仿宋" w:cs="仿宋"/>
          <w:sz w:val="32"/>
          <w:szCs w:val="32"/>
          <w:lang w:eastAsia="zh-CN"/>
        </w:rPr>
        <w:t>，</w:t>
      </w:r>
      <w:r>
        <w:rPr>
          <w:rFonts w:hint="eastAsia" w:ascii="仿宋" w:hAnsi="仿宋" w:eastAsia="仿宋" w:cs="仿宋"/>
          <w:sz w:val="32"/>
          <w:szCs w:val="32"/>
        </w:rPr>
        <w:t>年中追加预算</w:t>
      </w:r>
      <w:r>
        <w:rPr>
          <w:rFonts w:hint="eastAsia" w:ascii="仿宋" w:hAnsi="仿宋" w:eastAsia="仿宋" w:cs="仿宋"/>
          <w:sz w:val="32"/>
          <w:szCs w:val="32"/>
          <w:lang w:eastAsia="zh-CN"/>
        </w:rPr>
        <w:t>金额较大</w:t>
      </w:r>
      <w:r>
        <w:rPr>
          <w:rFonts w:hint="eastAsia" w:ascii="仿宋_GB2312" w:eastAsia="仿宋_GB2312" w:cs="仿宋_GB2312"/>
          <w:kern w:val="0"/>
          <w:sz w:val="32"/>
          <w:szCs w:val="32"/>
        </w:rPr>
        <w:t>。本部门202</w:t>
      </w: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年本年支出</w:t>
      </w:r>
      <w:r>
        <w:rPr>
          <w:rFonts w:hint="eastAsia" w:ascii="仿宋" w:hAnsi="仿宋" w:eastAsia="仿宋" w:cs="仿宋"/>
          <w:kern w:val="0"/>
          <w:sz w:val="32"/>
          <w:szCs w:val="32"/>
          <w:lang w:eastAsia="zh-CN"/>
        </w:rPr>
        <w:t>一般公共预算财政拨款支出</w:t>
      </w:r>
      <w:r>
        <w:rPr>
          <w:rFonts w:hint="eastAsia" w:ascii="仿宋" w:hAnsi="仿宋" w:eastAsia="仿宋" w:cs="仿宋"/>
          <w:kern w:val="0"/>
          <w:sz w:val="32"/>
          <w:szCs w:val="32"/>
          <w:lang w:val="en-US" w:eastAsia="zh-CN"/>
        </w:rPr>
        <w:t>2404.5</w:t>
      </w:r>
      <w:r>
        <w:rPr>
          <w:rFonts w:hint="eastAsia" w:ascii="仿宋" w:hAnsi="仿宋" w:eastAsia="仿宋" w:cs="仿宋"/>
          <w:kern w:val="0"/>
          <w:sz w:val="32"/>
          <w:szCs w:val="32"/>
        </w:rPr>
        <w:t>万元，完成年初预算的</w:t>
      </w:r>
      <w:r>
        <w:rPr>
          <w:rFonts w:hint="eastAsia" w:ascii="仿宋" w:hAnsi="仿宋" w:eastAsia="仿宋" w:cs="仿宋"/>
          <w:kern w:val="0"/>
          <w:sz w:val="32"/>
          <w:szCs w:val="32"/>
          <w:lang w:val="en-US" w:eastAsia="zh-CN"/>
        </w:rPr>
        <w:t>118.83</w:t>
      </w:r>
      <w:r>
        <w:rPr>
          <w:rFonts w:hint="eastAsia" w:ascii="仿宋" w:hAnsi="仿宋" w:eastAsia="仿宋" w:cs="仿宋"/>
          <w:kern w:val="0"/>
          <w:sz w:val="32"/>
          <w:szCs w:val="32"/>
        </w:rPr>
        <w:t>%,比年初预算增加</w:t>
      </w:r>
      <w:r>
        <w:rPr>
          <w:rFonts w:hint="eastAsia" w:ascii="仿宋" w:hAnsi="仿宋" w:eastAsia="仿宋" w:cs="仿宋"/>
          <w:kern w:val="0"/>
          <w:sz w:val="32"/>
          <w:szCs w:val="32"/>
          <w:lang w:val="en-US" w:eastAsia="zh-CN"/>
        </w:rPr>
        <w:t>381.1</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人员工资正常升级和调整工资标准，基本支出较预算增加</w:t>
      </w:r>
      <w:r>
        <w:rPr>
          <w:rFonts w:hint="eastAsia" w:ascii="仿宋" w:hAnsi="仿宋" w:eastAsia="仿宋" w:cs="仿宋"/>
          <w:kern w:val="0"/>
          <w:sz w:val="32"/>
          <w:szCs w:val="32"/>
          <w:lang w:val="en-US" w:eastAsia="zh-CN"/>
        </w:rPr>
        <w:t>430.5万元；</w:t>
      </w:r>
      <w:r>
        <w:rPr>
          <w:rFonts w:hint="eastAsia" w:ascii="仿宋" w:hAnsi="仿宋" w:eastAsia="仿宋" w:cs="仿宋"/>
          <w:kern w:val="0"/>
          <w:sz w:val="32"/>
          <w:szCs w:val="32"/>
          <w:lang w:eastAsia="zh-CN"/>
        </w:rPr>
        <w:t>政府性基金支出</w:t>
      </w:r>
      <w:r>
        <w:rPr>
          <w:rFonts w:hint="eastAsia" w:ascii="仿宋" w:hAnsi="仿宋" w:eastAsia="仿宋" w:cs="仿宋"/>
          <w:kern w:val="0"/>
          <w:sz w:val="32"/>
          <w:szCs w:val="32"/>
          <w:lang w:val="en-US" w:eastAsia="zh-CN"/>
        </w:rPr>
        <w:t>1102.85</w:t>
      </w:r>
      <w:r>
        <w:rPr>
          <w:rFonts w:hint="eastAsia" w:ascii="仿宋" w:hAnsi="仿宋" w:eastAsia="仿宋" w:cs="仿宋"/>
          <w:kern w:val="0"/>
          <w:sz w:val="32"/>
          <w:szCs w:val="32"/>
        </w:rPr>
        <w:t>万元，比年初预算</w:t>
      </w:r>
      <w:r>
        <w:rPr>
          <w:rFonts w:hint="eastAsia" w:ascii="仿宋" w:hAnsi="仿宋" w:eastAsia="仿宋" w:cs="仿宋"/>
          <w:kern w:val="0"/>
          <w:sz w:val="32"/>
          <w:szCs w:val="32"/>
          <w:lang w:eastAsia="zh-CN"/>
        </w:rPr>
        <w:t>增加</w:t>
      </w:r>
      <w:r>
        <w:rPr>
          <w:rFonts w:hint="eastAsia" w:ascii="仿宋" w:hAnsi="仿宋" w:eastAsia="仿宋" w:cs="仿宋"/>
          <w:kern w:val="0"/>
          <w:sz w:val="32"/>
          <w:szCs w:val="32"/>
          <w:lang w:val="en-US" w:eastAsia="zh-CN"/>
        </w:rPr>
        <w:t>1102.85</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主要原因是</w:t>
      </w:r>
      <w:r>
        <w:rPr>
          <w:rFonts w:hint="eastAsia" w:ascii="仿宋" w:hAnsi="仿宋" w:eastAsia="仿宋" w:cs="仿宋"/>
          <w:kern w:val="0"/>
          <w:sz w:val="32"/>
          <w:szCs w:val="32"/>
          <w:lang w:eastAsia="zh-CN"/>
        </w:rPr>
        <w:t>根</w:t>
      </w:r>
      <w:r>
        <w:rPr>
          <w:rFonts w:hint="eastAsia" w:ascii="仿宋" w:hAnsi="仿宋" w:eastAsia="仿宋" w:cs="仿宋"/>
          <w:kern w:val="0"/>
          <w:sz w:val="32"/>
          <w:szCs w:val="32"/>
        </w:rPr>
        <w:t>据区委区政府安排，</w:t>
      </w:r>
      <w:r>
        <w:rPr>
          <w:rFonts w:hint="eastAsia" w:ascii="仿宋" w:hAnsi="仿宋" w:eastAsia="仿宋" w:cs="仿宋"/>
          <w:kern w:val="0"/>
          <w:sz w:val="32"/>
          <w:szCs w:val="32"/>
          <w:lang w:eastAsia="zh-CN"/>
        </w:rPr>
        <w:t>今年我局新增返还曲寨水泥铁路专线成本费用。</w:t>
      </w:r>
    </w:p>
    <w:p>
      <w:pPr>
        <w:numPr>
          <w:ilvl w:val="0"/>
          <w:numId w:val="5"/>
        </w:num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预算支出细目科目编制不够规范，预算实际使用过程中产生偏差，无法准确预计全年经济活动。</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）绩效监控质量不达标，填报内容简单，对绩效目标偏差问题缺乏有效分析，无法监控绩效目标的实现程度，还有待进一步提升项目科室整体绩效管理理念。</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2、改进措施</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（1）、结合上一年度预算执行和本年度预算收支因素，科学、合理地编制本年预算支出</w:t>
      </w:r>
      <w:r>
        <w:rPr>
          <w:rFonts w:hint="eastAsia" w:ascii="仿宋" w:hAnsi="仿宋" w:eastAsia="仿宋" w:cs="仿宋"/>
          <w:sz w:val="32"/>
          <w:szCs w:val="32"/>
          <w:lang w:eastAsia="zh-CN"/>
        </w:rPr>
        <w:t>，尽可能的缩小预算执行率</w:t>
      </w:r>
      <w:r>
        <w:rPr>
          <w:rFonts w:hint="eastAsia" w:ascii="仿宋" w:hAnsi="仿宋" w:eastAsia="仿宋" w:cs="仿宋"/>
          <w:sz w:val="32"/>
          <w:szCs w:val="32"/>
        </w:rPr>
        <w:t>。</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 xml:space="preserve">（2）、科学严谨编制本年度部门预算，细化部门预算内容，强化绩效目标、绩效指标的合理性、合规性，保证预算的准确性。 </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（3）、加强绩效监控，根据监控结果通过中期合理调配资金，增强与各业务股室协调合作，提高项目执行率，提高资金支付效率。</w:t>
      </w:r>
    </w:p>
    <w:p>
      <w:pPr>
        <w:adjustRightInd w:val="0"/>
        <w:snapToGrid w:val="0"/>
        <w:spacing w:line="578" w:lineRule="exact"/>
        <w:ind w:firstLine="640" w:firstLineChars="200"/>
        <w:rPr>
          <w:rFonts w:ascii="仿宋_GB2312" w:eastAsia="仿宋_GB2312" w:cs="仿宋_GB2312"/>
          <w:kern w:val="0"/>
          <w:sz w:val="32"/>
          <w:szCs w:val="32"/>
        </w:rPr>
      </w:pPr>
      <w:r>
        <w:rPr>
          <w:rFonts w:hint="eastAsia" w:ascii="仿宋_GB2312" w:eastAsia="仿宋_GB2312" w:cs="仿宋_GB2312"/>
          <w:kern w:val="0"/>
          <w:sz w:val="32"/>
          <w:szCs w:val="32"/>
        </w:rPr>
        <w:t>（4）管理规范，监督有效。为进一步规范财务管理，我局制定并印发《财政局财务管理规定》，严格资金使用程序，健全资金管理制度，定期对资金使用情况进行检查，严格确保项目质量。</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六、评价工作组人员名单（姓名、职务）</w:t>
      </w: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360" w:lineRule="auto"/>
        <w:ind w:firstLine="640" w:firstLineChars="200"/>
        <w:rPr>
          <w:rFonts w:ascii="仿宋" w:hAnsi="仿宋" w:eastAsia="仿宋"/>
          <w:sz w:val="32"/>
          <w:szCs w:val="32"/>
        </w:rPr>
      </w:pPr>
      <w:r>
        <w:rPr>
          <w:rFonts w:ascii="仿宋" w:hAnsi="仿宋" w:eastAsia="仿宋"/>
          <w:sz w:val="32"/>
          <w:szCs w:val="32"/>
        </w:rPr>
        <w:t>人员名单：</w:t>
      </w:r>
    </w:p>
    <w:p>
      <w:pPr>
        <w:ind w:firstLine="640"/>
        <w:rPr>
          <w:rFonts w:hint="eastAsia" w:ascii="仿宋" w:hAnsi="仿宋" w:eastAsia="仿宋"/>
          <w:sz w:val="32"/>
          <w:szCs w:val="32"/>
          <w:lang w:val="en-US" w:eastAsia="zh-CN"/>
        </w:rPr>
      </w:pPr>
      <w:r>
        <w:rPr>
          <w:rFonts w:hint="eastAsia" w:ascii="仿宋" w:hAnsi="仿宋" w:eastAsia="仿宋"/>
          <w:sz w:val="32"/>
          <w:szCs w:val="32"/>
        </w:rPr>
        <w:t xml:space="preserve">马翼武  </w:t>
      </w:r>
      <w:r>
        <w:rPr>
          <w:rFonts w:hint="eastAsia" w:ascii="仿宋" w:hAnsi="仿宋" w:eastAsia="仿宋"/>
          <w:sz w:val="32"/>
          <w:szCs w:val="32"/>
          <w:lang w:eastAsia="zh-CN"/>
        </w:rPr>
        <w:t>二级主任科员</w:t>
      </w:r>
    </w:p>
    <w:p>
      <w:pPr>
        <w:ind w:firstLine="640"/>
        <w:rPr>
          <w:rFonts w:hint="eastAsia" w:ascii="仿宋" w:hAnsi="仿宋" w:eastAsia="仿宋"/>
          <w:sz w:val="32"/>
          <w:szCs w:val="32"/>
          <w:lang w:val="en-US" w:eastAsia="zh-CN"/>
        </w:rPr>
      </w:pPr>
      <w:r>
        <w:rPr>
          <w:rFonts w:hint="eastAsia" w:ascii="仿宋" w:hAnsi="仿宋" w:eastAsia="仿宋"/>
          <w:sz w:val="32"/>
          <w:szCs w:val="32"/>
          <w:lang w:eastAsia="zh-CN"/>
        </w:rPr>
        <w:t>齐志谦</w:t>
      </w:r>
      <w:r>
        <w:rPr>
          <w:rFonts w:hint="eastAsia" w:ascii="仿宋" w:hAnsi="仿宋" w:eastAsia="仿宋"/>
          <w:sz w:val="32"/>
          <w:szCs w:val="32"/>
          <w:lang w:val="en-US" w:eastAsia="zh-CN"/>
        </w:rPr>
        <w:t xml:space="preserve">  党组成员</w:t>
      </w:r>
    </w:p>
    <w:p>
      <w:pPr>
        <w:ind w:firstLine="640"/>
        <w:rPr>
          <w:rFonts w:hint="eastAsia" w:ascii="仿宋" w:hAnsi="仿宋" w:eastAsia="仿宋"/>
          <w:sz w:val="32"/>
          <w:szCs w:val="32"/>
          <w:lang w:val="en-US" w:eastAsia="zh-CN"/>
        </w:rPr>
      </w:pPr>
      <w:r>
        <w:rPr>
          <w:rFonts w:hint="eastAsia" w:ascii="仿宋" w:hAnsi="仿宋" w:eastAsia="仿宋"/>
          <w:sz w:val="32"/>
          <w:szCs w:val="32"/>
        </w:rPr>
        <w:t>尤春光</w:t>
      </w:r>
      <w:r>
        <w:rPr>
          <w:rFonts w:hint="eastAsia" w:ascii="仿宋" w:hAnsi="仿宋" w:eastAsia="仿宋"/>
          <w:sz w:val="32"/>
          <w:szCs w:val="32"/>
          <w:lang w:val="en-US" w:eastAsia="zh-CN"/>
        </w:rPr>
        <w:t xml:space="preserve">  收费中心主任</w:t>
      </w:r>
    </w:p>
    <w:p>
      <w:pPr>
        <w:ind w:firstLine="640"/>
        <w:rPr>
          <w:rFonts w:ascii="仿宋" w:hAnsi="仿宋" w:eastAsia="仿宋"/>
          <w:sz w:val="32"/>
          <w:szCs w:val="32"/>
        </w:rPr>
      </w:pPr>
      <w:r>
        <w:rPr>
          <w:rFonts w:hint="eastAsia" w:ascii="仿宋" w:hAnsi="仿宋" w:eastAsia="仿宋"/>
          <w:sz w:val="32"/>
          <w:szCs w:val="32"/>
        </w:rPr>
        <w:t>杜红英  财务负责人</w:t>
      </w:r>
    </w:p>
    <w:p>
      <w:pPr>
        <w:ind w:firstLine="640"/>
        <w:rPr>
          <w:rFonts w:ascii="仿宋" w:hAnsi="仿宋" w:eastAsia="仿宋"/>
          <w:sz w:val="32"/>
          <w:szCs w:val="32"/>
        </w:rPr>
      </w:pPr>
      <w:r>
        <w:rPr>
          <w:rFonts w:hint="eastAsia" w:ascii="仿宋" w:hAnsi="仿宋" w:eastAsia="仿宋"/>
          <w:sz w:val="32"/>
          <w:szCs w:val="32"/>
        </w:rPr>
        <w:t>崔江霞  预算负责人</w:t>
      </w:r>
    </w:p>
    <w:p>
      <w:pPr>
        <w:ind w:firstLine="640"/>
        <w:rPr>
          <w:rFonts w:ascii="仿宋" w:hAnsi="仿宋" w:eastAsia="仿宋"/>
          <w:sz w:val="32"/>
          <w:szCs w:val="32"/>
        </w:rPr>
      </w:pPr>
      <w:r>
        <w:rPr>
          <w:rFonts w:hint="eastAsia" w:ascii="仿宋" w:hAnsi="仿宋" w:eastAsia="仿宋"/>
          <w:sz w:val="32"/>
          <w:szCs w:val="32"/>
        </w:rPr>
        <w:t>张敏    国库负责人</w:t>
      </w:r>
    </w:p>
    <w:p>
      <w:pPr>
        <w:ind w:firstLine="640"/>
        <w:rPr>
          <w:rFonts w:ascii="仿宋" w:hAnsi="仿宋" w:eastAsia="仿宋"/>
          <w:sz w:val="32"/>
          <w:szCs w:val="32"/>
        </w:rPr>
      </w:pPr>
      <w:r>
        <w:rPr>
          <w:rFonts w:hint="eastAsia" w:ascii="仿宋" w:hAnsi="仿宋" w:eastAsia="仿宋"/>
          <w:sz w:val="32"/>
          <w:szCs w:val="32"/>
        </w:rPr>
        <w:t>赵旭波  企业负责人</w:t>
      </w:r>
    </w:p>
    <w:p>
      <w:pPr>
        <w:ind w:firstLine="640"/>
        <w:rPr>
          <w:rFonts w:hint="eastAsia" w:ascii="仿宋" w:hAnsi="仿宋" w:eastAsia="仿宋"/>
          <w:sz w:val="32"/>
          <w:szCs w:val="32"/>
        </w:rPr>
      </w:pPr>
      <w:r>
        <w:rPr>
          <w:rFonts w:hint="eastAsia" w:ascii="仿宋" w:hAnsi="仿宋" w:eastAsia="仿宋"/>
          <w:sz w:val="32"/>
          <w:szCs w:val="32"/>
          <w:lang w:eastAsia="zh-CN"/>
        </w:rPr>
        <w:t>郭翠茹</w:t>
      </w:r>
      <w:r>
        <w:rPr>
          <w:rFonts w:hint="eastAsia" w:ascii="仿宋" w:hAnsi="仿宋" w:eastAsia="仿宋"/>
          <w:sz w:val="32"/>
          <w:szCs w:val="32"/>
        </w:rPr>
        <w:t xml:space="preserve">  评审负责人</w:t>
      </w:r>
    </w:p>
    <w:p>
      <w:pPr>
        <w:ind w:firstLine="640"/>
        <w:rPr>
          <w:rFonts w:hint="default" w:ascii="仿宋" w:hAnsi="仿宋" w:eastAsia="仿宋"/>
          <w:sz w:val="32"/>
          <w:szCs w:val="32"/>
          <w:lang w:val="en-US" w:eastAsia="zh-CN"/>
        </w:rPr>
      </w:pPr>
      <w:r>
        <w:rPr>
          <w:rFonts w:hint="eastAsia" w:ascii="仿宋" w:hAnsi="仿宋" w:eastAsia="仿宋"/>
          <w:sz w:val="32"/>
          <w:szCs w:val="32"/>
          <w:lang w:eastAsia="zh-CN"/>
        </w:rPr>
        <w:t>郑红博</w:t>
      </w:r>
      <w:r>
        <w:rPr>
          <w:rFonts w:hint="eastAsia" w:ascii="仿宋" w:hAnsi="仿宋" w:eastAsia="仿宋"/>
          <w:sz w:val="32"/>
          <w:szCs w:val="32"/>
          <w:lang w:val="en-US" w:eastAsia="zh-CN"/>
        </w:rPr>
        <w:t xml:space="preserve">  国资负责人</w:t>
      </w:r>
    </w:p>
    <w:p>
      <w:pPr>
        <w:ind w:firstLine="640"/>
        <w:rPr>
          <w:rFonts w:hint="eastAsia" w:ascii="仿宋" w:hAnsi="仿宋" w:eastAsia="仿宋"/>
          <w:sz w:val="32"/>
          <w:szCs w:val="32"/>
          <w:lang w:eastAsia="zh-CN"/>
        </w:rPr>
      </w:pPr>
      <w:r>
        <w:rPr>
          <w:rFonts w:hint="eastAsia" w:ascii="仿宋" w:hAnsi="仿宋" w:eastAsia="仿宋"/>
          <w:sz w:val="32"/>
          <w:szCs w:val="32"/>
        </w:rPr>
        <w:t>葛卫涛  农财负责</w:t>
      </w:r>
      <w:r>
        <w:rPr>
          <w:rFonts w:hint="eastAsia" w:ascii="仿宋" w:hAnsi="仿宋" w:eastAsia="仿宋"/>
          <w:sz w:val="32"/>
          <w:szCs w:val="32"/>
          <w:lang w:eastAsia="zh-CN"/>
        </w:rPr>
        <w:t>人</w:t>
      </w:r>
    </w:p>
    <w:p>
      <w:pPr>
        <w:ind w:firstLine="640"/>
        <w:rPr>
          <w:rFonts w:hint="eastAsia" w:ascii="仿宋" w:hAnsi="仿宋" w:eastAsia="仿宋"/>
          <w:sz w:val="32"/>
          <w:szCs w:val="32"/>
          <w:lang w:eastAsia="zh-CN"/>
        </w:rPr>
      </w:pPr>
      <w:r>
        <w:rPr>
          <w:rFonts w:hint="eastAsia" w:ascii="仿宋" w:hAnsi="仿宋" w:eastAsia="仿宋"/>
          <w:sz w:val="32"/>
          <w:szCs w:val="32"/>
          <w:lang w:eastAsia="zh-CN"/>
        </w:rPr>
        <w:t>王冉</w:t>
      </w:r>
      <w:r>
        <w:rPr>
          <w:rFonts w:hint="eastAsia" w:ascii="仿宋" w:hAnsi="仿宋" w:eastAsia="仿宋"/>
          <w:sz w:val="32"/>
          <w:szCs w:val="32"/>
          <w:lang w:val="en-US" w:eastAsia="zh-CN"/>
        </w:rPr>
        <w:t xml:space="preserve">    财源建设负责人</w:t>
      </w:r>
    </w:p>
    <w:p>
      <w:pPr>
        <w:ind w:firstLine="640"/>
        <w:jc w:val="right"/>
        <w:rPr>
          <w:rFonts w:hint="eastAsia" w:ascii="仿宋" w:hAnsi="仿宋" w:eastAsia="仿宋"/>
          <w:sz w:val="32"/>
          <w:szCs w:val="32"/>
        </w:rPr>
      </w:pPr>
    </w:p>
    <w:p>
      <w:pPr>
        <w:ind w:firstLine="640"/>
        <w:jc w:val="right"/>
        <w:rPr>
          <w:rFonts w:hint="eastAsia" w:ascii="仿宋" w:hAnsi="仿宋" w:eastAsia="仿宋"/>
          <w:sz w:val="32"/>
          <w:szCs w:val="32"/>
        </w:rPr>
      </w:pPr>
      <w:bookmarkStart w:id="0" w:name="_GoBack"/>
      <w:bookmarkEnd w:id="0"/>
    </w:p>
    <w:p>
      <w:pPr>
        <w:ind w:firstLine="640"/>
        <w:jc w:val="right"/>
        <w:rPr>
          <w:rFonts w:ascii="仿宋" w:hAnsi="仿宋" w:eastAsia="仿宋"/>
          <w:sz w:val="32"/>
          <w:szCs w:val="32"/>
        </w:rPr>
      </w:pPr>
      <w:r>
        <w:rPr>
          <w:rFonts w:hint="eastAsia" w:ascii="仿宋" w:hAnsi="仿宋" w:eastAsia="仿宋"/>
          <w:sz w:val="32"/>
          <w:szCs w:val="32"/>
        </w:rPr>
        <w:t>石家庄市鹿泉区财政局</w:t>
      </w:r>
    </w:p>
    <w:p>
      <w:pPr>
        <w:ind w:firstLine="640"/>
        <w:jc w:val="center"/>
        <w:rPr>
          <w:rFonts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14</w:t>
      </w:r>
      <w:r>
        <w:rPr>
          <w:rFonts w:hint="eastAsia" w:ascii="仿宋" w:hAnsi="仿宋" w:eastAsia="仿宋"/>
          <w:sz w:val="32"/>
          <w:szCs w:val="32"/>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1026" o:spt="202" type="#_x0000_t202"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5002747"/>
    <w:multiLevelType w:val="singleLevel"/>
    <w:tmpl w:val="65002747"/>
    <w:lvl w:ilvl="0" w:tentative="0">
      <w:start w:val="1"/>
      <w:numFmt w:val="chineseCounting"/>
      <w:suff w:val="nothing"/>
      <w:lvlText w:val="（%1）"/>
      <w:lvlJc w:val="left"/>
    </w:lvl>
  </w:abstractNum>
  <w:abstractNum w:abstractNumId="3">
    <w:nsid w:val="6503AF1A"/>
    <w:multiLevelType w:val="singleLevel"/>
    <w:tmpl w:val="6503AF1A"/>
    <w:lvl w:ilvl="0" w:tentative="0">
      <w:start w:val="4"/>
      <w:numFmt w:val="chineseCounting"/>
      <w:suff w:val="nothing"/>
      <w:lvlText w:val="%1、"/>
      <w:lvlJc w:val="left"/>
    </w:lvl>
  </w:abstractNum>
  <w:abstractNum w:abstractNumId="4">
    <w:nsid w:val="65040977"/>
    <w:multiLevelType w:val="singleLevel"/>
    <w:tmpl w:val="65040977"/>
    <w:lvl w:ilvl="0" w:tentative="0">
      <w:start w:val="2"/>
      <w:numFmt w:val="decimal"/>
      <w:suff w:val="nothing"/>
      <w:lvlText w:val="（%1）"/>
      <w:lvlJc w:val="left"/>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330F3A"/>
    <w:rsid w:val="004C6A15"/>
    <w:rsid w:val="006B5EB8"/>
    <w:rsid w:val="006D6624"/>
    <w:rsid w:val="007E6C1F"/>
    <w:rsid w:val="00865023"/>
    <w:rsid w:val="00AF566A"/>
    <w:rsid w:val="00B6553A"/>
    <w:rsid w:val="01B104CA"/>
    <w:rsid w:val="02106AB0"/>
    <w:rsid w:val="02B43A28"/>
    <w:rsid w:val="02EB706B"/>
    <w:rsid w:val="046F331E"/>
    <w:rsid w:val="04F101B9"/>
    <w:rsid w:val="06451B91"/>
    <w:rsid w:val="07956271"/>
    <w:rsid w:val="08FE32F1"/>
    <w:rsid w:val="090A1C54"/>
    <w:rsid w:val="09721397"/>
    <w:rsid w:val="09DD6304"/>
    <w:rsid w:val="0BB63BED"/>
    <w:rsid w:val="0CE45872"/>
    <w:rsid w:val="0DE8241F"/>
    <w:rsid w:val="0E2F6901"/>
    <w:rsid w:val="0EB97A43"/>
    <w:rsid w:val="0EBD2122"/>
    <w:rsid w:val="0F0734AE"/>
    <w:rsid w:val="0F214EAE"/>
    <w:rsid w:val="0F5539AB"/>
    <w:rsid w:val="0F6E3638"/>
    <w:rsid w:val="11B71E6A"/>
    <w:rsid w:val="11E52252"/>
    <w:rsid w:val="12356E28"/>
    <w:rsid w:val="13BF3C83"/>
    <w:rsid w:val="158A14A8"/>
    <w:rsid w:val="1624692F"/>
    <w:rsid w:val="181D0F6B"/>
    <w:rsid w:val="1A2707C0"/>
    <w:rsid w:val="1A4A508B"/>
    <w:rsid w:val="1AAF0063"/>
    <w:rsid w:val="1B555A8A"/>
    <w:rsid w:val="1BE140DE"/>
    <w:rsid w:val="1E80775A"/>
    <w:rsid w:val="201C0B1D"/>
    <w:rsid w:val="202F3769"/>
    <w:rsid w:val="21D65611"/>
    <w:rsid w:val="22C43B98"/>
    <w:rsid w:val="24420DCC"/>
    <w:rsid w:val="246D256D"/>
    <w:rsid w:val="24791146"/>
    <w:rsid w:val="248C197D"/>
    <w:rsid w:val="252959AF"/>
    <w:rsid w:val="27152752"/>
    <w:rsid w:val="277A6671"/>
    <w:rsid w:val="28552ECE"/>
    <w:rsid w:val="292D35B7"/>
    <w:rsid w:val="29DA1533"/>
    <w:rsid w:val="2A594280"/>
    <w:rsid w:val="2BE41F94"/>
    <w:rsid w:val="2F0C3AEB"/>
    <w:rsid w:val="32440F72"/>
    <w:rsid w:val="32B51BA0"/>
    <w:rsid w:val="32D7493D"/>
    <w:rsid w:val="33536308"/>
    <w:rsid w:val="3358377F"/>
    <w:rsid w:val="33EB3E71"/>
    <w:rsid w:val="33EB6CFF"/>
    <w:rsid w:val="35A12947"/>
    <w:rsid w:val="35CA06DD"/>
    <w:rsid w:val="364B5F23"/>
    <w:rsid w:val="37387040"/>
    <w:rsid w:val="3B625C0A"/>
    <w:rsid w:val="3CB0520F"/>
    <w:rsid w:val="3CEE1963"/>
    <w:rsid w:val="3D0369BA"/>
    <w:rsid w:val="3E664118"/>
    <w:rsid w:val="3EB75EAA"/>
    <w:rsid w:val="405C13AF"/>
    <w:rsid w:val="40986B7E"/>
    <w:rsid w:val="49BA2C94"/>
    <w:rsid w:val="4A494B97"/>
    <w:rsid w:val="4AF457D8"/>
    <w:rsid w:val="4B1D1BCF"/>
    <w:rsid w:val="4B803B0E"/>
    <w:rsid w:val="4C9C27FE"/>
    <w:rsid w:val="4D8829E8"/>
    <w:rsid w:val="512260B4"/>
    <w:rsid w:val="517E00D4"/>
    <w:rsid w:val="52337EC5"/>
    <w:rsid w:val="52BD6ACB"/>
    <w:rsid w:val="55537534"/>
    <w:rsid w:val="561A74F1"/>
    <w:rsid w:val="597244E8"/>
    <w:rsid w:val="5B7B3C44"/>
    <w:rsid w:val="5C5A19A0"/>
    <w:rsid w:val="5CA61BD0"/>
    <w:rsid w:val="5EA4623A"/>
    <w:rsid w:val="5EB71C30"/>
    <w:rsid w:val="5FFA4111"/>
    <w:rsid w:val="60871DA5"/>
    <w:rsid w:val="621004FB"/>
    <w:rsid w:val="62C067B5"/>
    <w:rsid w:val="64551B5C"/>
    <w:rsid w:val="66AF0CE5"/>
    <w:rsid w:val="67470BE5"/>
    <w:rsid w:val="678A1133"/>
    <w:rsid w:val="6AC537CF"/>
    <w:rsid w:val="6E5B14A6"/>
    <w:rsid w:val="6E874941"/>
    <w:rsid w:val="711B255E"/>
    <w:rsid w:val="718A5DBC"/>
    <w:rsid w:val="71D108CF"/>
    <w:rsid w:val="722204DF"/>
    <w:rsid w:val="7317199D"/>
    <w:rsid w:val="73EA35BF"/>
    <w:rsid w:val="74FA1B81"/>
    <w:rsid w:val="76B67E92"/>
    <w:rsid w:val="78201D05"/>
    <w:rsid w:val="784D7810"/>
    <w:rsid w:val="79D5293E"/>
    <w:rsid w:val="7A7347C8"/>
    <w:rsid w:val="7AC079A3"/>
    <w:rsid w:val="7B50727C"/>
    <w:rsid w:val="7BB51E06"/>
    <w:rsid w:val="7C387F7C"/>
    <w:rsid w:val="7F5F27BB"/>
    <w:rsid w:val="7FB01D19"/>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758</Words>
  <Characters>4326</Characters>
  <Lines>36</Lines>
  <Paragraphs>10</Paragraphs>
  <TotalTime>5</TotalTime>
  <ScaleCrop>false</ScaleCrop>
  <LinksUpToDate>false</LinksUpToDate>
  <CharactersWithSpaces>5074</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2024-04-10T08:49:00Z</cp:lastPrinted>
  <dcterms:modified xsi:type="dcterms:W3CDTF">2025-04-15T02:16:44Z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