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石家庄市鹿泉区文化广电体育和旅游局</w:t>
      </w:r>
    </w:p>
    <w:p>
      <w:pPr>
        <w:ind w:firstLine="880" w:firstLineChars="20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2019年部门预算信息公开情况说明</w:t>
      </w:r>
    </w:p>
    <w:p>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按照《中华人民共和国预算法》、《地方预决算公开操作规程》和《河北省省级预算公开办法》规定，现将</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2019年部门预算公开如下：</w:t>
      </w:r>
    </w:p>
    <w:p>
      <w:pPr>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一、部门职责、机构设置等基本情况</w:t>
      </w:r>
    </w:p>
    <w:p>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kern w:val="0"/>
          <w:sz w:val="32"/>
          <w:szCs w:val="32"/>
        </w:rPr>
        <w:t>部门职责</w:t>
      </w:r>
      <w:r>
        <w:rPr>
          <w:rFonts w:hint="eastAsia" w:ascii="仿宋_GB2312" w:hAnsi="仿宋_GB2312" w:eastAsia="仿宋_GB2312" w:cs="仿宋_GB2312"/>
          <w:b/>
          <w:kern w:val="0"/>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（一）贯彻执行党和国家文化、广播电视、网络视听节目</w:t>
      </w:r>
      <w:r>
        <w:rPr>
          <w:rFonts w:hint="eastAsia" w:ascii="仿宋_GB2312" w:hAnsi="仿宋_GB2312" w:eastAsia="仿宋_GB2312" w:cs="仿宋_GB2312"/>
          <w:sz w:val="32"/>
          <w:szCs w:val="32"/>
          <w:lang w:eastAsia="zh-CN"/>
        </w:rPr>
        <w:t>服务管理</w:t>
      </w:r>
      <w:r>
        <w:rPr>
          <w:rFonts w:hint="eastAsia" w:ascii="仿宋_GB2312" w:hAnsi="仿宋_GB2312" w:eastAsia="仿宋_GB2312" w:cs="仿宋_GB2312"/>
          <w:sz w:val="32"/>
          <w:szCs w:val="32"/>
        </w:rPr>
        <w:t>、体育和旅游工作方针政策和法律法规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研究拟订全区文化、广播电视、体育和旅游政策措施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（二）拟订全区</w:t>
      </w:r>
      <w:r>
        <w:rPr>
          <w:rFonts w:hint="eastAsia" w:ascii="仿宋_GB2312" w:hAnsi="仿宋_GB2312" w:eastAsia="仿宋_GB2312" w:cs="仿宋_GB2312"/>
          <w:sz w:val="32"/>
          <w:szCs w:val="32"/>
          <w:lang w:eastAsia="zh-CN"/>
        </w:rPr>
        <w:t>文化事业、</w:t>
      </w:r>
      <w:r>
        <w:rPr>
          <w:rFonts w:hint="eastAsia" w:ascii="仿宋_GB2312" w:hAnsi="仿宋_GB2312" w:eastAsia="仿宋_GB2312" w:cs="仿宋_GB2312"/>
          <w:sz w:val="32"/>
          <w:szCs w:val="32"/>
        </w:rPr>
        <w:t>文化产业、广播电视</w:t>
      </w:r>
      <w:r>
        <w:rPr>
          <w:rFonts w:hint="eastAsia" w:ascii="仿宋_GB2312" w:hAnsi="仿宋_GB2312" w:eastAsia="仿宋_GB2312" w:cs="仿宋_GB2312"/>
          <w:sz w:val="32"/>
          <w:szCs w:val="32"/>
          <w:lang w:eastAsia="zh-CN"/>
        </w:rPr>
        <w:t>领域</w:t>
      </w:r>
      <w:r>
        <w:rPr>
          <w:rFonts w:hint="eastAsia" w:ascii="仿宋_GB2312" w:hAnsi="仿宋_GB2312" w:eastAsia="仿宋_GB2312" w:cs="仿宋_GB2312"/>
          <w:sz w:val="32"/>
          <w:szCs w:val="32"/>
        </w:rPr>
        <w:t>、体育业和旅游业发展规划并组织实施，推进文化、广播电视、体育和旅游融合发展，推进文化、广播电视、体育和旅游体制机制改革</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（三）管理</w:t>
      </w:r>
      <w:r>
        <w:rPr>
          <w:rFonts w:hint="eastAsia" w:ascii="仿宋_GB2312" w:hAnsi="仿宋_GB2312" w:eastAsia="仿宋_GB2312" w:cs="仿宋_GB2312"/>
          <w:sz w:val="32"/>
          <w:szCs w:val="32"/>
          <w:lang w:eastAsia="zh-CN"/>
        </w:rPr>
        <w:t>和组织</w:t>
      </w:r>
      <w:r>
        <w:rPr>
          <w:rFonts w:hint="eastAsia" w:ascii="仿宋_GB2312" w:hAnsi="仿宋_GB2312" w:eastAsia="仿宋_GB2312" w:cs="仿宋_GB2312"/>
          <w:sz w:val="32"/>
          <w:szCs w:val="32"/>
        </w:rPr>
        <w:t>全区</w:t>
      </w:r>
      <w:r>
        <w:rPr>
          <w:rFonts w:hint="eastAsia" w:ascii="仿宋_GB2312" w:hAnsi="仿宋_GB2312" w:eastAsia="仿宋_GB2312" w:cs="仿宋_GB2312"/>
          <w:sz w:val="32"/>
          <w:szCs w:val="32"/>
          <w:lang w:eastAsia="zh-CN"/>
        </w:rPr>
        <w:t>性</w:t>
      </w:r>
      <w:r>
        <w:rPr>
          <w:rFonts w:hint="eastAsia" w:ascii="仿宋_GB2312" w:hAnsi="仿宋_GB2312" w:eastAsia="仿宋_GB2312" w:cs="仿宋_GB2312"/>
          <w:sz w:val="32"/>
          <w:szCs w:val="32"/>
        </w:rPr>
        <w:t>重大文化和旅游活动，组织实施全区广播电视公共服务</w:t>
      </w:r>
      <w:r>
        <w:rPr>
          <w:rFonts w:hint="eastAsia" w:ascii="仿宋_GB2312" w:hAnsi="仿宋_GB2312" w:eastAsia="仿宋_GB2312" w:cs="仿宋_GB2312"/>
          <w:sz w:val="32"/>
          <w:szCs w:val="32"/>
          <w:lang w:eastAsia="zh-CN"/>
        </w:rPr>
        <w:t>重大公益工程和</w:t>
      </w:r>
      <w:r>
        <w:rPr>
          <w:rFonts w:hint="eastAsia" w:ascii="仿宋_GB2312" w:hAnsi="仿宋_GB2312" w:eastAsia="仿宋_GB2312" w:cs="仿宋_GB2312"/>
          <w:sz w:val="32"/>
          <w:szCs w:val="32"/>
        </w:rPr>
        <w:t>公益活动。监管全区</w:t>
      </w:r>
      <w:r>
        <w:rPr>
          <w:rFonts w:hint="eastAsia" w:ascii="仿宋_GB2312" w:hAnsi="仿宋_GB2312" w:eastAsia="仿宋_GB2312" w:cs="仿宋_GB2312"/>
          <w:sz w:val="32"/>
          <w:szCs w:val="32"/>
          <w:lang w:eastAsia="zh-CN"/>
        </w:rPr>
        <w:t>重点</w:t>
      </w:r>
      <w:r>
        <w:rPr>
          <w:rFonts w:hint="eastAsia" w:ascii="仿宋_GB2312" w:hAnsi="仿宋_GB2312" w:eastAsia="仿宋_GB2312" w:cs="仿宋_GB2312"/>
          <w:sz w:val="32"/>
          <w:szCs w:val="32"/>
        </w:rPr>
        <w:t>文化</w:t>
      </w:r>
      <w:r>
        <w:rPr>
          <w:rFonts w:hint="eastAsia" w:ascii="仿宋_GB2312" w:hAnsi="仿宋_GB2312" w:eastAsia="仿宋_GB2312" w:cs="仿宋_GB2312"/>
          <w:sz w:val="32"/>
          <w:szCs w:val="32"/>
          <w:lang w:eastAsia="zh-CN"/>
        </w:rPr>
        <w:t>、体育和旅游</w:t>
      </w:r>
      <w:r>
        <w:rPr>
          <w:rFonts w:hint="eastAsia" w:ascii="仿宋_GB2312" w:hAnsi="仿宋_GB2312" w:eastAsia="仿宋_GB2312" w:cs="仿宋_GB2312"/>
          <w:sz w:val="32"/>
          <w:szCs w:val="32"/>
        </w:rPr>
        <w:t>设施建设，组织鹿泉文化、体育和旅游整体形象推广，促进文化产业、体育产业和旅游产业对外合作和国际市场推广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负责</w:t>
      </w:r>
      <w:r>
        <w:rPr>
          <w:rFonts w:hint="eastAsia" w:ascii="仿宋_GB2312" w:hAnsi="仿宋_GB2312" w:eastAsia="仿宋_GB2312" w:cs="仿宋_GB2312"/>
          <w:sz w:val="32"/>
          <w:szCs w:val="32"/>
        </w:rPr>
        <w:t>组织推进全域旅游</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（四）指导、管理全区文艺事业。指导艺术创作生产，推动全区各门类艺术、各艺术品种发展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指导全区电视剧行业发展和</w:t>
      </w:r>
      <w:r>
        <w:rPr>
          <w:rFonts w:hint="eastAsia" w:ascii="仿宋_GB2312" w:hAnsi="仿宋_GB2312" w:eastAsia="仿宋_GB2312" w:cs="仿宋_GB2312"/>
          <w:sz w:val="32"/>
          <w:szCs w:val="32"/>
          <w:lang w:eastAsia="zh-CN"/>
        </w:rPr>
        <w:t>电视剧</w:t>
      </w:r>
      <w:r>
        <w:rPr>
          <w:rFonts w:hint="eastAsia" w:ascii="仿宋_GB2312" w:hAnsi="仿宋_GB2312" w:eastAsia="仿宋_GB2312" w:cs="仿宋_GB2312"/>
          <w:sz w:val="32"/>
          <w:szCs w:val="32"/>
        </w:rPr>
        <w:t>创作生产</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（五）负责全区公共文化、广播电视、体育和旅游事业发展。推动全区文化、广播电视和旅游公共服务体系建设，</w:t>
      </w:r>
      <w:r>
        <w:rPr>
          <w:rFonts w:hint="eastAsia" w:ascii="仿宋_GB2312" w:hAnsi="仿宋_GB2312" w:eastAsia="仿宋_GB2312" w:cs="仿宋_GB2312"/>
          <w:sz w:val="32"/>
          <w:szCs w:val="32"/>
          <w:lang w:eastAsia="zh-CN"/>
        </w:rPr>
        <w:t>协调区域性体育服务体系，推动多元化体育服务体系建设，</w:t>
      </w:r>
      <w:r>
        <w:rPr>
          <w:rFonts w:hint="eastAsia" w:ascii="仿宋_GB2312" w:hAnsi="仿宋_GB2312" w:eastAsia="仿宋_GB2312" w:cs="仿宋_GB2312"/>
          <w:sz w:val="32"/>
          <w:szCs w:val="32"/>
        </w:rPr>
        <w:t>深入实施文化惠民工程，统筹推进全区文化、广播电视、体育和旅游服务标准化、均等化</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（六）推进全区文化、广播电视、体育和旅游科技创新发展，推进文化和旅游行业信息化、标准化建设；负责对</w:t>
      </w:r>
      <w:r>
        <w:rPr>
          <w:rFonts w:hint="eastAsia" w:ascii="仿宋_GB2312" w:hAnsi="仿宋_GB2312" w:eastAsia="仿宋_GB2312" w:cs="仿宋_GB2312"/>
          <w:sz w:val="32"/>
          <w:szCs w:val="32"/>
          <w:lang w:eastAsia="zh-CN"/>
        </w:rPr>
        <w:t>全区</w:t>
      </w:r>
      <w:r>
        <w:rPr>
          <w:rFonts w:hint="eastAsia" w:ascii="仿宋_GB2312" w:hAnsi="仿宋_GB2312" w:eastAsia="仿宋_GB2312" w:cs="仿宋_GB2312"/>
          <w:sz w:val="32"/>
          <w:szCs w:val="32"/>
        </w:rPr>
        <w:t>广播电视节目传输覆盖、监听、监看、监测的监管，</w:t>
      </w:r>
      <w:r>
        <w:rPr>
          <w:rFonts w:hint="eastAsia" w:ascii="仿宋_GB2312" w:hAnsi="仿宋_GB2312" w:eastAsia="仿宋_GB2312" w:cs="仿宋_GB2312"/>
          <w:sz w:val="32"/>
          <w:szCs w:val="32"/>
          <w:lang w:eastAsia="zh-CN"/>
        </w:rPr>
        <w:t>会同有关部门做好对网络视听节目和公共视听载体播放的视听节目的监管工作，</w:t>
      </w:r>
      <w:r>
        <w:rPr>
          <w:rFonts w:hint="eastAsia" w:ascii="仿宋_GB2312" w:hAnsi="仿宋_GB2312" w:eastAsia="仿宋_GB2312" w:cs="仿宋_GB2312"/>
          <w:sz w:val="32"/>
          <w:szCs w:val="32"/>
        </w:rPr>
        <w:t>指导、监管全区广播电视广告播放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推进全区应急广播体系建设，监管</w:t>
      </w:r>
      <w:r>
        <w:rPr>
          <w:rFonts w:hint="eastAsia" w:ascii="仿宋_GB2312" w:hAnsi="仿宋_GB2312" w:eastAsia="仿宋_GB2312" w:cs="仿宋_GB2312"/>
          <w:sz w:val="32"/>
          <w:szCs w:val="32"/>
          <w:lang w:eastAsia="zh-CN"/>
        </w:rPr>
        <w:t>协调调度</w:t>
      </w:r>
      <w:r>
        <w:rPr>
          <w:rFonts w:hint="eastAsia" w:ascii="仿宋_GB2312" w:hAnsi="仿宋_GB2312" w:eastAsia="仿宋_GB2312" w:cs="仿宋_GB2312"/>
          <w:sz w:val="32"/>
          <w:szCs w:val="32"/>
        </w:rPr>
        <w:t>全区广播电视安全播出</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（七）负责对全区各类广播电视机构进行业务指导和监管，会同有关部门对全区网络</w:t>
      </w:r>
      <w:r>
        <w:rPr>
          <w:rFonts w:hint="eastAsia" w:ascii="仿宋_GB2312" w:hAnsi="仿宋_GB2312" w:eastAsia="仿宋_GB2312" w:cs="仿宋_GB2312"/>
          <w:sz w:val="32"/>
          <w:szCs w:val="32"/>
          <w:lang w:eastAsia="zh-CN"/>
        </w:rPr>
        <w:t>视</w:t>
      </w:r>
      <w:r>
        <w:rPr>
          <w:rFonts w:hint="eastAsia" w:ascii="仿宋_GB2312" w:hAnsi="仿宋_GB2312" w:eastAsia="仿宋_GB2312" w:cs="仿宋_GB2312"/>
          <w:sz w:val="32"/>
          <w:szCs w:val="32"/>
        </w:rPr>
        <w:t>听节目服务机构进行管理，推进广播电视与新媒体新技术新业态融合发展</w:t>
      </w:r>
      <w:r>
        <w:rPr>
          <w:rFonts w:hint="eastAsia" w:ascii="仿宋_GB2312" w:hAnsi="仿宋_GB2312" w:eastAsia="仿宋_GB2312" w:cs="仿宋_GB2312"/>
          <w:sz w:val="32"/>
          <w:szCs w:val="32"/>
          <w:lang w:eastAsia="zh-CN"/>
        </w:rPr>
        <w:t>，推进广电网与电信网、互联网三网融合。</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（八）负责全区非物质文化遗产保护，推动非物质文化遗产的保护、传承、普及、弘扬和振兴</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（九）统筹规划全区文化产业、广播电视产业、体育产业和旅游产业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组织实施文化和旅游资源普查、挖掘、保护和开发利用工作，促进文化产业、广播电视产业、体育产业和旅游产业发展</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（十）指导全区文化、广播电视、体育和旅游市场发展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对文化、广播电视、体育和旅游市场进行行业监管，推进全区文化、广播电视</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旅游行业信用体系建设，依法规范文化、广播电视、体育和旅游市场</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（十一）</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文化、文物、</w:t>
      </w:r>
      <w:r>
        <w:rPr>
          <w:rFonts w:hint="eastAsia" w:ascii="仿宋_GB2312" w:hAnsi="仿宋_GB2312" w:eastAsia="仿宋_GB2312" w:cs="仿宋_GB2312"/>
          <w:sz w:val="32"/>
          <w:szCs w:val="32"/>
          <w:lang w:eastAsia="zh-CN"/>
        </w:rPr>
        <w:t>新闻出版（版权）、</w:t>
      </w:r>
      <w:r>
        <w:rPr>
          <w:rFonts w:hint="eastAsia" w:ascii="仿宋_GB2312" w:hAnsi="仿宋_GB2312" w:eastAsia="仿宋_GB2312" w:cs="仿宋_GB2312"/>
          <w:sz w:val="32"/>
          <w:szCs w:val="32"/>
        </w:rPr>
        <w:t>广播电视、</w:t>
      </w:r>
      <w:r>
        <w:rPr>
          <w:rFonts w:hint="eastAsia" w:ascii="仿宋_GB2312" w:hAnsi="仿宋_GB2312" w:eastAsia="仿宋_GB2312" w:cs="仿宋_GB2312"/>
          <w:sz w:val="32"/>
          <w:szCs w:val="32"/>
          <w:lang w:eastAsia="zh-CN"/>
        </w:rPr>
        <w:t>电影、</w:t>
      </w:r>
      <w:r>
        <w:rPr>
          <w:rFonts w:hint="eastAsia" w:ascii="仿宋_GB2312" w:hAnsi="仿宋_GB2312" w:eastAsia="仿宋_GB2312" w:cs="仿宋_GB2312"/>
          <w:sz w:val="32"/>
          <w:szCs w:val="32"/>
        </w:rPr>
        <w:t>体育、旅游等市场综合执法</w:t>
      </w:r>
      <w:r>
        <w:rPr>
          <w:rFonts w:hint="eastAsia" w:ascii="仿宋_GB2312" w:hAnsi="仿宋_GB2312" w:eastAsia="仿宋_GB2312" w:cs="仿宋_GB2312"/>
          <w:sz w:val="32"/>
          <w:szCs w:val="32"/>
          <w:lang w:eastAsia="zh-CN"/>
        </w:rPr>
        <w:t>；负责督查督办全区性、跨区域性大案要案，</w:t>
      </w:r>
      <w:r>
        <w:rPr>
          <w:rFonts w:hint="eastAsia" w:ascii="仿宋_GB2312" w:hAnsi="仿宋_GB2312" w:eastAsia="仿宋_GB2312" w:cs="仿宋_GB2312"/>
          <w:sz w:val="32"/>
          <w:szCs w:val="32"/>
        </w:rPr>
        <w:t>维护市场秩序</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（十二）</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文化遗产的管理和保护，指导和管理文物</w:t>
      </w:r>
      <w:r>
        <w:rPr>
          <w:rFonts w:hint="eastAsia" w:ascii="仿宋_GB2312" w:hAnsi="仿宋_GB2312" w:eastAsia="仿宋_GB2312" w:cs="仿宋_GB2312"/>
          <w:sz w:val="32"/>
          <w:szCs w:val="32"/>
          <w:lang w:eastAsia="zh-CN"/>
        </w:rPr>
        <w:t>、博物馆</w:t>
      </w:r>
      <w:r>
        <w:rPr>
          <w:rFonts w:hint="eastAsia" w:ascii="仿宋_GB2312" w:hAnsi="仿宋_GB2312" w:eastAsia="仿宋_GB2312" w:cs="仿宋_GB2312"/>
          <w:sz w:val="32"/>
          <w:szCs w:val="32"/>
        </w:rPr>
        <w:t>事业，组织指导文物的保护抢救、考古发掘和开发利用工作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（十三）承担全区文化、广播电视、体育和旅游行业安全综合协调和监督管理工作，负责全区文化、广播电视、体育和旅游行业突发应急事件的处理工作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（十四）指导、管理全区文化、广播电视和旅游对外及对港澳台交流、合作和宣传、推广工作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组织大型文化、广播电视和旅游对外及对港澳台交流活动</w:t>
      </w:r>
      <w:r>
        <w:rPr>
          <w:rFonts w:hint="eastAsia" w:ascii="仿宋_GB2312" w:hAnsi="仿宋_GB2312" w:eastAsia="仿宋_GB2312" w:cs="仿宋_GB2312"/>
          <w:sz w:val="32"/>
          <w:szCs w:val="32"/>
          <w:lang w:eastAsia="zh-CN"/>
        </w:rPr>
        <w:t>。根据授权开展对外体育合作与交流。</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（十五）负责统筹规划全区群众体育发展，推行全民健身计划，开展群众性体育活动，实施国家体育锻炼标准，开展国民体质监测，负责公共体育设施建设及监督管理工作。</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（十七）指导体育</w:t>
      </w:r>
      <w:r>
        <w:rPr>
          <w:rFonts w:hint="eastAsia" w:ascii="仿宋_GB2312" w:hAnsi="仿宋_GB2312" w:eastAsia="仿宋_GB2312" w:cs="仿宋_GB2312"/>
          <w:sz w:val="32"/>
          <w:szCs w:val="32"/>
          <w:lang w:val="en-US" w:eastAsia="zh-CN"/>
        </w:rPr>
        <w:t>社</w:t>
      </w:r>
      <w:r>
        <w:rPr>
          <w:rFonts w:hint="eastAsia" w:ascii="仿宋_GB2312" w:hAnsi="仿宋_GB2312" w:eastAsia="仿宋_GB2312" w:cs="仿宋_GB2312"/>
          <w:sz w:val="32"/>
          <w:szCs w:val="32"/>
        </w:rPr>
        <w:t>团工作</w:t>
      </w:r>
      <w:r>
        <w:rPr>
          <w:rFonts w:hint="eastAsia" w:ascii="仿宋_GB2312" w:hAnsi="仿宋_GB2312" w:eastAsia="仿宋_GB2312" w:cs="仿宋_GB2312"/>
          <w:sz w:val="32"/>
          <w:szCs w:val="32"/>
          <w:lang w:eastAsia="zh-CN"/>
        </w:rPr>
        <w:t>。</w:t>
      </w:r>
    </w:p>
    <w:p>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val="en-US" w:eastAsia="zh-CN"/>
        </w:rPr>
        <w:t>八</w:t>
      </w:r>
      <w:r>
        <w:rPr>
          <w:rFonts w:hint="eastAsia" w:ascii="仿宋_GB2312" w:hAnsi="仿宋_GB2312" w:eastAsia="仿宋_GB2312" w:cs="仿宋_GB2312"/>
          <w:sz w:val="32"/>
          <w:szCs w:val="32"/>
        </w:rPr>
        <w:t>）完成区委、区政府交办的其他任务。</w:t>
      </w:r>
    </w:p>
    <w:p>
      <w:pPr>
        <w:jc w:val="left"/>
        <w:rPr>
          <w:rFonts w:hint="eastAsia" w:ascii="仿宋_GB2312" w:hAnsi="仿宋_GB2312" w:eastAsia="仿宋_GB2312" w:cs="仿宋_GB2312"/>
          <w:sz w:val="32"/>
          <w:szCs w:val="32"/>
        </w:rPr>
        <w:sectPr>
          <w:pgSz w:w="11907" w:h="16839"/>
          <w:pgMar w:top="1531" w:right="1134" w:bottom="1474" w:left="1134" w:header="851" w:footer="992" w:gutter="0"/>
          <w:cols w:space="720" w:num="1"/>
          <w:docGrid w:type="lines" w:linePitch="312" w:charSpace="0"/>
        </w:sectPr>
      </w:pPr>
    </w:p>
    <w:p>
      <w:pPr>
        <w:ind w:firstLine="321" w:firstLineChars="100"/>
        <w:rPr>
          <w:rFonts w:hint="eastAsia" w:ascii="仿宋_GB2312" w:hAnsi="宋体" w:eastAsia="仿宋_GB2312"/>
          <w:b/>
          <w:kern w:val="0"/>
          <w:sz w:val="32"/>
          <w:szCs w:val="32"/>
          <w:highlight w:val="none"/>
        </w:rPr>
      </w:pPr>
      <w:r>
        <w:rPr>
          <w:rFonts w:hint="eastAsia" w:ascii="仿宋_GB2312" w:hAnsi="宋体" w:eastAsia="仿宋_GB2312" w:cs="宋体"/>
          <w:b/>
          <w:kern w:val="0"/>
          <w:sz w:val="32"/>
          <w:szCs w:val="32"/>
        </w:rPr>
        <w:t>机构设置</w:t>
      </w:r>
      <w:r>
        <w:rPr>
          <w:rFonts w:hint="eastAsia" w:ascii="仿宋_GB2312" w:hAnsi="宋体" w:eastAsia="仿宋_GB2312" w:cs="宋体"/>
          <w:b/>
          <w:kern w:val="0"/>
          <w:sz w:val="32"/>
          <w:szCs w:val="32"/>
          <w:lang w:eastAsia="zh-CN"/>
        </w:rPr>
        <w:t>：</w:t>
      </w:r>
      <w:r>
        <w:rPr>
          <w:rFonts w:hint="eastAsia" w:ascii="仿宋_GB2312" w:hAnsi="宋体" w:eastAsia="仿宋_GB2312"/>
          <w:b/>
          <w:kern w:val="0"/>
          <w:sz w:val="32"/>
          <w:szCs w:val="32"/>
        </w:rPr>
        <w:t xml:space="preserve"> </w:t>
      </w:r>
    </w:p>
    <w:p>
      <w:pPr>
        <w:jc w:val="center"/>
        <w:outlineLvl w:val="0"/>
        <w:rPr>
          <w:rFonts w:hint="eastAsia" w:ascii="方正小标宋_GBK" w:eastAsia="方正小标宋_GBK"/>
          <w:sz w:val="32"/>
          <w:highlight w:val="none"/>
          <w:shd w:val="clear" w:color="auto" w:fill="auto"/>
        </w:rPr>
      </w:pPr>
      <w:bookmarkStart w:id="0" w:name="_Toc1657540"/>
      <w:r>
        <w:rPr>
          <w:rFonts w:hint="eastAsia" w:ascii="方正小标宋_GBK" w:eastAsia="方正小标宋_GBK"/>
          <w:sz w:val="32"/>
          <w:highlight w:val="none"/>
          <w:shd w:val="clear" w:color="auto" w:fill="auto"/>
        </w:rPr>
        <w:t>部门基本情况表</w:t>
      </w:r>
      <w:bookmarkEnd w:id="0"/>
    </w:p>
    <w:tbl>
      <w:tblPr>
        <w:tblStyle w:val="10"/>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color w:val="auto"/>
                <w:sz w:val="24"/>
              </w:rPr>
            </w:pPr>
            <w:r>
              <w:rPr>
                <w:rFonts w:ascii="方正小标宋_GBK" w:eastAsia="方正小标宋_GBK"/>
                <w:color w:val="auto"/>
                <w:sz w:val="24"/>
              </w:rPr>
              <w:t>357</w:t>
            </w:r>
            <w:r>
              <w:rPr>
                <w:rFonts w:hint="eastAsia" w:ascii="方正小标宋_GBK" w:eastAsia="方正小标宋_GBK"/>
                <w:color w:val="auto"/>
                <w:sz w:val="24"/>
              </w:rPr>
              <w:t>石家庄市鹿泉区文体旅游局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单位名称</w:t>
            </w:r>
          </w:p>
        </w:tc>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单位性质</w:t>
            </w:r>
          </w:p>
        </w:tc>
        <w:tc>
          <w:tcPr>
            <w:tcW w:w="1276"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单位规格</w:t>
            </w:r>
          </w:p>
        </w:tc>
        <w:tc>
          <w:tcPr>
            <w:tcW w:w="2353"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经费保障形式</w:t>
            </w:r>
          </w:p>
        </w:tc>
        <w:tc>
          <w:tcPr>
            <w:tcW w:w="709"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车辆实有数</w:t>
            </w:r>
          </w:p>
        </w:tc>
        <w:tc>
          <w:tcPr>
            <w:tcW w:w="1418" w:type="dxa"/>
            <w:gridSpan w:val="2"/>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编制人数</w:t>
            </w:r>
          </w:p>
        </w:tc>
        <w:tc>
          <w:tcPr>
            <w:tcW w:w="1418"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在职人数</w:t>
            </w:r>
          </w:p>
        </w:tc>
        <w:tc>
          <w:tcPr>
            <w:tcW w:w="2127" w:type="dxa"/>
            <w:gridSpan w:val="3"/>
            <w:shd w:val="clear" w:color="auto" w:fill="auto"/>
            <w:vAlign w:val="center"/>
          </w:tcPr>
          <w:p>
            <w:pPr>
              <w:spacing w:line="300" w:lineRule="exact"/>
              <w:jc w:val="center"/>
              <w:rPr>
                <w:rFonts w:ascii="方正书宋_GBK" w:eastAsia="方正书宋_GBK"/>
              </w:rPr>
            </w:pPr>
            <w:r>
              <w:rPr>
                <w:rFonts w:hint="eastAsia" w:ascii="方正书宋_GBK" w:eastAsia="方正书宋_GBK"/>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center"/>
              <w:rPr>
                <w:rFonts w:ascii="方正书宋_GBK" w:eastAsia="方正书宋_GBK"/>
                <w:color w:val="auto"/>
              </w:rPr>
            </w:pPr>
          </w:p>
        </w:tc>
        <w:tc>
          <w:tcPr>
            <w:tcW w:w="1134" w:type="dxa"/>
            <w:vMerge w:val="continue"/>
            <w:shd w:val="clear" w:color="auto" w:fill="auto"/>
            <w:vAlign w:val="center"/>
          </w:tcPr>
          <w:p>
            <w:pPr>
              <w:spacing w:line="300" w:lineRule="exact"/>
              <w:jc w:val="center"/>
              <w:rPr>
                <w:rFonts w:ascii="方正书宋_GBK" w:eastAsia="方正书宋_GBK"/>
                <w:color w:val="auto"/>
              </w:rPr>
            </w:pPr>
          </w:p>
        </w:tc>
        <w:tc>
          <w:tcPr>
            <w:tcW w:w="1276" w:type="dxa"/>
            <w:vMerge w:val="continue"/>
            <w:shd w:val="clear" w:color="auto" w:fill="auto"/>
            <w:vAlign w:val="center"/>
          </w:tcPr>
          <w:p>
            <w:pPr>
              <w:spacing w:line="300" w:lineRule="exact"/>
              <w:jc w:val="center"/>
              <w:rPr>
                <w:rFonts w:ascii="方正书宋_GBK" w:eastAsia="方正书宋_GBK"/>
                <w:color w:val="auto"/>
              </w:rPr>
            </w:pPr>
          </w:p>
        </w:tc>
        <w:tc>
          <w:tcPr>
            <w:tcW w:w="2353" w:type="dxa"/>
            <w:vMerge w:val="continue"/>
            <w:shd w:val="clear" w:color="auto" w:fill="auto"/>
            <w:vAlign w:val="center"/>
          </w:tcPr>
          <w:p>
            <w:pPr>
              <w:spacing w:line="300" w:lineRule="exact"/>
              <w:jc w:val="center"/>
              <w:rPr>
                <w:rFonts w:ascii="方正书宋_GBK" w:eastAsia="方正书宋_GBK"/>
                <w:color w:val="auto"/>
              </w:rPr>
            </w:pPr>
          </w:p>
        </w:tc>
        <w:tc>
          <w:tcPr>
            <w:tcW w:w="709" w:type="dxa"/>
            <w:vMerge w:val="continue"/>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行政</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离休</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退休</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827" w:type="dxa"/>
            <w:shd w:val="clear" w:color="auto" w:fill="auto"/>
            <w:vAlign w:val="center"/>
          </w:tcPr>
          <w:p>
            <w:pPr>
              <w:spacing w:line="300" w:lineRule="exact"/>
              <w:jc w:val="center"/>
              <w:rPr>
                <w:rFonts w:hint="eastAsia" w:ascii="方正书宋_GBK" w:eastAsia="方正书宋_GBK"/>
                <w:color w:val="auto"/>
                <w:lang w:eastAsia="zh-CN"/>
              </w:rPr>
            </w:pPr>
            <w:r>
              <w:rPr>
                <w:rFonts w:hint="eastAsia" w:ascii="方正书宋_GBK" w:eastAsia="方正书宋_GBK"/>
                <w:color w:val="auto"/>
                <w:lang w:eastAsia="zh-CN"/>
              </w:rPr>
              <w:t>合</w:t>
            </w:r>
            <w:r>
              <w:rPr>
                <w:rFonts w:hint="eastAsia" w:ascii="方正书宋_GBK" w:eastAsia="方正书宋_GBK"/>
                <w:color w:val="auto"/>
                <w:lang w:val="en-US" w:eastAsia="zh-CN"/>
              </w:rPr>
              <w:t xml:space="preserve">   </w:t>
            </w:r>
            <w:r>
              <w:rPr>
                <w:rFonts w:hint="eastAsia" w:ascii="方正书宋_GBK" w:eastAsia="方正书宋_GBK"/>
                <w:color w:val="auto"/>
                <w:lang w:eastAsia="zh-CN"/>
              </w:rPr>
              <w:t>计</w:t>
            </w:r>
          </w:p>
        </w:tc>
        <w:tc>
          <w:tcPr>
            <w:tcW w:w="1134" w:type="dxa"/>
            <w:shd w:val="clear" w:color="auto" w:fill="auto"/>
            <w:vAlign w:val="center"/>
          </w:tcPr>
          <w:p>
            <w:pPr>
              <w:spacing w:line="300" w:lineRule="exact"/>
              <w:jc w:val="center"/>
              <w:rPr>
                <w:rFonts w:ascii="方正书宋_GBK" w:eastAsia="方正书宋_GBK"/>
                <w:color w:val="auto"/>
              </w:rPr>
            </w:pPr>
          </w:p>
        </w:tc>
        <w:tc>
          <w:tcPr>
            <w:tcW w:w="1276" w:type="dxa"/>
            <w:shd w:val="clear" w:color="auto" w:fill="auto"/>
            <w:vAlign w:val="center"/>
          </w:tcPr>
          <w:p>
            <w:pPr>
              <w:spacing w:line="300" w:lineRule="exact"/>
              <w:jc w:val="center"/>
              <w:rPr>
                <w:rFonts w:ascii="方正书宋_GBK" w:eastAsia="方正书宋_GBK"/>
                <w:color w:val="auto"/>
              </w:rPr>
            </w:pPr>
          </w:p>
        </w:tc>
        <w:tc>
          <w:tcPr>
            <w:tcW w:w="2353"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3</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石家庄市鹿泉区文体旅游局</w:t>
            </w:r>
          </w:p>
        </w:tc>
        <w:tc>
          <w:tcPr>
            <w:tcW w:w="1134" w:type="dxa"/>
            <w:shd w:val="clear" w:color="auto" w:fill="auto"/>
            <w:vAlign w:val="center"/>
          </w:tcPr>
          <w:p>
            <w:pPr>
              <w:spacing w:line="300" w:lineRule="exact"/>
              <w:jc w:val="center"/>
              <w:rPr>
                <w:rFonts w:ascii="方正书宋_GBK" w:eastAsia="方正书宋_GBK"/>
                <w:color w:val="000000" w:themeColor="text1"/>
                <w:sz w:val="21"/>
              </w:rPr>
            </w:pPr>
            <w:r>
              <w:rPr>
                <w:rFonts w:hint="eastAsia" w:ascii="方正书宋_GBK" w:eastAsia="方正书宋_GBK"/>
                <w:color w:val="000000" w:themeColor="text1"/>
                <w:sz w:val="21"/>
              </w:rPr>
              <w:t>行政</w:t>
            </w:r>
          </w:p>
        </w:tc>
        <w:tc>
          <w:tcPr>
            <w:tcW w:w="1276" w:type="dxa"/>
            <w:shd w:val="clear" w:color="auto" w:fill="auto"/>
            <w:vAlign w:val="center"/>
          </w:tcPr>
          <w:p>
            <w:pPr>
              <w:spacing w:line="300" w:lineRule="exact"/>
              <w:jc w:val="center"/>
              <w:rPr>
                <w:rFonts w:ascii="方正书宋_GBK" w:eastAsia="方正书宋_GBK"/>
                <w:color w:val="000000" w:themeColor="text1"/>
                <w:sz w:val="21"/>
              </w:rPr>
            </w:pPr>
            <w:r>
              <w:rPr>
                <w:rFonts w:hint="eastAsia" w:ascii="方正书宋_GBK" w:eastAsia="方正书宋_GBK"/>
                <w:color w:val="000000" w:themeColor="text1"/>
                <w:sz w:val="21"/>
              </w:rPr>
              <w:t>正科级</w:t>
            </w:r>
          </w:p>
        </w:tc>
        <w:tc>
          <w:tcPr>
            <w:tcW w:w="2353" w:type="dxa"/>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财政拨款</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石家庄市鹿泉区图书馆</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石家庄市鹿泉区文物</w:t>
            </w:r>
            <w:r>
              <w:rPr>
                <w:rFonts w:hint="eastAsia" w:ascii="方正书宋_GBK" w:eastAsia="方正书宋_GBK"/>
              </w:rPr>
              <w:t>保护</w:t>
            </w:r>
            <w:r>
              <w:rPr>
                <w:rFonts w:hint="eastAsia" w:ascii="方正书宋_GBK" w:eastAsia="方正书宋_GBK"/>
                <w:color w:val="auto"/>
              </w:rPr>
              <w:t>管理所</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石家庄市鹿泉区文化馆</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left"/>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石家庄市鹿泉区体育场</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spacing w:line="300" w:lineRule="exact"/>
        <w:jc w:val="center"/>
        <w:sectPr>
          <w:pgSz w:w="16839" w:h="11907" w:orient="landscape"/>
          <w:pgMar w:top="1020" w:right="1361" w:bottom="1020" w:left="1361" w:header="851" w:footer="992" w:gutter="0"/>
          <w:cols w:space="425" w:num="1"/>
          <w:docGrid w:type="lines" w:linePitch="312" w:charSpace="0"/>
        </w:sectPr>
      </w:pPr>
    </w:p>
    <w:p>
      <w:pPr>
        <w:numPr>
          <w:ilvl w:val="0"/>
          <w:numId w:val="1"/>
        </w:numPr>
        <w:autoSpaceDE w:val="0"/>
        <w:autoSpaceDN w:val="0"/>
        <w:adjustRightInd w:val="0"/>
        <w:spacing w:before="49"/>
        <w:ind w:right="-20" w:firstLine="651" w:firstLineChars="200"/>
        <w:jc w:val="left"/>
        <w:rPr>
          <w:rFonts w:hint="eastAsia" w:ascii="仿宋" w:hAnsi="仿宋" w:eastAsia="仿宋" w:cs="仿宋_GB2312"/>
          <w:b/>
          <w:spacing w:val="2"/>
          <w:kern w:val="0"/>
          <w:sz w:val="32"/>
          <w:szCs w:val="32"/>
        </w:rPr>
      </w:pPr>
      <w:r>
        <w:rPr>
          <w:rFonts w:hint="eastAsia" w:ascii="仿宋" w:hAnsi="仿宋" w:eastAsia="仿宋" w:cs="仿宋_GB2312"/>
          <w:b/>
          <w:spacing w:val="2"/>
          <w:kern w:val="0"/>
          <w:sz w:val="32"/>
          <w:szCs w:val="32"/>
        </w:rPr>
        <w:t>部门预算安排总体情况</w:t>
      </w:r>
    </w:p>
    <w:p>
      <w:pPr>
        <w:ind w:firstLine="640" w:firstLineChars="200"/>
        <w:jc w:val="left"/>
        <w:outlineLvl w:val="0"/>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按照预算管理有关规定，目前我区部门预算编制实行综合预算管理，即全部收入和支出都反映在预算当中，石家庄市鹿泉区文化广电体育和旅游局及所属单位所有收支都包含在部门预算中。</w:t>
      </w:r>
    </w:p>
    <w:p>
      <w:pPr>
        <w:ind w:firstLine="640" w:firstLineChars="200"/>
        <w:jc w:val="left"/>
        <w:outlineLvl w:val="0"/>
        <w:rPr>
          <w:rFonts w:hint="eastAsia" w:ascii="仿宋_GB2312" w:hAnsi="宋体" w:eastAsia="仿宋_GB2312"/>
          <w:color w:val="auto"/>
          <w:sz w:val="32"/>
          <w:szCs w:val="32"/>
        </w:rPr>
      </w:pPr>
      <w:r>
        <w:rPr>
          <w:rFonts w:hint="eastAsia" w:ascii="仿宋_GB2312" w:hAnsi="宋体" w:eastAsia="仿宋_GB2312"/>
          <w:color w:val="auto"/>
          <w:sz w:val="32"/>
          <w:szCs w:val="32"/>
        </w:rPr>
        <w:t>1、收入说明</w:t>
      </w:r>
    </w:p>
    <w:p>
      <w:pPr>
        <w:adjustRightInd w:val="0"/>
        <w:ind w:firstLine="640" w:firstLineChars="200"/>
        <w:jc w:val="left"/>
        <w:rPr>
          <w:rFonts w:hint="eastAsia" w:ascii="仿宋_GB2312" w:hAnsi="宋体" w:eastAsia="仿宋_GB2312"/>
          <w:color w:val="auto"/>
          <w:sz w:val="32"/>
          <w:szCs w:val="32"/>
        </w:rPr>
      </w:pPr>
      <w:r>
        <w:rPr>
          <w:rFonts w:hint="eastAsia" w:ascii="仿宋_GB2312" w:hAnsi="宋体" w:eastAsia="仿宋_GB2312"/>
          <w:color w:val="auto"/>
          <w:sz w:val="32"/>
          <w:szCs w:val="32"/>
          <w:lang w:val="en-US" w:eastAsia="zh-CN"/>
        </w:rPr>
        <w:t>反应当年全部收入。</w:t>
      </w:r>
      <w:r>
        <w:rPr>
          <w:rFonts w:hint="eastAsia" w:ascii="仿宋_GB2312" w:hAnsi="宋体" w:eastAsia="仿宋_GB2312"/>
          <w:color w:val="auto"/>
          <w:sz w:val="32"/>
          <w:szCs w:val="32"/>
        </w:rPr>
        <w:t>石家庄市鹿泉区文体旅游局201</w:t>
      </w:r>
      <w:r>
        <w:rPr>
          <w:rFonts w:hint="eastAsia" w:ascii="仿宋_GB2312" w:hAnsi="宋体" w:eastAsia="仿宋_GB2312"/>
          <w:color w:val="auto"/>
          <w:sz w:val="32"/>
          <w:szCs w:val="32"/>
          <w:lang w:val="en-US" w:eastAsia="zh-CN"/>
        </w:rPr>
        <w:t>9</w:t>
      </w:r>
      <w:r>
        <w:rPr>
          <w:rFonts w:hint="eastAsia" w:ascii="仿宋_GB2312" w:hAnsi="宋体" w:eastAsia="仿宋_GB2312"/>
          <w:color w:val="auto"/>
          <w:sz w:val="32"/>
          <w:szCs w:val="32"/>
        </w:rPr>
        <w:t>年预算收入总计</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万元。其中，一般公共预算收入</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万元，基金预算收入0万元。</w:t>
      </w:r>
    </w:p>
    <w:p>
      <w:pPr>
        <w:ind w:firstLine="640" w:firstLineChars="200"/>
        <w:jc w:val="left"/>
        <w:outlineLvl w:val="0"/>
        <w:rPr>
          <w:rFonts w:hint="eastAsia" w:ascii="仿宋_GB2312" w:hAnsi="宋体" w:eastAsia="仿宋_GB2312"/>
          <w:color w:val="auto"/>
          <w:sz w:val="32"/>
          <w:szCs w:val="32"/>
        </w:rPr>
      </w:pPr>
      <w:r>
        <w:rPr>
          <w:rFonts w:hint="eastAsia" w:ascii="仿宋_GB2312" w:hAnsi="宋体" w:eastAsia="仿宋_GB2312"/>
          <w:color w:val="auto"/>
          <w:sz w:val="32"/>
          <w:szCs w:val="32"/>
        </w:rPr>
        <w:t>2、支出说明</w:t>
      </w:r>
    </w:p>
    <w:p>
      <w:pPr>
        <w:adjustRightInd w:val="0"/>
        <w:ind w:firstLine="640" w:firstLineChars="200"/>
        <w:jc w:val="left"/>
        <w:rPr>
          <w:rFonts w:hint="eastAsia" w:ascii="仿宋_GB2312" w:hAnsi="宋体" w:eastAsia="仿宋_GB2312"/>
          <w:color w:val="auto"/>
          <w:sz w:val="32"/>
          <w:szCs w:val="32"/>
        </w:rPr>
      </w:pPr>
      <w:r>
        <w:rPr>
          <w:rFonts w:hint="eastAsia" w:ascii="仿宋_GB2312" w:hAnsi="宋体" w:eastAsia="仿宋_GB2312"/>
          <w:color w:val="auto"/>
          <w:sz w:val="32"/>
          <w:szCs w:val="32"/>
        </w:rPr>
        <w:t>201</w:t>
      </w:r>
      <w:r>
        <w:rPr>
          <w:rFonts w:hint="eastAsia" w:ascii="仿宋_GB2312" w:hAnsi="宋体" w:eastAsia="仿宋_GB2312"/>
          <w:color w:val="auto"/>
          <w:sz w:val="32"/>
          <w:szCs w:val="32"/>
          <w:lang w:val="en-US" w:eastAsia="zh-CN"/>
        </w:rPr>
        <w:t>9</w:t>
      </w:r>
      <w:r>
        <w:rPr>
          <w:rFonts w:hint="eastAsia" w:ascii="仿宋_GB2312" w:hAnsi="宋体" w:eastAsia="仿宋_GB2312"/>
          <w:color w:val="auto"/>
          <w:sz w:val="32"/>
          <w:szCs w:val="32"/>
        </w:rPr>
        <w:t>预算支出</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万元。其中，人员经费支出1055.58万元，正常公用经费</w:t>
      </w:r>
      <w:r>
        <w:rPr>
          <w:rFonts w:hint="eastAsia" w:ascii="仿宋_GB2312" w:hAnsi="宋体" w:eastAsia="仿宋_GB2312"/>
          <w:color w:val="auto"/>
          <w:sz w:val="32"/>
          <w:szCs w:val="32"/>
          <w:lang w:val="en-US" w:eastAsia="zh-CN"/>
        </w:rPr>
        <w:t>123.7</w:t>
      </w:r>
      <w:r>
        <w:rPr>
          <w:rFonts w:hint="eastAsia" w:ascii="仿宋_GB2312" w:hAnsi="宋体" w:eastAsia="仿宋_GB2312"/>
          <w:color w:val="auto"/>
          <w:sz w:val="32"/>
          <w:szCs w:val="32"/>
        </w:rPr>
        <w:t>万元，项目支出</w:t>
      </w:r>
      <w:r>
        <w:rPr>
          <w:rFonts w:hint="eastAsia" w:ascii="仿宋_GB2312" w:hAnsi="宋体" w:eastAsia="仿宋_GB2312"/>
          <w:color w:val="auto"/>
          <w:sz w:val="32"/>
          <w:szCs w:val="32"/>
          <w:lang w:val="en-US" w:eastAsia="zh-CN"/>
        </w:rPr>
        <w:t>1669.51</w:t>
      </w:r>
      <w:r>
        <w:rPr>
          <w:rFonts w:hint="eastAsia" w:ascii="仿宋_GB2312" w:hAnsi="宋体" w:eastAsia="仿宋_GB2312"/>
          <w:color w:val="auto"/>
          <w:sz w:val="32"/>
          <w:szCs w:val="32"/>
        </w:rPr>
        <w:t>万元（其中本级项目支出</w:t>
      </w:r>
      <w:r>
        <w:rPr>
          <w:rFonts w:hint="eastAsia" w:ascii="仿宋_GB2312" w:hAnsi="宋体" w:eastAsia="仿宋_GB2312"/>
          <w:color w:val="auto"/>
          <w:sz w:val="32"/>
          <w:szCs w:val="32"/>
          <w:lang w:val="en-US" w:eastAsia="zh-CN"/>
        </w:rPr>
        <w:t>1669.51</w:t>
      </w:r>
      <w:r>
        <w:rPr>
          <w:rFonts w:hint="eastAsia" w:ascii="仿宋_GB2312" w:hAnsi="宋体" w:eastAsia="仿宋_GB2312"/>
          <w:color w:val="auto"/>
          <w:sz w:val="32"/>
          <w:szCs w:val="32"/>
        </w:rPr>
        <w:t>万元）</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lang w:val="en-US" w:eastAsia="zh-CN"/>
        </w:rPr>
        <w:t>其他支出0万元</w:t>
      </w:r>
      <w:r>
        <w:rPr>
          <w:rFonts w:hint="eastAsia" w:ascii="仿宋_GB2312" w:hAnsi="宋体" w:eastAsia="仿宋_GB2312"/>
          <w:color w:val="auto"/>
          <w:sz w:val="32"/>
          <w:szCs w:val="32"/>
        </w:rPr>
        <w:t>。</w:t>
      </w:r>
    </w:p>
    <w:p>
      <w:p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3、比上年增减情况</w:t>
      </w:r>
    </w:p>
    <w:p>
      <w:p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20</w:t>
      </w:r>
      <w:r>
        <w:rPr>
          <w:rFonts w:hint="eastAsia" w:ascii="仿宋" w:hAnsi="仿宋" w:eastAsia="仿宋" w:cs="仿宋"/>
          <w:b w:val="0"/>
          <w:bCs w:val="0"/>
          <w:sz w:val="32"/>
          <w:szCs w:val="32"/>
          <w:lang w:val="en-US" w:eastAsia="zh-CN"/>
        </w:rPr>
        <w:t>19</w:t>
      </w:r>
      <w:r>
        <w:rPr>
          <w:rFonts w:hint="eastAsia" w:ascii="仿宋" w:hAnsi="仿宋" w:eastAsia="仿宋" w:cs="仿宋"/>
          <w:b w:val="0"/>
          <w:bCs w:val="0"/>
          <w:sz w:val="32"/>
          <w:szCs w:val="32"/>
        </w:rPr>
        <w:t>年预算收支安排</w:t>
      </w:r>
      <w:r>
        <w:rPr>
          <w:rFonts w:hint="eastAsia" w:ascii="仿宋" w:hAnsi="仿宋" w:eastAsia="仿宋" w:cs="仿宋"/>
          <w:b w:val="0"/>
          <w:bCs w:val="0"/>
          <w:sz w:val="32"/>
          <w:szCs w:val="32"/>
          <w:lang w:val="en-US" w:eastAsia="zh-CN"/>
        </w:rPr>
        <w:t>2848.79</w:t>
      </w:r>
      <w:r>
        <w:rPr>
          <w:rFonts w:hint="eastAsia" w:ascii="仿宋" w:hAnsi="仿宋" w:eastAsia="仿宋" w:cs="仿宋"/>
          <w:b w:val="0"/>
          <w:bCs w:val="0"/>
          <w:sz w:val="32"/>
          <w:szCs w:val="32"/>
        </w:rPr>
        <w:t>万元，较20</w:t>
      </w:r>
      <w:r>
        <w:rPr>
          <w:rFonts w:hint="eastAsia" w:ascii="仿宋" w:hAnsi="仿宋" w:eastAsia="仿宋" w:cs="仿宋"/>
          <w:b w:val="0"/>
          <w:bCs w:val="0"/>
          <w:sz w:val="32"/>
          <w:szCs w:val="32"/>
          <w:lang w:val="en-US" w:eastAsia="zh-CN"/>
        </w:rPr>
        <w:t>18</w:t>
      </w:r>
      <w:r>
        <w:rPr>
          <w:rFonts w:hint="eastAsia" w:ascii="仿宋" w:hAnsi="仿宋" w:eastAsia="仿宋" w:cs="仿宋"/>
          <w:b w:val="0"/>
          <w:bCs w:val="0"/>
          <w:sz w:val="32"/>
          <w:szCs w:val="32"/>
        </w:rPr>
        <w:t>年预算减少</w:t>
      </w:r>
      <w:r>
        <w:rPr>
          <w:rFonts w:hint="eastAsia" w:ascii="仿宋" w:hAnsi="仿宋" w:eastAsia="仿宋" w:cs="仿宋"/>
          <w:b w:val="0"/>
          <w:bCs w:val="0"/>
          <w:sz w:val="32"/>
          <w:szCs w:val="32"/>
          <w:lang w:val="en-US" w:eastAsia="zh-CN"/>
        </w:rPr>
        <w:t>3024.99</w:t>
      </w:r>
      <w:r>
        <w:rPr>
          <w:rFonts w:hint="eastAsia" w:ascii="仿宋" w:hAnsi="仿宋" w:eastAsia="仿宋" w:cs="仿宋"/>
          <w:b w:val="0"/>
          <w:bCs w:val="0"/>
          <w:sz w:val="32"/>
          <w:szCs w:val="32"/>
        </w:rPr>
        <w:t>万元，其中：基本支出</w:t>
      </w:r>
      <w:r>
        <w:rPr>
          <w:rFonts w:hint="eastAsia" w:ascii="仿宋" w:hAnsi="仿宋" w:eastAsia="仿宋" w:cs="仿宋"/>
          <w:b w:val="0"/>
          <w:bCs w:val="0"/>
          <w:sz w:val="32"/>
          <w:szCs w:val="32"/>
          <w:lang w:eastAsia="zh-CN"/>
        </w:rPr>
        <w:t>增加</w:t>
      </w:r>
      <w:r>
        <w:rPr>
          <w:rFonts w:hint="eastAsia" w:ascii="仿宋" w:hAnsi="仿宋" w:eastAsia="仿宋" w:cs="仿宋"/>
          <w:b w:val="0"/>
          <w:bCs w:val="0"/>
          <w:sz w:val="32"/>
          <w:szCs w:val="32"/>
          <w:lang w:val="en-US" w:eastAsia="zh-CN"/>
        </w:rPr>
        <w:t>133.2</w:t>
      </w:r>
      <w:r>
        <w:rPr>
          <w:rFonts w:hint="eastAsia" w:ascii="仿宋" w:hAnsi="仿宋" w:eastAsia="仿宋" w:cs="仿宋"/>
          <w:b w:val="0"/>
          <w:bCs w:val="0"/>
          <w:sz w:val="32"/>
          <w:szCs w:val="32"/>
        </w:rPr>
        <w:t>万元，主要为增加人员经费支出</w:t>
      </w:r>
      <w:r>
        <w:rPr>
          <w:rFonts w:hint="eastAsia" w:ascii="仿宋" w:hAnsi="仿宋" w:eastAsia="仿宋" w:cs="仿宋"/>
          <w:b w:val="0"/>
          <w:bCs w:val="0"/>
          <w:sz w:val="32"/>
          <w:szCs w:val="32"/>
          <w:lang w:val="en-US" w:eastAsia="zh-CN"/>
        </w:rPr>
        <w:t>96.82万元</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公用经费增加</w:t>
      </w:r>
      <w:r>
        <w:rPr>
          <w:rFonts w:hint="eastAsia" w:ascii="仿宋" w:hAnsi="仿宋" w:eastAsia="仿宋" w:cs="仿宋"/>
          <w:b w:val="0"/>
          <w:bCs w:val="0"/>
          <w:sz w:val="32"/>
          <w:szCs w:val="32"/>
          <w:lang w:val="en-US" w:eastAsia="zh-CN"/>
        </w:rPr>
        <w:t>40.38万元；主要是工资调整及公益性岗位和劳务派遣人员工资支出增大，机构运行费用支出增加。</w:t>
      </w:r>
      <w:r>
        <w:rPr>
          <w:rFonts w:hint="eastAsia" w:ascii="仿宋" w:hAnsi="仿宋" w:eastAsia="仿宋" w:cs="仿宋"/>
          <w:b w:val="0"/>
          <w:bCs w:val="0"/>
          <w:sz w:val="32"/>
          <w:szCs w:val="32"/>
        </w:rPr>
        <w:t>项目支出减少</w:t>
      </w:r>
      <w:r>
        <w:rPr>
          <w:rFonts w:hint="eastAsia" w:ascii="仿宋" w:hAnsi="仿宋" w:eastAsia="仿宋" w:cs="仿宋"/>
          <w:b w:val="0"/>
          <w:bCs w:val="0"/>
          <w:sz w:val="32"/>
          <w:szCs w:val="32"/>
          <w:lang w:val="en-US" w:eastAsia="zh-CN"/>
        </w:rPr>
        <w:t>3158.19</w:t>
      </w:r>
      <w:r>
        <w:rPr>
          <w:rFonts w:hint="eastAsia" w:ascii="仿宋" w:hAnsi="仿宋" w:eastAsia="仿宋" w:cs="仿宋"/>
          <w:b w:val="0"/>
          <w:bCs w:val="0"/>
          <w:sz w:val="32"/>
          <w:szCs w:val="32"/>
        </w:rPr>
        <w:t>万元，主要为</w:t>
      </w:r>
      <w:r>
        <w:rPr>
          <w:rFonts w:hint="eastAsia" w:ascii="仿宋" w:hAnsi="仿宋" w:eastAsia="仿宋" w:cs="仿宋"/>
          <w:b w:val="0"/>
          <w:bCs w:val="0"/>
          <w:sz w:val="32"/>
          <w:szCs w:val="32"/>
          <w:lang w:eastAsia="zh-CN"/>
        </w:rPr>
        <w:t>石家庄市第二届旅游产业发展大会项目减少</w:t>
      </w:r>
      <w:r>
        <w:rPr>
          <w:rFonts w:hint="eastAsia" w:ascii="仿宋" w:hAnsi="仿宋" w:eastAsia="仿宋" w:cs="仿宋"/>
          <w:b w:val="0"/>
          <w:bCs w:val="0"/>
          <w:sz w:val="32"/>
          <w:szCs w:val="32"/>
        </w:rPr>
        <w:t>；其他支出增加（减少）</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万元，主要</w:t>
      </w:r>
      <w:r>
        <w:rPr>
          <w:rFonts w:hint="eastAsia" w:ascii="仿宋" w:hAnsi="仿宋" w:eastAsia="仿宋" w:cs="仿宋"/>
          <w:b w:val="0"/>
          <w:bCs w:val="0"/>
          <w:sz w:val="32"/>
          <w:szCs w:val="32"/>
          <w:lang w:eastAsia="zh-CN"/>
        </w:rPr>
        <w:t>无其他支出</w:t>
      </w:r>
      <w:r>
        <w:rPr>
          <w:rFonts w:hint="eastAsia" w:ascii="仿宋" w:hAnsi="仿宋" w:eastAsia="仿宋" w:cs="仿宋"/>
          <w:b w:val="0"/>
          <w:bCs w:val="0"/>
          <w:sz w:val="32"/>
          <w:szCs w:val="32"/>
        </w:rPr>
        <w:t>。</w:t>
      </w:r>
    </w:p>
    <w:p>
      <w:pPr>
        <w:adjustRightInd w:val="0"/>
        <w:ind w:firstLine="640" w:firstLineChars="200"/>
        <w:jc w:val="left"/>
        <w:rPr>
          <w:rFonts w:hint="eastAsia" w:ascii="仿宋" w:hAnsi="仿宋" w:eastAsia="仿宋" w:cs="仿宋"/>
          <w:b w:val="0"/>
          <w:bCs w:val="0"/>
          <w:color w:val="auto"/>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hint="eastAsia" w:ascii="仿宋" w:hAnsi="仿宋" w:eastAsia="仿宋"/>
          <w:b/>
          <w:sz w:val="32"/>
          <w:szCs w:val="32"/>
        </w:rPr>
      </w:pPr>
      <w:r>
        <w:rPr>
          <w:rFonts w:hint="eastAsia" w:ascii="仿宋" w:hAnsi="仿宋" w:eastAsia="仿宋"/>
          <w:b/>
          <w:sz w:val="32"/>
          <w:szCs w:val="32"/>
        </w:rPr>
        <w:t>三、2019年度机关运行安排情况说明</w:t>
      </w:r>
    </w:p>
    <w:p>
      <w:pPr>
        <w:spacing w:line="500" w:lineRule="exact"/>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石家庄市鹿泉区文体旅游局部门2019年机关运行经费共计安排123.7万元，</w:t>
      </w:r>
      <w:r>
        <w:rPr>
          <w:rFonts w:hint="eastAsia" w:ascii="仿宋" w:hAnsi="仿宋" w:eastAsia="仿宋" w:cs="仿宋"/>
          <w:sz w:val="32"/>
          <w:szCs w:val="32"/>
        </w:rPr>
        <w:t>主要用于日常维修、办公用房水电费、办公用房取暖费、办公用房物业管理费等日常运行支出。</w:t>
      </w:r>
      <w:r>
        <w:rPr>
          <w:rFonts w:hint="eastAsia" w:ascii="仿宋_GB2312" w:hAnsi="宋体" w:eastAsia="仿宋_GB2312"/>
          <w:color w:val="auto"/>
          <w:sz w:val="32"/>
          <w:szCs w:val="32"/>
          <w:lang w:val="en-US" w:eastAsia="zh-CN"/>
        </w:rPr>
        <w:t>其中日常公用经费102.54万元，公务用车运行费8.1万元。</w:t>
      </w:r>
      <w:r>
        <w:rPr>
          <w:rFonts w:hint="eastAsia" w:ascii="仿宋_GB2312" w:hAnsi="宋体" w:eastAsia="仿宋_GB2312"/>
          <w:sz w:val="32"/>
          <w:szCs w:val="32"/>
        </w:rPr>
        <w:t>取暖费13.06万元。</w:t>
      </w:r>
    </w:p>
    <w:p>
      <w:pPr>
        <w:adjustRightInd w:val="0"/>
        <w:ind w:firstLine="640" w:firstLineChars="200"/>
        <w:jc w:val="left"/>
        <w:rPr>
          <w:rFonts w:hint="eastAsia" w:ascii="仿宋_GB2312" w:hAnsi="宋体" w:eastAsia="仿宋_GB2312"/>
          <w:color w:val="auto"/>
          <w:sz w:val="32"/>
          <w:szCs w:val="32"/>
          <w:lang w:val="en-US" w:eastAsia="zh-CN"/>
        </w:rPr>
      </w:pPr>
    </w:p>
    <w:p>
      <w:pPr>
        <w:numPr>
          <w:ilvl w:val="0"/>
          <w:numId w:val="0"/>
        </w:numPr>
        <w:ind w:firstLine="643" w:firstLineChars="200"/>
        <w:rPr>
          <w:rFonts w:hint="eastAsia" w:ascii="仿宋" w:hAnsi="仿宋" w:eastAsia="仿宋" w:cs="宋体"/>
          <w:b/>
          <w:color w:val="000000"/>
          <w:kern w:val="0"/>
          <w:sz w:val="32"/>
          <w:szCs w:val="32"/>
        </w:rPr>
      </w:pPr>
      <w:r>
        <w:rPr>
          <w:rFonts w:hint="eastAsia" w:ascii="仿宋" w:hAnsi="仿宋" w:eastAsia="仿宋" w:cs="宋体"/>
          <w:b/>
          <w:color w:val="000000"/>
          <w:kern w:val="0"/>
          <w:sz w:val="32"/>
          <w:szCs w:val="32"/>
          <w:lang w:eastAsia="zh-CN"/>
        </w:rPr>
        <w:t>四、</w:t>
      </w:r>
      <w:r>
        <w:rPr>
          <w:rFonts w:hint="eastAsia" w:ascii="仿宋" w:hAnsi="仿宋" w:eastAsia="仿宋" w:cs="宋体"/>
          <w:b/>
          <w:color w:val="000000"/>
          <w:kern w:val="0"/>
          <w:sz w:val="32"/>
          <w:szCs w:val="32"/>
        </w:rPr>
        <w:t>鹿泉区财政拨款“三公”经费预算说明及增减情况</w:t>
      </w:r>
    </w:p>
    <w:p>
      <w:pPr>
        <w:adjustRightInd w:val="0"/>
        <w:ind w:firstLine="640" w:firstLineChars="200"/>
        <w:jc w:val="left"/>
        <w:rPr>
          <w:rFonts w:eastAsia="方正仿宋_GBK"/>
          <w:sz w:val="28"/>
        </w:rPr>
      </w:pPr>
      <w:r>
        <w:rPr>
          <w:rFonts w:hint="eastAsia" w:ascii="仿宋_GB2312" w:hAnsi="宋体" w:eastAsia="仿宋_GB2312"/>
          <w:color w:val="auto"/>
          <w:sz w:val="32"/>
          <w:szCs w:val="32"/>
          <w:lang w:val="en-US" w:eastAsia="zh-CN"/>
        </w:rPr>
        <w:t>我部门2019年三公经费预算总计为8.1万元，与去年持平，无增减变化，</w:t>
      </w:r>
      <w:r>
        <w:rPr>
          <w:rFonts w:hint="eastAsia" w:ascii="仿宋" w:hAnsi="仿宋" w:eastAsia="仿宋" w:cs="仿宋"/>
          <w:sz w:val="32"/>
          <w:szCs w:val="32"/>
        </w:rPr>
        <w:t>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万元（其中：公务用车购置费为</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_GB2312" w:hAnsi="宋体" w:eastAsia="仿宋_GB2312"/>
          <w:color w:val="auto"/>
          <w:sz w:val="32"/>
          <w:szCs w:val="32"/>
          <w:lang w:val="en-US" w:eastAsia="zh-CN"/>
        </w:rPr>
        <w:t>具体是：</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1、因公出国（境）经费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2019年石家庄市鹿泉区文体旅游局未制定的出国计划，拟安排出国境组0次，出国境0人，安排出国（境）经费预算0万元，与2018年持平，无增减变化。</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2、公务接待费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2019年石家庄市鹿泉区文体旅游局安排公务接待费0万元，与2018年持平，无增减变化。</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3、公务用车购置及运行维护费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2019年石家庄市鹿泉区文体旅游局安排公车购置及运行维护费8.1万元，其中：购置经费0万元、运行维护费8.1万元，与2018年持平，无增减变化。我单位共有公务用车3辆，其中：轿车2辆，执法车1辆。</w:t>
      </w:r>
    </w:p>
    <w:p>
      <w:pPr>
        <w:widowControl/>
        <w:numPr>
          <w:ilvl w:val="0"/>
          <w:numId w:val="2"/>
        </w:numPr>
        <w:spacing w:line="580" w:lineRule="atLeast"/>
        <w:ind w:firstLine="630" w:firstLineChars="196"/>
        <w:rPr>
          <w:rFonts w:hint="eastAsia" w:ascii="仿宋" w:hAnsi="仿宋" w:eastAsia="仿宋" w:cs="宋体"/>
          <w:b/>
          <w:kern w:val="0"/>
          <w:sz w:val="32"/>
          <w:szCs w:val="32"/>
        </w:rPr>
      </w:pPr>
      <w:r>
        <w:rPr>
          <w:rFonts w:hint="eastAsia" w:ascii="仿宋" w:hAnsi="仿宋" w:eastAsia="仿宋" w:cs="宋体"/>
          <w:b/>
          <w:kern w:val="0"/>
          <w:sz w:val="32"/>
          <w:szCs w:val="32"/>
        </w:rPr>
        <w:t>绩效预算信息</w:t>
      </w:r>
    </w:p>
    <w:p>
      <w:pPr>
        <w:keepNext w:val="0"/>
        <w:keepLines w:val="0"/>
        <w:pageBreakBefore w:val="0"/>
        <w:widowControl w:val="0"/>
        <w:kinsoku/>
        <w:wordWrap/>
        <w:overflowPunct/>
        <w:topLinePunct w:val="0"/>
        <w:bidi w:val="0"/>
        <w:snapToGrid/>
        <w:spacing w:line="240" w:lineRule="auto"/>
        <w:ind w:firstLine="643" w:firstLineChars="200"/>
        <w:jc w:val="left"/>
        <w:textAlignment w:val="auto"/>
        <w:rPr>
          <w:rFonts w:hint="default" w:ascii="仿宋" w:hAnsi="仿宋" w:eastAsia="仿宋" w:cs="仿宋"/>
          <w:sz w:val="36"/>
          <w:szCs w:val="36"/>
          <w:lang w:val="en-US" w:eastAsia="zh-CN"/>
        </w:rPr>
      </w:pPr>
      <w:r>
        <w:rPr>
          <w:rFonts w:hint="eastAsia" w:ascii="楷体_GB2312" w:hAnsi="黑体" w:eastAsia="楷体_GB2312"/>
          <w:b/>
          <w:sz w:val="32"/>
          <w:szCs w:val="32"/>
          <w:lang w:val="en-US" w:eastAsia="zh-CN"/>
        </w:rPr>
        <w:t>第一部分</w:t>
      </w:r>
      <w:r>
        <w:rPr>
          <w:rFonts w:hint="eastAsia" w:ascii="仿宋" w:hAnsi="仿宋" w:eastAsia="仿宋" w:cs="仿宋"/>
          <w:b/>
          <w:bCs/>
          <w:sz w:val="36"/>
          <w:szCs w:val="36"/>
          <w:lang w:val="en-US" w:eastAsia="zh-CN"/>
        </w:rPr>
        <w:t xml:space="preserve">  </w:t>
      </w:r>
      <w:r>
        <w:rPr>
          <w:rFonts w:hint="eastAsia" w:ascii="楷体_GB2312" w:hAnsi="黑体" w:eastAsia="楷体_GB2312"/>
          <w:b/>
          <w:sz w:val="32"/>
          <w:szCs w:val="32"/>
          <w:lang w:val="en-US" w:eastAsia="zh-CN"/>
        </w:rPr>
        <w:t>部门整体绩效目标</w:t>
      </w: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(一）</w:t>
      </w:r>
      <w:r>
        <w:rPr>
          <w:rFonts w:hint="eastAsia" w:ascii="仿宋" w:hAnsi="仿宋" w:eastAsia="仿宋" w:cs="仿宋"/>
          <w:b/>
          <w:bCs/>
          <w:sz w:val="32"/>
          <w:szCs w:val="32"/>
          <w:lang w:eastAsia="zh-CN"/>
        </w:rPr>
        <w:t>总体绩效目标：</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石家庄市鹿泉区文化广电体育和旅游局为区政府工作部门，机构规格为正科级。贯彻执行中央和省、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（二）职责分类绩效目标：</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管理和指导全县文化建设，推进文化发展环境能力建设，提供公共文化服务、文化艺术资源建设和文化艺术生产。发展环境健康向上，文化发展能力不断增强，文化艺术资源丰富，公共文化服务和文化艺术生产水平不断提高，河北文化影响力日益扩大。</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推动全县各级文化服务机构，建立公共文化公共文化设施达标，机构和队伍健全，实现公共文化资源共享，形成城乡一体公共文化服务网络；公共文化产品生产和服务能力提高，基本公共文化服务标准化、均等化水平不断提高。资源共享机制，健全公共文化服务网络。推广图书馆数字化建设和资源共享，收藏整理各类图书，资料，每年定期开展基础编目培训，古籍培训，中图分类法培训，参考咨询培训。组织开展群众文化艺术理论研究与学术讨论活动，编辑出版音乐、舞蹈、戏剧、美术、摄影等文艺报刊，开展对外群众文艺活动. 指导、推动文化艺术创作生产和展览展示，组织举办各类文化艺术活动。组织开展非物质文化保护工作；组织实施优秀民族文化的传承普及工作。 对城乡特色鲜明的艺术形式和文化活动进行扶持和保护，推动特色文化传承发扬。指导全区广播电影电视和信息网络视听节目服务科技工作，负责监管全县广播电影电视节目传输、监测和安全播出，指导督查全县广播电影电视安全运行工作。</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A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做好全区非物质文化遗产普查、抢救、保护工作；组织好非遗代表项目申报和评审工作；做好传统文化资源、民间工艺保护开发完善的、标准的可移动文物信息是普查工作的主要成果，对可移动文物信息的采集和统一登录国家信息平台式完成普查工作的主要内容，各省属国有单位要按照《馆藏文物登录规范》对其收藏的可移动文物信息进行逐一采集和登录，做到应采尽采，应录尽录。可移动文物（以收藏编号为基础）信息的数量是衡量绩效的指标。</w:t>
      </w:r>
    </w:p>
    <w:p>
      <w:pPr>
        <w:pStyle w:val="2"/>
        <w:rPr>
          <w:rFonts w:hint="eastAsia" w:ascii="仿宋" w:hAnsi="仿宋" w:eastAsia="仿宋" w:cs="仿宋"/>
          <w:color w:val="auto"/>
          <w:sz w:val="32"/>
          <w:szCs w:val="32"/>
          <w:lang w:val="en-US" w:eastAsia="zh-CN"/>
        </w:rPr>
      </w:pP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rPr>
        <w:t>三</w:t>
      </w:r>
      <w:r>
        <w:rPr>
          <w:rFonts w:hint="eastAsia" w:ascii="仿宋" w:hAnsi="仿宋" w:eastAsia="仿宋" w:cs="仿宋"/>
          <w:b/>
          <w:bCs/>
          <w:sz w:val="32"/>
          <w:szCs w:val="32"/>
          <w:lang w:eastAsia="zh-CN"/>
        </w:rPr>
        <w:t>）</w:t>
      </w:r>
      <w:r>
        <w:rPr>
          <w:rFonts w:hint="eastAsia" w:ascii="仿宋" w:hAnsi="仿宋" w:eastAsia="仿宋" w:cs="仿宋"/>
          <w:b/>
          <w:bCs/>
          <w:sz w:val="32"/>
          <w:szCs w:val="32"/>
        </w:rPr>
        <w:t>、工作保障措施</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w:instrText>
      </w:r>
      <w:bookmarkStart w:id="1" w:name="_Toc32845090"/>
      <w:r>
        <w:rPr>
          <w:rFonts w:hint="eastAsia" w:ascii="仿宋" w:hAnsi="仿宋" w:eastAsia="仿宋" w:cs="仿宋"/>
          <w:sz w:val="32"/>
          <w:szCs w:val="32"/>
        </w:rPr>
        <w:instrText xml:space="preserve">工作保障措施</w:instrText>
      </w:r>
      <w:bookmarkEnd w:id="1"/>
      <w:r>
        <w:rPr>
          <w:rFonts w:hint="eastAsia" w:ascii="仿宋" w:hAnsi="仿宋" w:eastAsia="仿宋" w:cs="仿宋"/>
          <w:sz w:val="32"/>
          <w:szCs w:val="32"/>
        </w:rPr>
        <w:instrText xml:space="preserve"> \f A \l 1 </w:instrText>
      </w:r>
      <w:r>
        <w:rPr>
          <w:rFonts w:hint="eastAsia" w:ascii="仿宋" w:hAnsi="仿宋" w:eastAsia="仿宋" w:cs="仿宋"/>
          <w:sz w:val="32"/>
          <w:szCs w:val="32"/>
        </w:rPr>
        <w:fldChar w:fldCharType="end"/>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加强组织领导。将事前评估、目标管理、运行监控、绩效评价、结果应用等各项改革措施，有效融入预算管理的全过程，建立健全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强资金支出管理。围绕年度重点工作，进一步优化支出结构，编细编实预算、按规定及时下达资金，确保支出进度达标。积极开展预算资金使用绩效运行监控，发现问题及时采取措施，确保绩效目标如期保质实现。</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积极做好绩效自评。按财政要求开展上年度部门预算绩效自评和重点评价工作，对评价中发现的问题及时整改，调整优化支出结构，提高财政资金使用效益。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加强内部监督。加强内部监督制度建设，对绩效运行情况、重大支出等事项的决策和执行进行督导，对会计资料进行内部审计，配合做好审计、财政监督等外部监督，确保财政资金安全有效。</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加强宣传培训调研。加强系统内人员培训，提高职工业务素质；加强调研，提出优化财政资金配置、提高资金使用效益的意见；加大宣传力度，强化预算绩效管理意识，促进预算绩效水平进一步提升。</w:t>
      </w:r>
    </w:p>
    <w:p>
      <w:pPr>
        <w:pStyle w:val="2"/>
        <w:rPr>
          <w:rFonts w:hint="eastAsia" w:ascii="仿宋" w:hAnsi="仿宋" w:eastAsia="仿宋" w:cs="仿宋"/>
          <w:color w:val="auto"/>
          <w:sz w:val="32"/>
          <w:szCs w:val="32"/>
          <w:lang w:val="en-US" w:eastAsia="zh-CN"/>
        </w:rPr>
      </w:pPr>
    </w:p>
    <w:p>
      <w:pPr>
        <w:numPr>
          <w:ilvl w:val="0"/>
          <w:numId w:val="3"/>
        </w:numPr>
        <w:rPr>
          <w:rFonts w:ascii="楷体_GB2312" w:hAnsi="Times New Roman" w:eastAsia="楷体_GB2312"/>
          <w:b/>
          <w:sz w:val="32"/>
          <w:szCs w:val="24"/>
        </w:rPr>
      </w:pPr>
      <w:r>
        <w:rPr>
          <w:rFonts w:hint="eastAsia" w:ascii="楷体_GB2312" w:hAnsi="黑体" w:eastAsia="楷体_GB2312"/>
          <w:b/>
          <w:sz w:val="32"/>
          <w:szCs w:val="32"/>
          <w:lang w:val="en-US" w:eastAsia="zh-CN"/>
        </w:rPr>
        <w:t xml:space="preserve"> </w:t>
      </w:r>
      <w:r>
        <w:rPr>
          <w:rFonts w:hint="eastAsia" w:ascii="楷体_GB2312" w:hAnsi="黑体" w:eastAsia="楷体_GB2312"/>
          <w:b/>
          <w:sz w:val="36"/>
          <w:szCs w:val="36"/>
          <w:lang w:eastAsia="zh-CN"/>
        </w:rPr>
        <w:t>预算项目绩效目标</w:t>
      </w:r>
      <w:r>
        <w:rPr>
          <w:rFonts w:hint="eastAsia" w:ascii="楷体_GB2312" w:hAnsi="黑体" w:eastAsia="楷体_GB2312"/>
          <w:b/>
          <w:sz w:val="32"/>
          <w:szCs w:val="32"/>
        </w:rPr>
        <w:t>：</w:t>
      </w:r>
    </w:p>
    <w:p>
      <w:pPr>
        <w:pStyle w:val="2"/>
        <w:sectPr>
          <w:pgSz w:w="11906" w:h="16838"/>
          <w:pgMar w:top="1440" w:right="1077" w:bottom="1440" w:left="1077" w:header="851" w:footer="992" w:gutter="0"/>
          <w:cols w:space="720" w:num="1"/>
          <w:docGrid w:linePitch="312" w:charSpace="0"/>
        </w:sectPr>
      </w:pPr>
    </w:p>
    <w:p>
      <w:pPr>
        <w:jc w:val="center"/>
        <w:outlineLvl w:val="0"/>
        <w:rPr>
          <w:rFonts w:hint="eastAsia" w:ascii="方正小标宋_GBK" w:eastAsia="方正小标宋_GBK"/>
          <w:b/>
          <w:sz w:val="32"/>
        </w:rPr>
      </w:pPr>
      <w:bookmarkStart w:id="2" w:name="_Toc508269975"/>
      <w:r>
        <w:rPr>
          <w:rFonts w:hint="eastAsia" w:ascii="方正小标宋_GBK" w:eastAsia="方正小标宋_GBK"/>
          <w:b/>
          <w:sz w:val="32"/>
        </w:rPr>
        <w:t>部门职责-工作活动绩效目标</w:t>
      </w:r>
      <w:bookmarkEnd w:id="2"/>
    </w:p>
    <w:tbl>
      <w:tblPr>
        <w:tblStyle w:val="10"/>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石家庄市鹿泉区文体旅游局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一、文化艺术管理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147.70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管理和指导全区文化建设，推进文化发展环境能力建设，提供公共文化服务、文化艺术资源建设和文化艺术生产。</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文化发展环境健康向上，文化发展能力不断增强，文化艺术资源丰富，公共文化服务和文化艺术生产水平不断提高，河北文化影响力日益扩大。</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、公共文化服务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102.70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推动全区各级文化服务机构，建立公共文化资源共享机制，健全公共文化服务网络。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机构和队伍健全，实现公共文化资源共享，形成城乡一体公共文化服务网络；公共文化产品生产和服务能力提高，基本公共文化服务标准化、均等化水平不断提高。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公共文化场馆的覆盖率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公益文艺展览、演出的场场次数（次）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、文化艺术资源建设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推广图书馆数字化建设和资源共享。</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收藏设施设备和物品等国有资产安全完整、高效利用。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收集品入藏完整率；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收藏及保管物品完好率。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仓储设施设备及环境完好率；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、文化艺术生产</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指导、推动文化艺术创作生产和展览展示，组织举办各类文化艺术活动。</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文化艺术作品进一步丰富，专业艺术创作生产能力和地位不断提高。</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资助原创、加工修改和巡回演出剧节目场（场）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场</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r>
              <w:rPr>
                <w:rFonts w:hint="eastAsia" w:ascii="方正书宋_GBK" w:eastAsia="方正书宋_GBK"/>
              </w:rPr>
              <w:t>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进行重点创作并进行展示的美术作品（副）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副</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r>
              <w:rPr>
                <w:rFonts w:hint="eastAsia" w:ascii="方正书宋_GBK" w:eastAsia="方正书宋_GBK"/>
              </w:rPr>
              <w:t>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二、文化宣传交流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指导、组织区级优秀文化产品、服务和品牌活动宣传推介；组织全区对外文化交流活动。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对外文化交流档次和水平提升，对外文化贸易不断发展，我区文化国内国际影响力扩大。</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、文化交流合作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宣传推介我区文化艺术资源，提升对外交流水平。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全方位宣传推介我区文化艺术资源，提升交流水平和档次。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与文化机构合作场次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、文化宣传推介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对我区文化进行综合宣传推介。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推动更多文化项目入选世界、国家名录和扶持项目；推动更多文化项目取得大赛名次和被认知；提高县文化的影响力。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项目申报推介（个）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三、文化保护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指导、组织开展文化保护工作；组织实施优秀民族文化的传承普及工作；维护国家文化安全。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构建健全的文化保护体系，文化保护工作得到全面加强，优秀文化得到传承和发扬。</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、文化保护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组织开展非物质文化保护工作；组织实施优秀民族文化的传承普及工作。</w:t>
            </w:r>
            <w:r>
              <w:rPr>
                <w:rFonts w:ascii="方正书宋_GBK" w:eastAsia="方正书宋_GBK"/>
              </w:rPr>
              <w:t xml:space="preserve"> </w:t>
            </w:r>
            <w:r>
              <w:rPr>
                <w:rFonts w:hint="eastAsia" w:ascii="方正书宋_GBK" w:eastAsia="方正书宋_GBK"/>
              </w:rPr>
              <w:t>对城乡特色鲜明的艺术形式和文化活动进行扶持和保护，推动特色文化传承发扬。</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珍贵、濒危的非物质文化遗产得到有效抢救和保护，优秀特色文化得到传承和发扬。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非遗保护名录项数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四、文化政务管理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87.86</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确保各项业务工作谋划到位、顺利开展。保障机关工作正常高效运转。</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63.90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拟定我区文化艺术方面有关发展规划、政策制度，开展调查研究，履行文化市场监管职责，开展文化宣传、保护等业务管理工作。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专项业务开展项数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23.96</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改善文化管理和发展硬件、软件水平；加强文化队伍和艺术教育建设；加快文化科研和信息化建设，保障机关运转。</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完成行政管理工作件数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五、新闻出版广播影视事业建设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指导、监督、管理全区广播电影、电视和信息网络视听节目工作，负责监管全区广播电影电视节目传输、监测和安全播出，指导督查全区广播电影电视安全运行工作。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宣传党的路线、方针、政策和工作部署，坚持正确舆论导向，发挥监督、管理作用；监督、管理各类广播电视节目；开展各类宣传工作。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、广播影视节目制作播出</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监督、指导区有线电视台、电台制作或播出符合正确语舆论导向和符合人民群众需求的优秀电视节目。积极传达上级优秀影视作品名录。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监督、指导区有线电视台、电台制作或播出优秀电视节目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、广播影视节目制作能力建设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对有线电视台、电台引进、制作的广播电视节目产权、内容、设备等方面进行监督、指导。确保广播影视节目制作符合国家法规要求。</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对有线电视台、电台引进、制作的广播电视节目产权、内容、设备方面进行监督，确保符合国家法规。</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对广播电台、电视台、有线台，在节目播出、制作、线路传输方面进行安全监督、检查、指导。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督导、指导、检查广播电台、电视台、有线台建立健全安全播出体系，确保广播影视节目安全播出。</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20 </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10 </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 xml:space="preserve"> </w:t>
            </w:r>
            <w:r>
              <w:rPr>
                <w:rFonts w:hint="eastAsia" w:ascii="方正书宋_GBK" w:eastAsia="方正书宋_GBK"/>
              </w:rPr>
              <w:t>＜</w:t>
            </w:r>
            <w:r>
              <w:rPr>
                <w:rFonts w:ascii="方正书宋_GBK" w:eastAsia="方正书宋_GBK"/>
              </w:rPr>
              <w:t xml:space="preserve">5 </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、公共服务工程推广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加快构建新闻出版广播影视公共服务体协，着力提高服务质量和实效。</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督导、检查有线广播应急预警建设。提高农村电影公共服务水平。督导农家书屋建设标准方案。</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督导、指导次数</w:t>
            </w:r>
            <w:r>
              <w:rPr>
                <w:rFonts w:ascii="方正书宋_GBK" w:eastAsia="方正书宋_GBK"/>
              </w:rPr>
              <w:t xml:space="preserve"> </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10 </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、新闻出版广播影视产业发展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督导、指导全区新闻出版发行单位、广播影视放映机构、广播影视制作机构在系统性、整体性、协同性方面突出融合创新发展。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督导、指导加快推动影视产业发展，积极推动广电网络资源整合和转型升级，继续支持出版物经营机构融合发展。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指导、座谈、调研次数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六、政务管理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各项规划、工作、检查顺利开展。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组织协调全局全系统政务工作，拟定工作规划并组织实施。做好政务公开、信息公开，对群众反映问题进行反馈。依法对所管理行业进行检查，确保行业、产业健康发展。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各项规划、工作、检查顺利开展。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问题反馈次数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七、旅游综合管理科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725.85</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市场推介规划及方案制定并组织实施。监督管理全区旅游市场秩序、服务质量和旅游保险工作；贯彻落实国家、省、市旅游行业服务标准；制定全区旅游服务行业地方标准；制定全区旅游行业教育培训工作；贯彻落实旅游行业精神文明建设；受理旅游投诉；负责酒店评星、定点工作的开展。制定全区旅游市场开发规划、方案并组织实施；承担全区旅游整体形象宣传和重大节、会活动的策划及组织协调工作，组织开展重点旅游线路、旅游目的地的宣传推广；负责国内外旅游市场调研和信息工作，承担旅游对外合作交流事务；负责旅游宣传品的制作和使用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展旅游政务宣传、形象宣传、网络宣传，投放旅游广告、组织重点旅游线路和旅游目的地的宣传推广，旅游宣传品的设计、制作；开展新闻媒体记者采访考察、实施旅行社招徕游客奖励等工作，进一步扩大我市旅游品牌形象的在境内外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103.47</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指导全区旅游工作；开展旅游行业管理，负责日常监管、行业培训、从业人员资格核准工作，接受游客投诉，开展行风评议。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开展旅游行业管理，规范旅游行为，保护旅游消费者和经营者合法权益。</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游客满意度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、旅游宣传促销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旅游政务及形象宣传工作。在央视、省市级主流媒体、网站投放石家庄旅游宣传，举办旅游交易会和节庆活动，制作旅游宣传品，提升旅游形象。开展旅游信息化工作及相关电子政务系统，提高政府的服务意识和公众的办事便利化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项目实施有效提升我市旅游的知名度、影响力，扩大我市旅游品牌形象的在境内外的影响力，吸引更多游客来我市旅游观光。</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旅游收入增长数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、旅行社招徕游客奖励</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鼓励旅行社组织以我市为旅游目的地的经营活动，扩大我市旅游业的知名度和对游客的吸引力，使更多游客来石家庄游览休闲、度假、投资兴业，为我市第三产业增加新的活力。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来我区为旅游目的地的组团旅行社不断增多</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游客团队增长率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、旅游市场开发推广及交流合作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518.38</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策划、推广全区旅游产品及旅游线路，开展国内外旅游市场促销工作，指导支持区内各地的旅游市场开发工作。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通过旅游市场开发推广及交流合作，有效提高全区旅游的知名度、美誉度和影响力，吸引更多游客来我县旅游，从而促进我区旅游经济又好又快发展。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游客增长率反映来区旅游人员增长情况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、旅游信息化建设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开发网上应用系统，实现旅游行业管理网络化；建设面向旅游市场的电子网络营销平台，为企业营销和游客消费提供高效便捷支持。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通过开发全区旅游网站、微信公众</w:t>
            </w:r>
            <w:bookmarkStart w:id="3" w:name="_GoBack"/>
            <w:bookmarkEnd w:id="3"/>
            <w:r>
              <w:rPr>
                <w:rFonts w:hint="eastAsia" w:ascii="方正书宋_GBK" w:eastAsia="方正书宋_GBK"/>
              </w:rPr>
              <w:t>号及电子政务系统，推动全行业信息化建设，提高政府服务意识和公众办事便利化程度。</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反映游客对通过旅游信息化平台获取旅游信息的满意程度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八、旅游规划科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w:t>
            </w:r>
            <w:r>
              <w:rPr>
                <w:rFonts w:ascii="方正书宋_GBK" w:eastAsia="方正书宋_GBK"/>
              </w:rPr>
              <w:t>A</w:t>
            </w:r>
            <w:r>
              <w:rPr>
                <w:rFonts w:hint="eastAsia" w:ascii="方正书宋_GBK" w:eastAsia="方正书宋_GBK"/>
              </w:rPr>
              <w:t>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、旅游重点项目建设及旅游商品开发</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项目包装、推介、招商引资、项目建设进展督导落实工作；负责全区旅游公共服务体系与自助旅游体系建设；指导全区旅游商品开发、建设、扶持工作；引导旅游业社会投资，提高资金使用效益。负责景区（点）质量等级评定及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引导撬动更多社会资金投资旅游产业，推动旅游与相关产业融合发展，为打造本区旅游升级版提供项目支撑，创建具有较强知名度、美誉度和影响力的旅游目的地体系。</w:t>
            </w:r>
          </w:p>
        </w:tc>
        <w:tc>
          <w:tcPr>
            <w:tcW w:w="1417"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A</w:t>
            </w:r>
            <w:r>
              <w:rPr>
                <w:rFonts w:hint="eastAsia" w:ascii="方正书宋_GBK" w:eastAsia="方正书宋_GBK"/>
              </w:rPr>
              <w:t>级景区游客接待量增长率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、工农业旅游项目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推进旅游业与工业、农业的融合发展步伐，在全市筛选一批有代表性、市场吸引力强、发展潜力大的工农业旅游点和星级农家乐，集中进行旅游基础及服务设施建设完善，提升旅游服务品质，</w:t>
            </w:r>
            <w:r>
              <w:rPr>
                <w:rFonts w:hint="eastAsia" w:ascii="方正书宋_GBK" w:eastAsia="方正书宋_GBK"/>
                <w:lang w:eastAsia="zh-CN"/>
              </w:rPr>
              <w:t>更好地为</w:t>
            </w:r>
            <w:r>
              <w:rPr>
                <w:rFonts w:hint="eastAsia" w:ascii="方正书宋_GBK" w:eastAsia="方正书宋_GBK"/>
              </w:rPr>
              <w:t>广大游客服务。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打造出一批工农业旅游精品景点和适宜普通市民消费水平的优质农家乐，丰富我区旅游产品，提升旅游服务品质。扩大农民就业渠道，带动农民脱贫致富，带动工业、农业产业结构调整。</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反映旅游收入增长情况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九、旅游规划</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328.60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w:t>
            </w:r>
            <w:r>
              <w:rPr>
                <w:rFonts w:ascii="方正书宋_GBK" w:eastAsia="方正书宋_GBK"/>
              </w:rPr>
              <w:t>A</w:t>
            </w:r>
            <w:r>
              <w:rPr>
                <w:rFonts w:hint="eastAsia" w:ascii="方正书宋_GBK" w:eastAsia="方正书宋_GBK"/>
              </w:rPr>
              <w:t>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、旅游产业总体规划及单项规划的编制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136.60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组织全区旅游资源普查、规划、开发和相关保护。</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精品旅游项目建设个数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、旅游基础配套设施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192.00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道路交通标志牌，集中进行旅游基础及服务设施建设完善。</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提升旅游服务品质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建设旅游标示系统，落实厕所革命推进厕所省级改造。</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、专项资金的申报及监管工作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负责对国家、省、市旅游专项资金的申报、发放及监管工作。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申报监管旅游专线资金使用，积极与上级沟通，按照申报要求开展国家、省、市专项资金申报工作。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十、综合政务管理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保障机关及下属单位正常运转；开展办公综合平台建设与维护工作，组织节能减排、车辆运行与管理、设备购置和管理、机关消防安全与保卫、机关办公环境建设与维护等后勤服务，承办市政府交办其他事项。</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提升保障能力及管理水平，完成各项工作任务。</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、机关基本设施设备正常运转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保证机关基础设施设备安全和正常运作，定期开展设施设备维护、检修，机关事务后期保障到位，设备设施使用寿命达标，改善机关基本设施设备运转环境，使机关人员满意。</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机关事务后期保障到位，设备设施使用寿命延长，环境改善，使机关人员满意。</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机关基本设施设备定期维护、更换、保养、维修次数。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十一、保存文化遗产</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物质文化遗产和非物质文化遗产。积极保护具有历史、艺术和科学价值的文物，包括古遗址、古墓葬、古建筑、石窟寺、石刻、壁画、近代现代重要史迹及代表性建筑等不可移动文物，历史上各时代的重要实物、艺术品、文献、手稿、图书资料等可移动文物。积极探索保护各种以非物质形态存在的与群众生活密切相关、世代相承的传统文化表现形式，包括口头传统、传统表演艺术、民俗活动和礼仪与节庆、有关自然界和宇宙的民间传统知识和实践、传统手工艺技能等以及与上述传统文化表现形式相关的文化遗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积极保护、保存相应物质文化资料和传承非物质文化遗产。</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、保护文化遗产</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物质文化遗产和非物质文化遗产。积极保护具有历史、艺术和科学价值的文物，包括古遗址、古墓葬、古建筑、石窟寺、石刻、壁画、近代现代重要史迹及代表性建筑等不可移动文物，历史上各时代的重要实物、艺术品、文献、手稿、图书资料等可移动文物。积极探索保护各种以非物质形态存在的与群众生活密切相关、世代相承的传统文化表现形式，包括口头传统、传统表演艺术、民俗活动和礼仪与节庆、有关自然界和宇宙的民间传统知识和实践、传统手工艺技能等以及与上述传统文化表现形式相关的文化遗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保护物质文化遗产和非物质文化遗产。</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开展工作次数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十二、地方文献搜集整理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保存及保护地方文献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使地方文献得以重视；发挥地方文献在地方建设中的作用。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、地方文献搜集及整理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收集整理本地区书籍、报刊、科技报告、地域图、画册、印谱、相册、乐谱、文告、传单、商标、戏剧、专业检索、参考以及音像磁带等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以图书馆为主体重点收集、整理地方文献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收集整理地方文献数量</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30 </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十三、日常借阅</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提供图书、刊物、报纸等的借阅及阅览。</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传递科学知识信息。满足读者的精神文化生活的需求。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、书刊借阅</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图书、刊物的日常借阅；报刊日常阅览；资料查询等。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满足读者的阅读需求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满足借阅需求，完成借阅工作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十四、文化信息资源共享</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利用现代化信息技术及设备，为读者提供电子文献阅览、互联网查询浏览等服务。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充分发挥好</w:t>
            </w:r>
            <w:r>
              <w:rPr>
                <w:rFonts w:hint="cs" w:ascii="方正书宋_GBK" w:eastAsia="方正书宋_GBK"/>
              </w:rPr>
              <w:t>“</w:t>
            </w:r>
            <w:r>
              <w:rPr>
                <w:rFonts w:hint="eastAsia" w:ascii="方正书宋_GBK" w:eastAsia="方正书宋_GBK"/>
              </w:rPr>
              <w:t>信息资源共享工程</w:t>
            </w:r>
            <w:r>
              <w:rPr>
                <w:rFonts w:hint="cs" w:ascii="方正书宋_GBK" w:eastAsia="方正书宋_GBK"/>
              </w:rPr>
              <w:t>”</w:t>
            </w:r>
            <w:r>
              <w:rPr>
                <w:rFonts w:hint="eastAsia" w:ascii="方正书宋_GBK" w:eastAsia="方正书宋_GBK"/>
              </w:rPr>
              <w:t>的作用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、文化信息资源共享及电子阅览</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利用</w:t>
            </w:r>
            <w:r>
              <w:rPr>
                <w:rFonts w:hint="cs" w:ascii="方正书宋_GBK" w:eastAsia="方正书宋_GBK"/>
              </w:rPr>
              <w:t>“</w:t>
            </w:r>
            <w:r>
              <w:rPr>
                <w:rFonts w:hint="eastAsia" w:ascii="方正书宋_GBK" w:eastAsia="方正书宋_GBK"/>
              </w:rPr>
              <w:t>文化信息资源共享工程</w:t>
            </w:r>
            <w:r>
              <w:rPr>
                <w:rFonts w:hint="cs" w:ascii="方正书宋_GBK" w:eastAsia="方正书宋_GBK"/>
              </w:rPr>
              <w:t>”</w:t>
            </w:r>
            <w:r>
              <w:rPr>
                <w:rFonts w:hint="eastAsia" w:ascii="方正书宋_GBK" w:eastAsia="方正书宋_GBK"/>
              </w:rPr>
              <w:t>及互联网为读者提供信息查询。</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满足读者的信息需求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年服务人次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十五、读者活动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不定期开展针对读者的家庭教育讲座、老年保健知识讲座、爱国主义教育讲座、科普讲座等；图片展、书画展等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培养群众的阅读兴趣，提高广大群众的精神文明素质。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、家庭教育讲座、老年保健知识讲座、爱国主义教育讲座、科普讲座、图片展、书画展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针对不同的读者群，适时开展家庭教育讲座、老年保健知识讲座、爱国主义教育讲座、科普讲座、图片展、书画展等活动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提高群众的精神文明素质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年举办次数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十六、送书下乡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赠送受当地群众欢迎的书籍；发放群众急需的农业科技信息资料。</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满足偏远村镇群众对精神文化生活和农业科技信息的需求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、送书下乡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深入到离图书馆较远的乡镇、村，赠送受当地群众欢迎的书籍；发放群众急需的农业科技信息资料。</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满足偏远地区群众对图书资料的需求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年活动次数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十七、基层业务指导</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适时地对基层图书馆（室）进行业务指导。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建立健全基层图书室建设，更好地服务群众。</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、业务指导</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适时地对基层图书馆（室）的图书采编、上架、借阅，及信息资源共享等工作进行指导。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基层图书室的服务工作正常开展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年活动次数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十八、馆际互借</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设立</w:t>
            </w:r>
            <w:r>
              <w:rPr>
                <w:rFonts w:hint="cs" w:ascii="方正书宋_GBK" w:eastAsia="方正书宋_GBK"/>
              </w:rPr>
              <w:t>“</w:t>
            </w:r>
            <w:r>
              <w:rPr>
                <w:rFonts w:hint="eastAsia" w:ascii="方正书宋_GBK" w:eastAsia="方正书宋_GBK"/>
              </w:rPr>
              <w:t>石家庄市图书馆鹿泉区分馆</w:t>
            </w:r>
            <w:r>
              <w:rPr>
                <w:rFonts w:hint="cs" w:ascii="方正书宋_GBK" w:eastAsia="方正书宋_GBK"/>
              </w:rPr>
              <w:t>”</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丰富本馆图书种类，更大化地满足读者阅读需求。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、鹿泉区分馆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不定期从石家庄市图书馆分配图书，及时整理上架、开展日常借阅。</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更大化地满足读者阅读需求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定期更新图书率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十九、宣传教育</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举办各类展览、讲座、培训等，普及科学文化知识，开展社会教育</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宣传先进文化优秀文化，，提高群众文化素质，促进当地精神文明建设</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、文化艺术展览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举办各种文艺展演活动，广泛宣传优秀文化艺术。</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提高人民文化素质，宣传优秀文化</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指导组织开展大型文艺宣传活动</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二十、丰富群众文化生活</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公益文化服务，组织举办各种群众文化活动、培训和辅导。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满足群众精神文化生活需求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、免费开放文艺活动场所</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拟订群众文化活动发展规划并落实实施</w:t>
            </w:r>
            <w:r>
              <w:rPr>
                <w:rFonts w:ascii="方正书宋_GBK" w:eastAsia="方正书宋_GBK"/>
              </w:rPr>
              <w:t>,</w:t>
            </w:r>
            <w:r>
              <w:rPr>
                <w:rFonts w:hint="eastAsia" w:ascii="方正书宋_GBK" w:eastAsia="方正书宋_GBK"/>
              </w:rPr>
              <w:t>文艺活动的策划和举办，各种文艺辅导班课程，内容、教师。场地的安排等。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丰富群众文化生活</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全年免费开放总天数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二十一、保护民间文化遗产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拟订当地非物质文化遗产抢救保护技术标准和工作规范组织实施当地非物质文化遗产保护规划；承担当地非物质文化遗产普查；保护和名录申报及数据库建设；</w:t>
            </w:r>
          </w:p>
          <w:p>
            <w:pPr>
              <w:spacing w:line="300" w:lineRule="exact"/>
              <w:jc w:val="left"/>
              <w:rPr>
                <w:rFonts w:hint="eastAsia" w:ascii="方正书宋_GBK" w:eastAsia="方正书宋_GBK"/>
              </w:rPr>
            </w:pPr>
            <w:r>
              <w:rPr>
                <w:rFonts w:hint="eastAsia" w:ascii="方正书宋_GBK" w:eastAsia="方正书宋_GBK"/>
              </w:rPr>
              <w:t>承担非物质文化遗产的宣传、交流、业务培训等任务。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挖掘当地非物质文化遗产项目，搜集、整理当地优秀非物质文化遗产项目，对非物质文化遗产项目进行传承和保护工作。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、非遗保护传承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搜集、挖掘、整理、保护、宣传物质文化遗产和非物质文化遗产。向上一级部门申报文化遗产保护项目，并对非遗项目采取必要的保护措施。</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搜集、挖掘、整理、保护、宣传物质文化遗产和非物质文化遗产</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有效开展保护工作，积极发掘、抢救、宣传物质文化遗产和非物质文化遗产。组织物质文化遗产和非物质文化遗产项目展演活动次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二十二、培训文艺人才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指导群众业余文艺团队建设，辅导和培训群众文艺骨干。</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为广大人民群众提供良好的文艺辅导服务，提高群众的文艺水平。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、免费举办文艺培训</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定期举办基层文化站群众艺术骨干舞蹈培训班</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为人民提供文化艺术辅导培训</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为广大人民群众提供良好的文艺辅导服务，提高群众的文艺水平。</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二十三、组织文艺创作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组织文艺创作人才进行文艺创作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制定辅导文艺创作计划并具体落实实施，向上级输送文艺创作人才，对文艺人才进行培训。加强地区文艺创作和交流，繁荣本地文艺发展。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、创作优秀文艺作品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定期组织文学艺术交流活动，定期举办绘画艺术展览活动。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创作优秀文艺作品</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向上级输送文艺创作人才和文艺作品</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二十四、依法进行文物保护管理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对全区地上地下文物依法实施保护管理。建立和健全安全检查、监督机制，安防工作条例。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建立和健全安全检查、监督机制，加强全区文物保护单位的消防安防工作，确保文物安全。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、做好对文物保护单位安全消防工作；文物保护管理，责任到人。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与文物保护单位签订安全保护责任书，在重点文物保护单位安装监控、消防设施。经常巡查，发现问题立即处理，对违法行为坚决制止。</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把全区文物安全风险降到最低点。</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对田野不可移动文物单位聘请文物看护员，给予适当的保护费，对文物保护单位重点部位，增设监控探头、报警、消防安全设施。</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二十五、文物普查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采取统一组织，由专业部门利用现代信息手段集中调查统计的方式，对可移动文物、不可移动文物进行调查、认定和登记，掌握文物现状等基本信息，为科学制定文物保护政策和规划提供依据。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在上级部门采取统一组织，由专业部门利用现代信息手段集中调查统计的方式，对可移动文物、不可移动文物进行调查、认定和登记，掌握文物现状等基本信息，为科学制定文物保护政策和规划提供依据。</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、做好可移动文物普查工作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可移动文物信息的采集和统一登录国家信息平台式完成普查工作的主要内容，对其收藏的可移动文物信息进行逐一采集和登录，做到应采尽采，应录尽录。可移动文物（以收藏编号为基础）信息的数量是衡量绩效的指标。</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高标准高质量完成全国可移动文物普查任务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完成年度省属国有单位普查可移动文物信息采集登录工作任务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二十六、文物保护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负责全区各级重点文物保护单位申报、制定保护规划、修缮审批、指导和监察工作；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在不破坏文物的基础上维修，符合有关政策规定，以保护为目的。</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、文物保护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在不破坏文物的基础上维修，符合有关规定，完善各种审批手续，确保修旧如旧。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高质量完成文物修缮，修缮前后建筑形制、原貌风格一致。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协调全市文物管理、保护、抢救、发掘、研究、宣传等业务工作。审核或申报全市文物发掘、保护、维修项目，做好组织实施工作。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二十七、全民健身</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组织各种群众体育活动，宣传体育健身运动，推动十二个体育项目协会的发展，群众体育健身设施的配套维护，培养培训社会体育建设指导员。</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加强社会体育的推广，推动全民健身的发展。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、全民健身</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贯彻落实《全民健身条例》，推行全民健身计划，组织开展群众体育活动，加强群众体育设施建设，指导群众科学健身，指导开展群众性体育活动，配合相关部门举办农民、职工综合性运动会，培训社会体育指导员，开展国民体质监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发展全民健身事业，完善全民健身服务体系，满足群众健身需求。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发展全民健身事业，完善全民健身服务体系，满足群众健身需求。</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二十八、体育竞赛活动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举办职工运动会、社区运动会等各项竞赛活动，参加国家、省市级比赛及组织区级各种比赛。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促进各个竞技项目的发展，提高我区竞技水平的提高。</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、体育竞赛</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组队我区群众参加全国省级市级等运动会和体育单项竞技比赛；组织举办全区运动会和区级单项体育比赛。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提高全区竞技体育水平。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参加年度体育赛事成绩、举办比赛次数。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二十九、体育场馆维护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维护维修体育场馆的跑道、草坪、篮球馆、看台等各种场地设施，水电费及公益性岗位工资。</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维护维修好体育场馆的设施和环境，保障群众健身场所和竞技场所的使用。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、体育场馆维护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指导加强体育场馆、基地等体育设施建设，开展公共体育设施监督管理</w:t>
            </w:r>
            <w:r>
              <w:rPr>
                <w:rFonts w:ascii="方正书宋_GBK" w:eastAsia="方正书宋_GBK"/>
              </w:rPr>
              <w:t>,</w:t>
            </w:r>
            <w:r>
              <w:rPr>
                <w:rFonts w:hint="eastAsia" w:ascii="方正书宋_GBK" w:eastAsia="方正书宋_GBK"/>
              </w:rPr>
              <w:t>以场地完善、实用、方便群众率为标准。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加强体育健身设施建设，不断满足社会对体育健身设施的需求。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完成年度基本建设和维修改造计划。</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三十、体育训练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参加各种竞赛的训练，开展青少年体育技能和体能的训练，选拔好的体育苗子向上级输送。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加强青少年儿童体育的培养和体育人才的挖掘工作，多向上级输送体育人才。</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、体育训练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监督青少年体育锻炼标准的实施，指导青少年业余训练及体育运动学校、体育传统项目学校、青少年体育俱乐部的建设工作，配合有关部分举办全区中小学生综合性运动会；组织开展全区高水平体育后备人才培养。</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提高青少年身体素质和竞技水平，培养和选拔高水平体育后备人才。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创办国家级青少年俱乐部个数。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三十一、老年体协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推进老年人体育活动的开展，组织老年各项活动的开展，参加各级老年体协的活动。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加强老年人的健身意识，引导和培养老年人健身方法、方式，提高我区老年人身体素质。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、老年体协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举办和参加各种健身项目的培训和比赛，推广适合老年人活动的项目。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举办和参加各项比赛，推广适合老年人活动的项目。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组织开展比赛，推动老年人健身，培训</w:t>
            </w:r>
            <w:r>
              <w:rPr>
                <w:rFonts w:ascii="方正书宋_GBK" w:eastAsia="方正书宋_GBK"/>
              </w:rPr>
              <w:t>1-2</w:t>
            </w:r>
            <w:r>
              <w:rPr>
                <w:rFonts w:hint="eastAsia" w:ascii="方正书宋_GBK" w:eastAsia="方正书宋_GBK"/>
              </w:rPr>
              <w:t>次，组织比赛</w:t>
            </w:r>
            <w:r>
              <w:rPr>
                <w:rFonts w:ascii="方正书宋_GBK" w:eastAsia="方正书宋_GBK"/>
              </w:rPr>
              <w:t>3-5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三十二、体育非物质挖掘整理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通过比赛、培训、活动的挖掘整理，提高我区传统体育项目的水平。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、体育非物质挖掘整理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挖掘和整理武术等传统体育项目，通过比赛、培训、活动的挖掘整理，提高我区传统体育项目的水平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通过比赛、培训、活动的挖掘整理。</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六、政府采购支出情况说明</w:t>
      </w:r>
    </w:p>
    <w:p>
      <w:pPr>
        <w:ind w:firstLine="1171" w:firstLineChars="366"/>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9</w:t>
      </w:r>
      <w:r>
        <w:rPr>
          <w:rFonts w:hint="eastAsia" w:ascii="仿宋_GB2312" w:hAnsi="宋体" w:eastAsia="仿宋_GB2312"/>
          <w:sz w:val="32"/>
          <w:szCs w:val="32"/>
        </w:rPr>
        <w:t>年度</w:t>
      </w:r>
      <w:r>
        <w:rPr>
          <w:rFonts w:hint="eastAsia" w:ascii="仿宋_GB2312" w:hAnsi="宋体" w:eastAsia="仿宋_GB2312"/>
          <w:sz w:val="32"/>
          <w:szCs w:val="32"/>
          <w:lang w:val="en-US" w:eastAsia="zh-CN"/>
        </w:rPr>
        <w:t>我部门安排</w:t>
      </w:r>
      <w:r>
        <w:rPr>
          <w:rFonts w:hint="eastAsia" w:ascii="仿宋_GB2312" w:hAnsi="宋体" w:eastAsia="仿宋_GB2312"/>
          <w:sz w:val="32"/>
          <w:szCs w:val="32"/>
        </w:rPr>
        <w:t>政府采购金额约为</w:t>
      </w:r>
      <w:r>
        <w:rPr>
          <w:rFonts w:hint="eastAsia" w:ascii="仿宋_GB2312" w:hAnsi="宋体" w:eastAsia="仿宋_GB2312"/>
          <w:sz w:val="32"/>
          <w:szCs w:val="32"/>
          <w:lang w:val="en-US" w:eastAsia="zh-CN"/>
        </w:rPr>
        <w:t xml:space="preserve"> 368.3</w:t>
      </w:r>
      <w:r>
        <w:rPr>
          <w:rFonts w:hint="eastAsia" w:ascii="仿宋_GB2312" w:hAnsi="宋体" w:eastAsia="仿宋_GB2312"/>
          <w:sz w:val="32"/>
          <w:szCs w:val="32"/>
        </w:rPr>
        <w:t>万元，具体</w:t>
      </w:r>
      <w:r>
        <w:rPr>
          <w:rFonts w:hint="eastAsia" w:ascii="仿宋_GB2312" w:hAnsi="宋体" w:eastAsia="仿宋_GB2312"/>
          <w:sz w:val="32"/>
          <w:szCs w:val="32"/>
          <w:lang w:val="en-US" w:eastAsia="zh-CN"/>
        </w:rPr>
        <w:t>内容</w:t>
      </w:r>
      <w:r>
        <w:rPr>
          <w:rFonts w:hint="eastAsia" w:ascii="仿宋_GB2312" w:hAnsi="宋体" w:eastAsia="仿宋_GB2312"/>
          <w:sz w:val="32"/>
          <w:szCs w:val="32"/>
        </w:rPr>
        <w:t>见下表。</w:t>
      </w:r>
    </w:p>
    <w:p>
      <w:pPr>
        <w:pStyle w:val="2"/>
        <w:rPr>
          <w:rFonts w:hint="eastAsia"/>
        </w:rPr>
      </w:pPr>
    </w:p>
    <w:tbl>
      <w:tblPr>
        <w:tblStyle w:val="10"/>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1"/>
        <w:gridCol w:w="998"/>
        <w:gridCol w:w="880"/>
        <w:gridCol w:w="891"/>
        <w:gridCol w:w="679"/>
        <w:gridCol w:w="957"/>
        <w:gridCol w:w="761"/>
        <w:gridCol w:w="957"/>
        <w:gridCol w:w="957"/>
        <w:gridCol w:w="957"/>
        <w:gridCol w:w="869"/>
        <w:gridCol w:w="872"/>
        <w:gridCol w:w="872"/>
        <w:gridCol w:w="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37"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石家庄市鹿泉区文体旅游局</w:t>
            </w:r>
          </w:p>
        </w:tc>
        <w:tc>
          <w:tcPr>
            <w:tcW w:w="6315"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26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80"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9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7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95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6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15"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7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98"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80" w:type="dxa"/>
            <w:vMerge w:val="continue"/>
            <w:vAlign w:val="center"/>
          </w:tcPr>
          <w:p>
            <w:pPr>
              <w:spacing w:line="300" w:lineRule="exact"/>
              <w:jc w:val="left"/>
              <w:outlineLvl w:val="0"/>
            </w:pPr>
          </w:p>
        </w:tc>
        <w:tc>
          <w:tcPr>
            <w:tcW w:w="891" w:type="dxa"/>
            <w:vMerge w:val="continue"/>
            <w:vAlign w:val="center"/>
          </w:tcPr>
          <w:p>
            <w:pPr>
              <w:spacing w:line="300" w:lineRule="exact"/>
              <w:jc w:val="left"/>
              <w:outlineLvl w:val="0"/>
            </w:pPr>
          </w:p>
        </w:tc>
        <w:tc>
          <w:tcPr>
            <w:tcW w:w="679"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761" w:type="dxa"/>
            <w:vMerge w:val="continue"/>
            <w:vAlign w:val="center"/>
          </w:tcPr>
          <w:p>
            <w:pPr>
              <w:spacing w:line="300" w:lineRule="exact"/>
              <w:jc w:val="left"/>
              <w:outlineLvl w:val="0"/>
            </w:pPr>
          </w:p>
        </w:tc>
        <w:tc>
          <w:tcPr>
            <w:tcW w:w="957"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31"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271" w:type="dxa"/>
            <w:vMerge w:val="continue"/>
            <w:vAlign w:val="center"/>
          </w:tcPr>
          <w:p>
            <w:pPr>
              <w:spacing w:line="300" w:lineRule="exact"/>
              <w:jc w:val="left"/>
              <w:outlineLvl w:val="0"/>
            </w:pPr>
          </w:p>
        </w:tc>
        <w:tc>
          <w:tcPr>
            <w:tcW w:w="998" w:type="dxa"/>
            <w:vMerge w:val="continue"/>
            <w:vAlign w:val="center"/>
          </w:tcPr>
          <w:p>
            <w:pPr>
              <w:spacing w:line="300" w:lineRule="exact"/>
              <w:jc w:val="left"/>
              <w:outlineLvl w:val="0"/>
            </w:pPr>
          </w:p>
        </w:tc>
        <w:tc>
          <w:tcPr>
            <w:tcW w:w="880" w:type="dxa"/>
            <w:vMerge w:val="continue"/>
            <w:vAlign w:val="center"/>
          </w:tcPr>
          <w:p>
            <w:pPr>
              <w:spacing w:line="300" w:lineRule="exact"/>
              <w:jc w:val="left"/>
              <w:outlineLvl w:val="0"/>
            </w:pPr>
          </w:p>
        </w:tc>
        <w:tc>
          <w:tcPr>
            <w:tcW w:w="891" w:type="dxa"/>
            <w:vMerge w:val="continue"/>
            <w:vAlign w:val="center"/>
          </w:tcPr>
          <w:p>
            <w:pPr>
              <w:spacing w:line="300" w:lineRule="exact"/>
              <w:jc w:val="left"/>
              <w:outlineLvl w:val="0"/>
            </w:pPr>
          </w:p>
        </w:tc>
        <w:tc>
          <w:tcPr>
            <w:tcW w:w="679"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761"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69"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72"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72"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31"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7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98" w:type="dxa"/>
            <w:vAlign w:val="center"/>
          </w:tcPr>
          <w:p>
            <w:pPr>
              <w:spacing w:line="300" w:lineRule="exact"/>
              <w:jc w:val="right"/>
              <w:rPr>
                <w:rFonts w:hint="eastAsia" w:ascii="方正书宋_GBK" w:eastAsiaTheme="minorEastAsia"/>
                <w:b/>
                <w:lang w:val="en-US" w:eastAsia="zh-CN"/>
              </w:rPr>
            </w:pPr>
            <w:r>
              <w:rPr>
                <w:rFonts w:hint="eastAsia" w:ascii="方正书宋_GBK"/>
                <w:b/>
                <w:lang w:val="en-US" w:eastAsia="zh-CN"/>
              </w:rPr>
              <w:t>368.3</w:t>
            </w:r>
          </w:p>
        </w:tc>
        <w:tc>
          <w:tcPr>
            <w:tcW w:w="880" w:type="dxa"/>
            <w:vAlign w:val="center"/>
          </w:tcPr>
          <w:p>
            <w:pPr>
              <w:spacing w:line="300" w:lineRule="exact"/>
              <w:jc w:val="left"/>
              <w:rPr>
                <w:rFonts w:ascii="方正书宋_GBK" w:eastAsia="方正书宋_GBK"/>
                <w:b/>
              </w:rPr>
            </w:pPr>
          </w:p>
        </w:tc>
        <w:tc>
          <w:tcPr>
            <w:tcW w:w="891" w:type="dxa"/>
            <w:vAlign w:val="center"/>
          </w:tcPr>
          <w:p>
            <w:pPr>
              <w:spacing w:line="300" w:lineRule="exact"/>
              <w:jc w:val="left"/>
              <w:rPr>
                <w:rFonts w:ascii="方正书宋_GBK" w:eastAsia="方正书宋_GBK"/>
                <w:b/>
              </w:rPr>
            </w:pPr>
          </w:p>
        </w:tc>
        <w:tc>
          <w:tcPr>
            <w:tcW w:w="679" w:type="dxa"/>
            <w:vAlign w:val="center"/>
          </w:tcPr>
          <w:p>
            <w:pPr>
              <w:spacing w:line="300" w:lineRule="exact"/>
              <w:jc w:val="left"/>
              <w:rPr>
                <w:rFonts w:ascii="方正书宋_GBK" w:eastAsia="方正书宋_GBK"/>
                <w:b/>
              </w:rPr>
            </w:pPr>
          </w:p>
        </w:tc>
        <w:tc>
          <w:tcPr>
            <w:tcW w:w="957" w:type="dxa"/>
            <w:vAlign w:val="center"/>
          </w:tcPr>
          <w:p>
            <w:pPr>
              <w:spacing w:line="300" w:lineRule="exact"/>
              <w:jc w:val="right"/>
              <w:rPr>
                <w:rFonts w:hint="eastAsia" w:ascii="方正书宋_GBK"/>
                <w:b/>
              </w:rPr>
            </w:pPr>
          </w:p>
        </w:tc>
        <w:tc>
          <w:tcPr>
            <w:tcW w:w="76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368.3</w:t>
            </w:r>
          </w:p>
        </w:tc>
        <w:tc>
          <w:tcPr>
            <w:tcW w:w="957"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869"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3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71" w:type="dxa"/>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石家庄市鹿泉区文体旅游局小计</w:t>
            </w:r>
          </w:p>
        </w:tc>
        <w:tc>
          <w:tcPr>
            <w:tcW w:w="998" w:type="dxa"/>
            <w:vAlign w:val="center"/>
          </w:tcPr>
          <w:p>
            <w:pPr>
              <w:spacing w:line="300" w:lineRule="exact"/>
              <w:jc w:val="right"/>
              <w:rPr>
                <w:rFonts w:hint="eastAsia" w:ascii="方正书宋_GBK" w:eastAsiaTheme="minorEastAsia"/>
                <w:b/>
                <w:lang w:eastAsia="zh-CN"/>
              </w:rPr>
            </w:pPr>
            <w:r>
              <w:rPr>
                <w:rFonts w:hint="eastAsia" w:ascii="方正书宋_GBK" w:eastAsiaTheme="minorEastAsia"/>
                <w:b/>
                <w:position w:val="-10"/>
                <w:lang w:eastAsia="zh-CN"/>
              </w:rPr>
              <w:object>
                <v:shape id="_x0000_i1025" o:spt="75" type="#_x0000_t75" style="height:17pt;width:72pt;" o:ole="t" filled="f" o:preferrelative="t" stroked="f" coordsize="21600,21600">
                  <v:path/>
                  <v:fill on="f" focussize="0,0"/>
                  <v:stroke on="f"/>
                  <v:imagedata r:id="rId5" o:title=""/>
                  <o:lock v:ext="edit" aspectratio="t"/>
                  <w10:wrap type="none"/>
                  <w10:anchorlock/>
                </v:shape>
                <o:OLEObject Type="Embed" ProgID="Equation.KSEE3" ShapeID="_x0000_i1025" DrawAspect="Content" ObjectID="_1468075725" r:id="rId4">
                  <o:LockedField>false</o:LockedField>
                </o:OLEObject>
              </w:object>
            </w:r>
            <w:r>
              <w:rPr>
                <w:rFonts w:hint="eastAsia" w:ascii="方正书宋_GBK"/>
                <w:b/>
                <w:lang w:val="en-US" w:eastAsia="zh-CN"/>
              </w:rPr>
              <w:t>368.3</w:t>
            </w:r>
          </w:p>
        </w:tc>
        <w:tc>
          <w:tcPr>
            <w:tcW w:w="880" w:type="dxa"/>
            <w:vAlign w:val="center"/>
          </w:tcPr>
          <w:p>
            <w:pPr>
              <w:spacing w:line="300" w:lineRule="exact"/>
              <w:jc w:val="left"/>
              <w:rPr>
                <w:rFonts w:ascii="方正书宋_GBK" w:eastAsia="方正书宋_GBK"/>
                <w:b/>
              </w:rPr>
            </w:pPr>
          </w:p>
        </w:tc>
        <w:tc>
          <w:tcPr>
            <w:tcW w:w="891" w:type="dxa"/>
            <w:vAlign w:val="center"/>
          </w:tcPr>
          <w:p>
            <w:pPr>
              <w:spacing w:line="300" w:lineRule="exact"/>
              <w:jc w:val="left"/>
              <w:rPr>
                <w:rFonts w:ascii="方正书宋_GBK" w:eastAsia="方正书宋_GBK"/>
                <w:b/>
              </w:rPr>
            </w:pPr>
          </w:p>
        </w:tc>
        <w:tc>
          <w:tcPr>
            <w:tcW w:w="679" w:type="dxa"/>
            <w:vAlign w:val="center"/>
          </w:tcPr>
          <w:p>
            <w:pPr>
              <w:spacing w:line="300" w:lineRule="exact"/>
              <w:jc w:val="left"/>
              <w:rPr>
                <w:rFonts w:ascii="方正书宋_GBK" w:eastAsia="方正书宋_GBK"/>
                <w:b/>
              </w:rPr>
            </w:pPr>
          </w:p>
        </w:tc>
        <w:tc>
          <w:tcPr>
            <w:tcW w:w="957" w:type="dxa"/>
            <w:vAlign w:val="center"/>
          </w:tcPr>
          <w:p>
            <w:pPr>
              <w:spacing w:line="300" w:lineRule="exact"/>
              <w:jc w:val="right"/>
              <w:rPr>
                <w:rFonts w:hint="eastAsia" w:ascii="方正书宋_GBK"/>
                <w:b/>
              </w:rPr>
            </w:pPr>
          </w:p>
        </w:tc>
        <w:tc>
          <w:tcPr>
            <w:tcW w:w="76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869"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3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西门舞台改造工程</w:t>
            </w:r>
          </w:p>
        </w:tc>
        <w:tc>
          <w:tcPr>
            <w:tcW w:w="998"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31.9</w:t>
            </w:r>
          </w:p>
        </w:tc>
        <w:tc>
          <w:tcPr>
            <w:tcW w:w="880" w:type="dxa"/>
            <w:vAlign w:val="center"/>
          </w:tcPr>
          <w:p>
            <w:pPr>
              <w:spacing w:line="300" w:lineRule="exact"/>
              <w:jc w:val="left"/>
              <w:rPr>
                <w:rFonts w:ascii="方正书宋_GBK" w:eastAsia="方正书宋_GBK"/>
              </w:rPr>
            </w:pPr>
            <w:r>
              <w:rPr>
                <w:rFonts w:hint="eastAsia" w:ascii="方正书宋_GBK" w:eastAsia="方正书宋_GBK"/>
              </w:rPr>
              <w:t>其他货物</w:t>
            </w:r>
          </w:p>
        </w:tc>
        <w:tc>
          <w:tcPr>
            <w:tcW w:w="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B</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31.9</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27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广告投放</w:t>
            </w:r>
          </w:p>
        </w:tc>
        <w:tc>
          <w:tcPr>
            <w:tcW w:w="998" w:type="dxa"/>
            <w:vAlign w:val="center"/>
          </w:tcPr>
          <w:p>
            <w:pPr>
              <w:spacing w:line="300" w:lineRule="exact"/>
              <w:jc w:val="right"/>
              <w:rPr>
                <w:rFonts w:ascii="方正书宋_GBK" w:eastAsia="方正书宋_GBK"/>
              </w:rPr>
            </w:pPr>
            <w:r>
              <w:rPr>
                <w:rFonts w:ascii="方正书宋_GBK" w:eastAsia="方正书宋_GBK"/>
              </w:rPr>
              <w:t>176.40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891" w:type="dxa"/>
            <w:vAlign w:val="center"/>
          </w:tcPr>
          <w:p>
            <w:pPr>
              <w:spacing w:line="300" w:lineRule="exact"/>
              <w:jc w:val="left"/>
              <w:rPr>
                <w:rFonts w:ascii="方正书宋_GBK" w:eastAsia="方正书宋_GBK"/>
              </w:rPr>
            </w:pPr>
            <w:r>
              <w:rPr>
                <w:rFonts w:ascii="方正书宋_GBK" w:eastAsia="方正书宋_GBK"/>
              </w:rPr>
              <w:t>C1301</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旅游产业发展大会</w:t>
            </w:r>
          </w:p>
        </w:tc>
        <w:tc>
          <w:tcPr>
            <w:tcW w:w="998"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100.00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旅游服务</w:t>
            </w:r>
          </w:p>
        </w:tc>
        <w:tc>
          <w:tcPr>
            <w:tcW w:w="891" w:type="dxa"/>
            <w:vAlign w:val="center"/>
          </w:tcPr>
          <w:p>
            <w:pPr>
              <w:spacing w:line="300" w:lineRule="exact"/>
              <w:jc w:val="left"/>
              <w:rPr>
                <w:rFonts w:ascii="方正书宋_GBK" w:eastAsia="方正书宋_GBK"/>
              </w:rPr>
            </w:pPr>
            <w:r>
              <w:rPr>
                <w:rFonts w:ascii="方正书宋_GBK" w:eastAsia="方正书宋_GBK"/>
              </w:rPr>
              <w:t>C0818</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鹿泉会堂消防设施更换维修</w:t>
            </w:r>
          </w:p>
        </w:tc>
        <w:tc>
          <w:tcPr>
            <w:tcW w:w="998"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60.00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消防工程和安防工程</w:t>
            </w:r>
          </w:p>
        </w:tc>
        <w:tc>
          <w:tcPr>
            <w:tcW w:w="891" w:type="dxa"/>
            <w:vAlign w:val="center"/>
          </w:tcPr>
          <w:p>
            <w:pPr>
              <w:spacing w:line="300" w:lineRule="exact"/>
              <w:jc w:val="left"/>
              <w:rPr>
                <w:rFonts w:ascii="方正书宋_GBK" w:eastAsia="方正书宋_GBK"/>
              </w:rPr>
            </w:pPr>
            <w:r>
              <w:rPr>
                <w:rFonts w:ascii="方正书宋_GBK" w:eastAsia="方正书宋_GBK"/>
              </w:rPr>
              <w:t>B0510</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bl>
    <w:p>
      <w:pPr>
        <w:spacing w:line="300" w:lineRule="exact"/>
        <w:jc w:val="left"/>
        <w:outlineLvl w:val="0"/>
        <w:rPr>
          <w:rFonts w:hint="eastAsia"/>
        </w:rPr>
        <w:sectPr>
          <w:pgSz w:w="16838" w:h="11906" w:orient="landscape"/>
          <w:pgMar w:top="1077" w:right="1440" w:bottom="1077" w:left="1440" w:header="851" w:footer="992" w:gutter="0"/>
          <w:cols w:space="720" w:num="1"/>
          <w:docGrid w:linePitch="312" w:charSpace="0"/>
        </w:sect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七、国有资产信息</w:t>
      </w:r>
    </w:p>
    <w:p>
      <w:pPr>
        <w:ind w:firstLine="640" w:firstLineChars="200"/>
        <w:outlineLvl w:val="0"/>
        <w:rPr>
          <w:rFonts w:hint="eastAsia" w:ascii="仿宋_GB2312" w:hAnsi="宋体" w:eastAsia="仿宋_GB2312"/>
          <w:sz w:val="32"/>
          <w:szCs w:val="32"/>
        </w:rPr>
      </w:pPr>
      <w:r>
        <w:rPr>
          <w:rFonts w:hint="eastAsia" w:ascii="仿宋_GB2312" w:hAnsi="宋体" w:eastAsia="仿宋_GB2312"/>
          <w:sz w:val="32"/>
          <w:szCs w:val="32"/>
          <w:lang w:val="en-US" w:eastAsia="zh-CN"/>
        </w:rPr>
        <w:t>我部门</w:t>
      </w: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年初固定资产2459.32万元，201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年末固定资产2576.66万元。其中：房屋1973.71万元，汽车62.58万元、其他固定资产540.37万元</w:t>
      </w:r>
      <w:r>
        <w:rPr>
          <w:rFonts w:hint="eastAsia" w:ascii="仿宋_GB2312" w:hAnsi="宋体" w:eastAsia="仿宋_GB2312"/>
          <w:sz w:val="32"/>
          <w:szCs w:val="32"/>
          <w:lang w:eastAsia="zh-CN"/>
        </w:rPr>
        <w:t>，</w:t>
      </w:r>
      <w:r>
        <w:rPr>
          <w:rFonts w:hint="eastAsia" w:ascii="仿宋_GB2312" w:hAnsi="宋体" w:eastAsia="仿宋_GB2312"/>
          <w:sz w:val="32"/>
          <w:szCs w:val="32"/>
        </w:rPr>
        <w:t>固定资产新增117.34万元</w:t>
      </w:r>
      <w:r>
        <w:rPr>
          <w:rFonts w:hint="eastAsia" w:ascii="仿宋_GB2312" w:hAnsi="宋体" w:eastAsia="仿宋_GB2312"/>
          <w:sz w:val="32"/>
          <w:szCs w:val="32"/>
          <w:lang w:eastAsia="zh-CN"/>
        </w:rPr>
        <w:t>。</w:t>
      </w:r>
      <w:r>
        <w:rPr>
          <w:rFonts w:hint="eastAsia" w:ascii="仿宋_GB2312" w:hAnsi="宋体" w:eastAsia="仿宋_GB2312"/>
          <w:sz w:val="32"/>
          <w:szCs w:val="32"/>
        </w:rPr>
        <w:t>201</w:t>
      </w:r>
      <w:r>
        <w:rPr>
          <w:rFonts w:hint="eastAsia" w:ascii="仿宋_GB2312" w:hAnsi="宋体" w:eastAsia="仿宋_GB2312"/>
          <w:sz w:val="32"/>
          <w:szCs w:val="32"/>
          <w:lang w:val="en-US" w:eastAsia="zh-CN"/>
        </w:rPr>
        <w:t>9</w:t>
      </w:r>
      <w:r>
        <w:rPr>
          <w:rFonts w:hint="eastAsia" w:ascii="仿宋_GB2312" w:hAnsi="宋体" w:eastAsia="仿宋_GB2312"/>
          <w:sz w:val="32"/>
          <w:szCs w:val="32"/>
        </w:rPr>
        <w:t>年</w:t>
      </w:r>
      <w:r>
        <w:rPr>
          <w:rFonts w:hint="eastAsia" w:ascii="仿宋_GB2312" w:hAnsi="宋体" w:eastAsia="仿宋_GB2312"/>
          <w:sz w:val="32"/>
          <w:szCs w:val="32"/>
          <w:lang w:eastAsia="zh-CN"/>
        </w:rPr>
        <w:t>拟购置固资</w:t>
      </w:r>
      <w:r>
        <w:rPr>
          <w:rFonts w:hint="eastAsia" w:ascii="仿宋_GB2312" w:hAnsi="宋体" w:eastAsia="仿宋_GB2312"/>
          <w:sz w:val="32"/>
          <w:szCs w:val="32"/>
          <w:lang w:val="en-US" w:eastAsia="zh-CN"/>
        </w:rPr>
        <w:t>0万元，原因为</w:t>
      </w:r>
      <w:r>
        <w:rPr>
          <w:rFonts w:hint="eastAsia" w:ascii="仿宋_GB2312" w:hAnsi="宋体" w:eastAsia="仿宋_GB2312"/>
          <w:sz w:val="32"/>
          <w:szCs w:val="32"/>
        </w:rPr>
        <w:t>无新增固定资产计划。</w:t>
      </w:r>
    </w:p>
    <w:p>
      <w:pPr>
        <w:jc w:val="center"/>
        <w:outlineLvl w:val="0"/>
        <w:rPr>
          <w:rFonts w:hint="eastAsia" w:ascii="仿宋" w:hAnsi="仿宋" w:eastAsia="仿宋"/>
          <w:b/>
          <w:sz w:val="44"/>
          <w:szCs w:val="44"/>
        </w:rPr>
      </w:pPr>
      <w:r>
        <w:rPr>
          <w:rFonts w:hint="eastAsia" w:ascii="仿宋" w:hAnsi="仿宋" w:eastAsia="仿宋"/>
          <w:b/>
          <w:sz w:val="44"/>
          <w:szCs w:val="44"/>
        </w:rPr>
        <w:t>固定资产占用情况表</w:t>
      </w:r>
    </w:p>
    <w:p>
      <w:pPr>
        <w:jc w:val="both"/>
        <w:outlineLvl w:val="0"/>
        <w:rPr>
          <w:rFonts w:hint="eastAsia" w:ascii="仿宋" w:hAnsi="仿宋" w:eastAsia="仿宋"/>
          <w:sz w:val="32"/>
          <w:szCs w:val="32"/>
        </w:rPr>
      </w:pPr>
      <w:r>
        <w:rPr>
          <w:rFonts w:hint="eastAsia" w:ascii="仿宋" w:hAnsi="仿宋" w:eastAsia="仿宋"/>
          <w:sz w:val="32"/>
          <w:szCs w:val="32"/>
        </w:rPr>
        <w:t>357石家庄市鹿泉区文体旅游局</w:t>
      </w:r>
      <w:r>
        <w:rPr>
          <w:rFonts w:hint="eastAsia" w:ascii="仿宋" w:hAnsi="仿宋" w:eastAsia="仿宋"/>
          <w:sz w:val="32"/>
          <w:szCs w:val="32"/>
          <w:lang w:val="en-US" w:eastAsia="zh-CN"/>
        </w:rPr>
        <w:t xml:space="preserve">                               </w:t>
      </w:r>
      <w:r>
        <w:rPr>
          <w:rFonts w:hint="eastAsia" w:ascii="仿宋" w:hAnsi="仿宋" w:eastAsia="仿宋"/>
          <w:sz w:val="32"/>
          <w:szCs w:val="32"/>
        </w:rPr>
        <w:t>截</w:t>
      </w:r>
      <w:r>
        <w:rPr>
          <w:rFonts w:hint="eastAsia" w:ascii="仿宋" w:hAnsi="仿宋" w:eastAsia="仿宋"/>
          <w:sz w:val="32"/>
          <w:szCs w:val="32"/>
          <w:lang w:eastAsia="zh"/>
        </w:rPr>
        <w:t>止</w:t>
      </w:r>
      <w:r>
        <w:rPr>
          <w:rFonts w:hint="eastAsia" w:ascii="仿宋" w:hAnsi="仿宋" w:eastAsia="仿宋"/>
          <w:sz w:val="32"/>
          <w:szCs w:val="32"/>
        </w:rPr>
        <w:t>日期：201</w:t>
      </w:r>
      <w:r>
        <w:rPr>
          <w:rFonts w:hint="eastAsia" w:ascii="仿宋" w:hAnsi="仿宋" w:eastAsia="仿宋"/>
          <w:sz w:val="32"/>
          <w:szCs w:val="32"/>
          <w:lang w:val="en-US" w:eastAsia="zh-CN"/>
        </w:rPr>
        <w:t>8</w:t>
      </w:r>
      <w:r>
        <w:rPr>
          <w:rFonts w:hint="eastAsia" w:ascii="仿宋" w:hAnsi="仿宋" w:eastAsia="仿宋"/>
          <w:sz w:val="32"/>
          <w:szCs w:val="32"/>
        </w:rPr>
        <w:t>年12月31日</w:t>
      </w:r>
    </w:p>
    <w:tbl>
      <w:tblPr>
        <w:tblStyle w:val="10"/>
        <w:tblW w:w="13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8"/>
        <w:gridCol w:w="3342"/>
        <w:gridCol w:w="4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项目</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数量</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资产总额</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2576.66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1、房屋（平方米）</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8522</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1973.71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2、车辆（台、辆）</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62.58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3、单价在20万元以上的设备</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4、其他固定资产</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540.37</w:t>
            </w:r>
          </w:p>
        </w:tc>
      </w:tr>
    </w:tbl>
    <w:p>
      <w:pPr>
        <w:pStyle w:val="20"/>
        <w:ind w:firstLine="630" w:firstLineChars="196"/>
        <w:rPr>
          <w:rFonts w:hint="eastAsia" w:hAnsi="宋体" w:cs="宋体"/>
          <w:b/>
          <w:sz w:val="32"/>
          <w:szCs w:val="32"/>
          <w:lang w:eastAsia="zh-CN"/>
        </w:rPr>
      </w:pPr>
    </w:p>
    <w:p>
      <w:pPr>
        <w:pStyle w:val="20"/>
        <w:ind w:firstLine="630" w:firstLineChars="196"/>
        <w:rPr>
          <w:rFonts w:hint="eastAsia" w:hAnsi="宋体"/>
          <w:b/>
          <w:sz w:val="44"/>
          <w:szCs w:val="44"/>
          <w:lang w:eastAsia="zh-CN"/>
        </w:rPr>
      </w:pPr>
      <w:r>
        <w:rPr>
          <w:rFonts w:hint="eastAsia" w:hAnsi="宋体" w:cs="宋体"/>
          <w:b/>
          <w:sz w:val="32"/>
          <w:szCs w:val="32"/>
          <w:lang w:eastAsia="zh-CN"/>
        </w:rPr>
        <w:t>八、</w:t>
      </w:r>
      <w:r>
        <w:rPr>
          <w:rFonts w:hint="eastAsia" w:hAnsi="宋体"/>
          <w:b/>
          <w:sz w:val="32"/>
          <w:szCs w:val="32"/>
          <w:lang w:eastAsia="zh-CN"/>
        </w:rPr>
        <w:t>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val="en-US"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val="en-US"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pStyle w:val="2"/>
        <w:rPr>
          <w:rFonts w:hint="eastAsia"/>
        </w:r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九、其他重要事项情况说明</w:t>
      </w:r>
    </w:p>
    <w:p>
      <w:pPr>
        <w:widowControl/>
        <w:spacing w:line="580" w:lineRule="atLeast"/>
        <w:ind w:firstLine="640" w:firstLineChars="200"/>
        <w:rPr>
          <w:rFonts w:hint="eastAsia" w:ascii="宋体" w:hAnsi="宋体" w:cs="宋体"/>
          <w:kern w:val="0"/>
          <w:sz w:val="32"/>
          <w:szCs w:val="32"/>
        </w:rPr>
      </w:pPr>
      <w:r>
        <w:rPr>
          <w:rFonts w:hint="eastAsia" w:ascii="仿宋" w:hAnsi="仿宋" w:eastAsia="仿宋"/>
          <w:sz w:val="32"/>
          <w:szCs w:val="32"/>
        </w:rPr>
        <w:t>我</w:t>
      </w:r>
      <w:r>
        <w:rPr>
          <w:rFonts w:hint="eastAsia" w:ascii="仿宋" w:hAnsi="仿宋" w:eastAsia="仿宋"/>
          <w:sz w:val="32"/>
          <w:szCs w:val="32"/>
          <w:lang w:val="en-US" w:eastAsia="zh-CN"/>
        </w:rPr>
        <w:t>部门</w:t>
      </w:r>
      <w:r>
        <w:rPr>
          <w:rFonts w:hint="eastAsia" w:ascii="仿宋" w:hAnsi="仿宋" w:eastAsia="仿宋"/>
          <w:sz w:val="32"/>
          <w:szCs w:val="32"/>
        </w:rPr>
        <w:t>无其他</w:t>
      </w:r>
      <w:r>
        <w:rPr>
          <w:rFonts w:hint="eastAsia" w:ascii="仿宋" w:hAnsi="仿宋" w:eastAsia="仿宋"/>
          <w:sz w:val="32"/>
          <w:szCs w:val="32"/>
          <w:lang w:val="en-US" w:eastAsia="zh-CN"/>
        </w:rPr>
        <w:t>需要说明的事项</w:t>
      </w:r>
      <w:r>
        <w:rPr>
          <w:rFonts w:hint="eastAsia" w:ascii="仿宋" w:hAnsi="仿宋" w:eastAsia="仿宋"/>
          <w:sz w:val="32"/>
          <w:szCs w:val="32"/>
        </w:rPr>
        <w:t>。</w:t>
      </w:r>
    </w:p>
    <w:p>
      <w:pPr>
        <w:ind w:firstLine="640" w:firstLineChars="200"/>
        <w:rPr>
          <w:rFonts w:hint="eastAsia"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13CC5A"/>
    <w:multiLevelType w:val="singleLevel"/>
    <w:tmpl w:val="1513CC5A"/>
    <w:lvl w:ilvl="0" w:tentative="0">
      <w:start w:val="2"/>
      <w:numFmt w:val="chineseCounting"/>
      <w:suff w:val="space"/>
      <w:lvlText w:val="第%1部分"/>
      <w:lvlJc w:val="left"/>
      <w:rPr>
        <w:rFonts w:hint="eastAsia"/>
      </w:rPr>
    </w:lvl>
  </w:abstractNum>
  <w:abstractNum w:abstractNumId="1">
    <w:nsid w:val="4EE37184"/>
    <w:multiLevelType w:val="singleLevel"/>
    <w:tmpl w:val="4EE37184"/>
    <w:lvl w:ilvl="0" w:tentative="0">
      <w:start w:val="5"/>
      <w:numFmt w:val="chineseCounting"/>
      <w:suff w:val="nothing"/>
      <w:lvlText w:val="%1、"/>
      <w:lvlJc w:val="left"/>
      <w:rPr>
        <w:rFonts w:hint="eastAsia"/>
      </w:rPr>
    </w:lvl>
  </w:abstractNum>
  <w:abstractNum w:abstractNumId="2">
    <w:nsid w:val="5C80CC15"/>
    <w:multiLevelType w:val="singleLevel"/>
    <w:tmpl w:val="5C80CC15"/>
    <w:lvl w:ilvl="0" w:tentative="0">
      <w:start w:val="2"/>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1B0C16"/>
    <w:rsid w:val="032034B3"/>
    <w:rsid w:val="032A62BF"/>
    <w:rsid w:val="035F286D"/>
    <w:rsid w:val="041023E2"/>
    <w:rsid w:val="064C7316"/>
    <w:rsid w:val="07571F9F"/>
    <w:rsid w:val="0A593756"/>
    <w:rsid w:val="0A7226A3"/>
    <w:rsid w:val="0B7A0133"/>
    <w:rsid w:val="0E1C7225"/>
    <w:rsid w:val="0F4C4DEC"/>
    <w:rsid w:val="150C52A5"/>
    <w:rsid w:val="189469B7"/>
    <w:rsid w:val="1B5949A9"/>
    <w:rsid w:val="1C98248B"/>
    <w:rsid w:val="1D1A471A"/>
    <w:rsid w:val="226C1221"/>
    <w:rsid w:val="25F65092"/>
    <w:rsid w:val="28595500"/>
    <w:rsid w:val="29D92204"/>
    <w:rsid w:val="2C324A1A"/>
    <w:rsid w:val="2C6F1A38"/>
    <w:rsid w:val="32AA6782"/>
    <w:rsid w:val="32BB4A65"/>
    <w:rsid w:val="32E3013C"/>
    <w:rsid w:val="32F916E2"/>
    <w:rsid w:val="348843B9"/>
    <w:rsid w:val="352C2082"/>
    <w:rsid w:val="35CF108E"/>
    <w:rsid w:val="36801CC7"/>
    <w:rsid w:val="37F42A5F"/>
    <w:rsid w:val="3A053B6F"/>
    <w:rsid w:val="436708A4"/>
    <w:rsid w:val="46672AFF"/>
    <w:rsid w:val="478A2769"/>
    <w:rsid w:val="48BB5A88"/>
    <w:rsid w:val="50A3222A"/>
    <w:rsid w:val="54227D34"/>
    <w:rsid w:val="5DF154CF"/>
    <w:rsid w:val="5F340D82"/>
    <w:rsid w:val="5FBF4BB7"/>
    <w:rsid w:val="61156CCB"/>
    <w:rsid w:val="618F7FF9"/>
    <w:rsid w:val="64160886"/>
    <w:rsid w:val="662D6E0B"/>
    <w:rsid w:val="6C4B3C38"/>
    <w:rsid w:val="6E23284E"/>
    <w:rsid w:val="71580B9E"/>
    <w:rsid w:val="72056E15"/>
    <w:rsid w:val="73F86595"/>
    <w:rsid w:val="747D03B0"/>
    <w:rsid w:val="75BF29E0"/>
    <w:rsid w:val="76E7D96B"/>
    <w:rsid w:val="7D906D84"/>
    <w:rsid w:val="7FD650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7"/>
    <w:unhideWhenUsed/>
    <w:qFormat/>
    <w:uiPriority w:val="99"/>
    <w:rPr>
      <w:sz w:val="18"/>
      <w:szCs w:val="18"/>
    </w:rPr>
  </w:style>
  <w:style w:type="paragraph" w:styleId="4">
    <w:name w:val="footer"/>
    <w:basedOn w:val="1"/>
    <w:link w:val="16"/>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39"/>
    <w:rPr>
      <w:rFonts w:ascii="Times New Roman" w:hAnsi="Times New Roman" w:eastAsia="宋体" w:cs="Times New Roman"/>
      <w:szCs w:val="24"/>
    </w:rPr>
  </w:style>
  <w:style w:type="paragraph" w:styleId="7">
    <w:name w:val="footnote text"/>
    <w:basedOn w:val="1"/>
    <w:link w:val="19"/>
    <w:unhideWhenUsed/>
    <w:qFormat/>
    <w:uiPriority w:val="99"/>
    <w:pPr>
      <w:snapToGrid w:val="0"/>
      <w:jc w:val="left"/>
    </w:pPr>
    <w:rPr>
      <w:rFonts w:ascii="Calibri" w:hAnsi="Calibri" w:eastAsia="宋体" w:cs="Times New Roman"/>
      <w:sz w:val="18"/>
      <w:szCs w:val="18"/>
    </w:rPr>
  </w:style>
  <w:style w:type="paragraph" w:styleId="8">
    <w:name w:val="toc 2"/>
    <w:basedOn w:val="1"/>
    <w:next w:val="1"/>
    <w:qFormat/>
    <w:uiPriority w:val="39"/>
    <w:pPr>
      <w:ind w:left="420" w:leftChars="200"/>
    </w:pPr>
    <w:rPr>
      <w:rFonts w:ascii="Times New Roman" w:hAnsi="Times New Roman" w:eastAsia="宋体" w:cs="Times New Roman"/>
      <w:szCs w:val="24"/>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2">
    <w:name w:val="page number"/>
    <w:unhideWhenUsed/>
    <w:qFormat/>
    <w:uiPriority w:val="99"/>
  </w:style>
  <w:style w:type="character" w:styleId="13">
    <w:name w:val="Hyperlink"/>
    <w:unhideWhenUsed/>
    <w:qFormat/>
    <w:uiPriority w:val="99"/>
    <w:rPr>
      <w:color w:val="0000FF"/>
      <w:u w:val="single"/>
    </w:rPr>
  </w:style>
  <w:style w:type="character" w:styleId="14">
    <w:name w:val="footnote reference"/>
    <w:unhideWhenUsed/>
    <w:qFormat/>
    <w:uiPriority w:val="99"/>
    <w:rPr>
      <w:vertAlign w:val="superscript"/>
    </w:rPr>
  </w:style>
  <w:style w:type="character" w:customStyle="1" w:styleId="15">
    <w:name w:val="页眉 Char"/>
    <w:basedOn w:val="11"/>
    <w:link w:val="5"/>
    <w:qFormat/>
    <w:uiPriority w:val="99"/>
    <w:rPr>
      <w:rFonts w:ascii="Times New Roman" w:hAnsi="Times New Roman" w:eastAsia="宋体" w:cs="Times New Roman"/>
      <w:sz w:val="18"/>
      <w:szCs w:val="18"/>
    </w:rPr>
  </w:style>
  <w:style w:type="character" w:customStyle="1" w:styleId="16">
    <w:name w:val="页脚 Char"/>
    <w:basedOn w:val="11"/>
    <w:link w:val="4"/>
    <w:qFormat/>
    <w:uiPriority w:val="99"/>
    <w:rPr>
      <w:rFonts w:ascii="Times New Roman" w:hAnsi="Times New Roman" w:eastAsia="宋体" w:cs="Times New Roman"/>
      <w:sz w:val="18"/>
      <w:szCs w:val="18"/>
    </w:rPr>
  </w:style>
  <w:style w:type="character" w:customStyle="1" w:styleId="17">
    <w:name w:val="批注框文本 Char"/>
    <w:basedOn w:val="11"/>
    <w:link w:val="3"/>
    <w:semiHidden/>
    <w:qFormat/>
    <w:uiPriority w:val="99"/>
    <w:rPr>
      <w:sz w:val="18"/>
      <w:szCs w:val="18"/>
    </w:rPr>
  </w:style>
  <w:style w:type="paragraph" w:customStyle="1" w:styleId="18">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9">
    <w:name w:val="脚注文本 Char"/>
    <w:basedOn w:val="11"/>
    <w:link w:val="7"/>
    <w:semiHidden/>
    <w:qFormat/>
    <w:uiPriority w:val="99"/>
    <w:rPr>
      <w:rFonts w:ascii="Calibri" w:hAnsi="Calibri" w:eastAsia="宋体" w:cs="Times New Roman"/>
      <w:sz w:val="18"/>
      <w:szCs w:val="18"/>
    </w:rPr>
  </w:style>
  <w:style w:type="paragraph" w:customStyle="1" w:styleId="20">
    <w:name w:val="[Normal]"/>
    <w:qFormat/>
    <w:uiPriority w:val="0"/>
    <w:rPr>
      <w:rFonts w:ascii="宋体" w:hAnsi="Times New Roman" w:eastAsiaTheme="minorEastAsia" w:cstheme="minorBidi"/>
      <w:sz w:val="24"/>
      <w:szCs w:val="2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1</TotalTime>
  <ScaleCrop>false</ScaleCrop>
  <LinksUpToDate>false</LinksUpToDate>
  <CharactersWithSpaces>20505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Administrator</cp:lastModifiedBy>
  <cp:lastPrinted>2017-11-09T09:12:00Z</cp:lastPrinted>
  <dcterms:modified xsi:type="dcterms:W3CDTF">2025-08-08T02:26:19Z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1B1346EBEEF7462EB471E6C841BE4C22</vt:lpwstr>
  </property>
</Properties>
</file>