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石家庄市鹿泉区文化广电体育和旅游局</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贯彻落实石家庄市鹿泉区人民政府《关于全面实施预算绩效管理的实施意见》（鹿发〔2019〕8号）文件精神，遵循“科学性、规范性、客观性和公正性”的原则，对石家庄市鹿泉区文化广电体育和旅游局2023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石家庄市鹿泉区文化广电体育和旅游局（简称区文化广电体育和旅游局）为区政府工作部门，机构规格正科级。贯彻执行中央和省、市、区委关于文化、宣传创作、广播电视、体育和旅游方针政策和决策部署，坚持和加强党对文化、广播电视、体育和旅游工作的集中统一领导。主要职责是：</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贯彻执行中央党和国家文化、广播电视、网络视听节目服务管理、体育和旅游工作方针政策和法律法规。研究拟订全区文化、广播电视、体育和旅游政策措施。</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拟订全区文化事业、文化产业、广播电视领域、体育业和旅游业发展规划并组织实施，推进文化、广播电视、体育和旅游融合发展，推进文化、广播电视、体育和旅游体制机制改革。</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管理和组织全区性重大文化和旅游活动，组织实施全区广播电视公共服务重大公益工程和公益活动。监管全区重点文化。体育和旅游设施建设，组织鹿泉文化、体育和旅游整体形象推广，促进文化产业、体育产业和旅游产业对外合作和国际市场推广；负责组织推进全域旅游工作。</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指导、管理全区文艺事业。指导艺术创作生产，推动全区各门类艺术、各艺术品种发展。指导全区电视剧行业发展和电视剧创作生产。</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负责全区公共文化、广播电视、体育和旅游事业发展。推动全区文化、广播电视和旅游公共服务体系建设，协调区域性体育服务体系，推动多元化体育服务体系建设，深入实施文化惠民工程，统筹推进全区文化、广播电视、体育和旅游服务标准化、均等化。</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推动全区文化、广播电视、体育和旅游科技创新发展，推进文化和旅游行业信息化、标准化建设；负责对全区广播电视节目传输覆盖、监听、监看、检测的监管，会同有关部门做好对网络视听节目和公共视听载体播放的视听节目的监管工作，指导、监管全区广播电视广告播放。推进全区应急广播体系建设，监管协调调度全区广播电视安全播出。</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负责对全区各类广播电视机构进行业务指导和监管，会同有关部门对全区网络视听节目服务机构进行管理，推进广播电视与新媒体新技术新业态融合发展，推进广电网与电信网、互联网三网融合。</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负责全区非物质文化遗产保护，推动非物质文化遗产的保护、传承、普及、弘扬和振兴。</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统筹规划全区文化产业、广播电视产业、体育产业和旅游产业。组织实施文化和旅游资源普查、挖掘、保护和开发利用工作，促进文化产业、广播电视产业、体育产业和旅游产业发展。</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指导全区文化、广播电视、体育和旅游市场发展。对文化、广播电视、体育和旅游市场进行行业监管，推进全区文化、广播电视和旅游行业信用体系建设，依法规范文化、广播电视、体育和旅游市场。</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负责文化、文物、新闻出版局（版权）、广播电视、电影、体育、旅游等市场综合执法；负责督查督办全区性、跨区域性大案要案，维护市场秩序。</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负责文化遗产的管理和保护，指导和管理文物、博物馆事业，组织指导文物的保护抢救、考古发掘和开发利用工作。</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承担全区文化、广播电视、体育和旅游行业安全综合协调和监督管理工作，负责全区文化、广播电视、体育和旅游行业突发应急事件的处理工作。</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指导、管理全区文化、广播电视和旅游对外及对港澳台交流、合作和宣传、推广工作，组织大型文化、广播电视和旅游对外及对港澳台交流活动。根据授权开展对外体育合作与交流。</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负责统筹规划全区群众体育发展，推行全民健身计划，开展群众性体育活动，实施国家体育锻炼标准，开展国民体质监测，负责公共体育设施建设及监督管理工作。</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指导体育社团工作。</w:t>
      </w:r>
    </w:p>
    <w:p>
      <w:pPr>
        <w:adjustRightInd w:val="0"/>
        <w:snapToGrid w:val="0"/>
        <w:spacing w:line="360" w:lineRule="auto"/>
        <w:ind w:firstLine="640" w:firstLineChars="200"/>
        <w:jc w:val="left"/>
        <w:rPr>
          <w:rFonts w:hint="eastAsia" w:ascii="仿宋_GB2312" w:hAnsi="仿宋_GB2312" w:eastAsia="仿宋_GB2312" w:cs="仿宋_GB2312"/>
          <w:b w:val="0"/>
          <w:bCs/>
          <w:spacing w:val="-10"/>
          <w:sz w:val="32"/>
        </w:rPr>
      </w:pP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rPr>
        <w:t>完成区委、区政府交办的其他任务。</w:t>
      </w:r>
    </w:p>
    <w:p>
      <w:pPr>
        <w:pStyle w:val="3"/>
        <w:keepNext w:val="0"/>
        <w:keepLines w:val="0"/>
        <w:pageBreakBefore w:val="0"/>
        <w:widowControl w:val="0"/>
        <w:kinsoku w:val="0"/>
        <w:wordWrap/>
        <w:overflowPunct w:val="0"/>
        <w:topLinePunct w:val="0"/>
        <w:autoSpaceDE w:val="0"/>
        <w:autoSpaceDN w:val="0"/>
        <w:bidi w:val="0"/>
        <w:adjustRightInd w:val="0"/>
        <w:snapToGrid/>
        <w:spacing w:beforeLines="0" w:afterLines="0" w:line="578" w:lineRule="exact"/>
        <w:ind w:left="0" w:leftChars="0" w:right="0" w:firstLine="0" w:firstLineChars="0"/>
        <w:jc w:val="left"/>
        <w:textAlignment w:val="auto"/>
        <w:rPr>
          <w:rFonts w:hint="eastAsia" w:ascii="仿宋_GB2312" w:eastAsia="仿宋_GB2312" w:cs="仿宋_GB2312"/>
          <w:b/>
          <w:bCs/>
          <w:kern w:val="0"/>
          <w:sz w:val="32"/>
          <w:szCs w:val="32"/>
          <w:lang w:eastAsia="zh-CN"/>
        </w:rPr>
      </w:pPr>
      <w:r>
        <w:rPr>
          <w:rFonts w:hint="eastAsia" w:ascii="仿宋_GB2312" w:eastAsia="仿宋_GB2312" w:cs="仿宋_GB2312"/>
          <w:b/>
          <w:bCs/>
          <w:kern w:val="0"/>
          <w:sz w:val="32"/>
          <w:szCs w:val="32"/>
          <w:lang w:eastAsia="zh-CN"/>
        </w:rPr>
        <w:t>机构设置：</w:t>
      </w:r>
    </w:p>
    <w:tbl>
      <w:tblPr>
        <w:tblStyle w:val="8"/>
        <w:tblpPr w:leftFromText="180" w:rightFromText="180" w:vertAnchor="text" w:horzAnchor="page" w:tblpX="1299" w:tblpY="337"/>
        <w:tblOverlap w:val="never"/>
        <w:tblW w:w="95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73"/>
        <w:gridCol w:w="4335"/>
        <w:gridCol w:w="2145"/>
        <w:gridCol w:w="242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1" w:hRule="atLeast"/>
        </w:trPr>
        <w:tc>
          <w:tcPr>
            <w:tcW w:w="673" w:type="dxa"/>
            <w:vAlign w:val="top"/>
          </w:tcPr>
          <w:p>
            <w:pPr>
              <w:pStyle w:val="10"/>
              <w:keepNext w:val="0"/>
              <w:keepLines w:val="0"/>
              <w:pageBreakBefore w:val="0"/>
              <w:widowControl w:val="0"/>
              <w:wordWrap/>
              <w:topLinePunct w:val="0"/>
              <w:autoSpaceDE w:val="0"/>
              <w:bidi w:val="0"/>
              <w:spacing w:line="578" w:lineRule="exact"/>
              <w:ind w:left="0" w:leftChars="0" w:right="0"/>
              <w:rPr>
                <w:rFonts w:hint="eastAsia" w:ascii="仿宋_GB2312" w:eastAsia="仿宋_GB2312"/>
                <w:b/>
                <w:sz w:val="28"/>
              </w:rPr>
            </w:pPr>
            <w:r>
              <w:rPr>
                <w:rFonts w:hint="eastAsia" w:ascii="仿宋_GB2312" w:eastAsia="仿宋_GB2312"/>
                <w:b/>
                <w:sz w:val="28"/>
              </w:rPr>
              <w:t>序号</w:t>
            </w:r>
          </w:p>
        </w:tc>
        <w:tc>
          <w:tcPr>
            <w:tcW w:w="4335"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_GB2312" w:eastAsia="仿宋_GB2312"/>
                <w:b/>
                <w:sz w:val="28"/>
              </w:rPr>
            </w:pPr>
            <w:r>
              <w:rPr>
                <w:rFonts w:hint="eastAsia" w:ascii="仿宋_GB2312" w:eastAsia="仿宋_GB2312"/>
                <w:b/>
                <w:sz w:val="28"/>
              </w:rPr>
              <w:t>单位名称</w:t>
            </w:r>
          </w:p>
        </w:tc>
        <w:tc>
          <w:tcPr>
            <w:tcW w:w="2145"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_GB2312" w:eastAsia="仿宋_GB2312"/>
                <w:b/>
                <w:sz w:val="28"/>
              </w:rPr>
            </w:pPr>
            <w:r>
              <w:rPr>
                <w:rFonts w:hint="eastAsia" w:ascii="仿宋_GB2312" w:eastAsia="仿宋_GB2312"/>
                <w:b/>
                <w:sz w:val="28"/>
              </w:rPr>
              <w:t>单位基本性质</w:t>
            </w:r>
          </w:p>
        </w:tc>
        <w:tc>
          <w:tcPr>
            <w:tcW w:w="2427"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_GB2312" w:eastAsia="仿宋_GB2312"/>
                <w:b/>
                <w:sz w:val="28"/>
              </w:rPr>
            </w:pPr>
            <w:r>
              <w:rPr>
                <w:rFonts w:hint="eastAsia" w:ascii="仿宋_GB2312" w:eastAsia="仿宋_GB2312"/>
                <w:b/>
                <w:sz w:val="28"/>
              </w:rPr>
              <w:t>经费形式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1" w:hRule="atLeast"/>
        </w:trPr>
        <w:tc>
          <w:tcPr>
            <w:tcW w:w="673"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ascii="仿宋"/>
                <w:sz w:val="21"/>
              </w:rPr>
            </w:pPr>
            <w:r>
              <w:rPr>
                <w:rFonts w:ascii="仿宋"/>
                <w:w w:val="97"/>
                <w:sz w:val="21"/>
              </w:rPr>
              <w:t>1</w:t>
            </w:r>
          </w:p>
        </w:tc>
        <w:tc>
          <w:tcPr>
            <w:tcW w:w="4335"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rPr>
              <w:t>石家庄市鹿泉区文化广电体育和旅游局（本级）</w:t>
            </w:r>
          </w:p>
        </w:tc>
        <w:tc>
          <w:tcPr>
            <w:tcW w:w="2145"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rPr>
              <w:t>行政单位</w:t>
            </w:r>
          </w:p>
        </w:tc>
        <w:tc>
          <w:tcPr>
            <w:tcW w:w="2427"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673"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ascii="仿宋"/>
                <w:sz w:val="21"/>
              </w:rPr>
            </w:pPr>
            <w:r>
              <w:rPr>
                <w:rFonts w:ascii="仿宋"/>
                <w:w w:val="97"/>
                <w:sz w:val="21"/>
              </w:rPr>
              <w:t>2</w:t>
            </w:r>
          </w:p>
        </w:tc>
        <w:tc>
          <w:tcPr>
            <w:tcW w:w="4335"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rPr>
              <w:t>石家庄市鹿泉区文化执法大队</w:t>
            </w:r>
          </w:p>
        </w:tc>
        <w:tc>
          <w:tcPr>
            <w:tcW w:w="2145"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rPr>
              <w:t>财政补助事业单位</w:t>
            </w:r>
          </w:p>
        </w:tc>
        <w:tc>
          <w:tcPr>
            <w:tcW w:w="2427"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rPr>
              <w:t>财政性资金基本保证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673"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ascii="仿宋"/>
                <w:sz w:val="21"/>
              </w:rPr>
            </w:pPr>
            <w:r>
              <w:rPr>
                <w:rFonts w:ascii="仿宋"/>
                <w:w w:val="97"/>
                <w:sz w:val="21"/>
              </w:rPr>
              <w:t>3</w:t>
            </w:r>
          </w:p>
        </w:tc>
        <w:tc>
          <w:tcPr>
            <w:tcW w:w="4335"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lang w:val="en-US" w:eastAsia="zh-CN"/>
              </w:rPr>
              <w:t>石家庄市鹿泉区图书馆</w:t>
            </w:r>
          </w:p>
        </w:tc>
        <w:tc>
          <w:tcPr>
            <w:tcW w:w="2145"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rPr>
              <w:t>财政补助事业单位</w:t>
            </w:r>
          </w:p>
        </w:tc>
        <w:tc>
          <w:tcPr>
            <w:tcW w:w="2427"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rPr>
              <w:t>财政性资金基本保证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6" w:hRule="atLeast"/>
        </w:trPr>
        <w:tc>
          <w:tcPr>
            <w:tcW w:w="673"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ascii="仿宋"/>
                <w:sz w:val="21"/>
              </w:rPr>
            </w:pPr>
            <w:r>
              <w:rPr>
                <w:rFonts w:ascii="仿宋"/>
                <w:w w:val="97"/>
                <w:sz w:val="21"/>
              </w:rPr>
              <w:t>4</w:t>
            </w:r>
          </w:p>
        </w:tc>
        <w:tc>
          <w:tcPr>
            <w:tcW w:w="4335"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lang w:val="en-US" w:eastAsia="zh-CN"/>
              </w:rPr>
              <w:t>石家庄市鹿泉区文物保护管理所</w:t>
            </w:r>
          </w:p>
        </w:tc>
        <w:tc>
          <w:tcPr>
            <w:tcW w:w="2145"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rPr>
              <w:t>财政补助事业单位</w:t>
            </w:r>
          </w:p>
        </w:tc>
        <w:tc>
          <w:tcPr>
            <w:tcW w:w="2427"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rPr>
              <w:t>财政性资金基本保证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673"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ascii="仿宋"/>
                <w:sz w:val="21"/>
              </w:rPr>
            </w:pPr>
            <w:r>
              <w:rPr>
                <w:rFonts w:ascii="仿宋"/>
                <w:w w:val="97"/>
                <w:sz w:val="21"/>
              </w:rPr>
              <w:t>5</w:t>
            </w:r>
          </w:p>
        </w:tc>
        <w:tc>
          <w:tcPr>
            <w:tcW w:w="4335"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lang w:val="en-US" w:eastAsia="zh-CN"/>
              </w:rPr>
              <w:t>石家庄市鹿泉区文化馆</w:t>
            </w:r>
          </w:p>
        </w:tc>
        <w:tc>
          <w:tcPr>
            <w:tcW w:w="2145"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rPr>
              <w:t>财政补助事业单位</w:t>
            </w:r>
          </w:p>
        </w:tc>
        <w:tc>
          <w:tcPr>
            <w:tcW w:w="2427"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rPr>
              <w:t>财政性资金基本保证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6" w:hRule="atLeast"/>
        </w:trPr>
        <w:tc>
          <w:tcPr>
            <w:tcW w:w="673"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ascii="仿宋"/>
                <w:sz w:val="21"/>
              </w:rPr>
            </w:pPr>
            <w:r>
              <w:rPr>
                <w:rFonts w:ascii="仿宋"/>
                <w:w w:val="97"/>
                <w:sz w:val="21"/>
              </w:rPr>
              <w:t>6</w:t>
            </w:r>
          </w:p>
        </w:tc>
        <w:tc>
          <w:tcPr>
            <w:tcW w:w="4335"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lang w:val="en-US" w:eastAsia="zh-CN"/>
              </w:rPr>
              <w:t>石家庄市鹿泉区体育场</w:t>
            </w:r>
          </w:p>
        </w:tc>
        <w:tc>
          <w:tcPr>
            <w:tcW w:w="2145"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rPr>
              <w:t>财政补助事业单位</w:t>
            </w:r>
          </w:p>
        </w:tc>
        <w:tc>
          <w:tcPr>
            <w:tcW w:w="2427"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rPr>
              <w:t>财政性资金基本保证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6" w:hRule="atLeast"/>
        </w:trPr>
        <w:tc>
          <w:tcPr>
            <w:tcW w:w="673"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ascii="仿宋"/>
                <w:sz w:val="21"/>
              </w:rPr>
            </w:pPr>
            <w:r>
              <w:rPr>
                <w:rFonts w:ascii="仿宋"/>
                <w:w w:val="97"/>
                <w:sz w:val="21"/>
              </w:rPr>
              <w:t>7</w:t>
            </w:r>
          </w:p>
        </w:tc>
        <w:tc>
          <w:tcPr>
            <w:tcW w:w="4335"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lang w:val="en-US" w:eastAsia="zh-CN"/>
              </w:rPr>
              <w:t>石家庄市鹿泉区少年儿童业余体校</w:t>
            </w:r>
          </w:p>
        </w:tc>
        <w:tc>
          <w:tcPr>
            <w:tcW w:w="2145"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rPr>
              <w:t>财政补助事业单位</w:t>
            </w:r>
          </w:p>
        </w:tc>
        <w:tc>
          <w:tcPr>
            <w:tcW w:w="2427" w:type="dxa"/>
            <w:vAlign w:val="top"/>
          </w:tcPr>
          <w:p>
            <w:pPr>
              <w:pStyle w:val="10"/>
              <w:keepNext w:val="0"/>
              <w:keepLines w:val="0"/>
              <w:pageBreakBefore w:val="0"/>
              <w:widowControl w:val="0"/>
              <w:wordWrap/>
              <w:topLinePunct w:val="0"/>
              <w:autoSpaceDE w:val="0"/>
              <w:bidi w:val="0"/>
              <w:spacing w:line="578" w:lineRule="exact"/>
              <w:ind w:left="0" w:leftChars="0" w:right="0"/>
              <w:jc w:val="center"/>
              <w:rPr>
                <w:rFonts w:hint="eastAsia" w:ascii="仿宋" w:eastAsia="仿宋"/>
                <w:sz w:val="21"/>
              </w:rPr>
            </w:pPr>
            <w:r>
              <w:rPr>
                <w:rFonts w:hint="eastAsia" w:ascii="仿宋" w:eastAsia="仿宋"/>
                <w:sz w:val="21"/>
              </w:rPr>
              <w:t>财政性资金基本保证</w:t>
            </w:r>
          </w:p>
        </w:tc>
      </w:tr>
    </w:tbl>
    <w:p>
      <w:pPr>
        <w:adjustRightInd w:val="0"/>
        <w:snapToGrid w:val="0"/>
        <w:spacing w:line="560" w:lineRule="exact"/>
        <w:ind w:firstLine="640" w:firstLineChars="200"/>
        <w:rPr>
          <w:rFonts w:ascii="仿宋" w:hAnsi="仿宋" w:eastAsia="仿宋"/>
          <w:sz w:val="32"/>
          <w:szCs w:val="32"/>
        </w:rPr>
      </w:pP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本部门2023年度收、支总计（含结转和结余）</w:t>
      </w:r>
      <w:r>
        <w:rPr>
          <w:rFonts w:hint="eastAsia" w:ascii="仿宋_GB2312" w:hAnsi="仿宋_GB2312" w:cs="仿宋_GB2312"/>
          <w:sz w:val="32"/>
          <w:szCs w:val="32"/>
          <w:lang w:val="en-US" w:eastAsia="zh-CN"/>
        </w:rPr>
        <w:t>9856.23</w:t>
      </w:r>
      <w:r>
        <w:rPr>
          <w:rFonts w:hint="eastAsia" w:ascii="仿宋_GB2312" w:hAnsi="仿宋_GB2312" w:eastAsia="仿宋_GB2312" w:cs="仿宋_GB2312"/>
          <w:sz w:val="32"/>
          <w:szCs w:val="32"/>
        </w:rPr>
        <w:t>万元。与2022年度决算相比，收支各</w:t>
      </w:r>
      <w:r>
        <w:rPr>
          <w:rFonts w:hint="eastAsia" w:ascii="仿宋_GB2312" w:hAnsi="仿宋_GB2312" w:cs="仿宋_GB2312"/>
          <w:sz w:val="32"/>
          <w:szCs w:val="32"/>
          <w:lang w:val="en-US" w:eastAsia="zh-CN"/>
        </w:rPr>
        <w:t>增加797.72</w:t>
      </w:r>
      <w:r>
        <w:rPr>
          <w:rFonts w:hint="eastAsia" w:ascii="仿宋_GB2312" w:hAnsi="仿宋_GB2312" w:eastAsia="仿宋_GB2312" w:cs="仿宋_GB2312"/>
          <w:sz w:val="32"/>
          <w:szCs w:val="32"/>
        </w:rPr>
        <w:t>万元，</w:t>
      </w:r>
      <w:r>
        <w:rPr>
          <w:rFonts w:hint="eastAsia" w:ascii="仿宋_GB2312" w:hAnsi="仿宋_GB2312" w:cs="仿宋_GB2312"/>
          <w:sz w:val="32"/>
          <w:szCs w:val="32"/>
          <w:lang w:val="en-US" w:eastAsia="zh-CN"/>
        </w:rPr>
        <w:t>增加8.8</w:t>
      </w:r>
      <w:r>
        <w:rPr>
          <w:rFonts w:hint="eastAsia" w:ascii="仿宋_GB2312" w:hAnsi="仿宋_GB2312" w:eastAsia="仿宋_GB2312" w:cs="仿宋_GB2312"/>
          <w:sz w:val="32"/>
          <w:szCs w:val="32"/>
        </w:rPr>
        <w:t>%，主要原因是部门财政供养人员增加</w:t>
      </w:r>
      <w:r>
        <w:rPr>
          <w:rFonts w:hint="eastAsia" w:ascii="仿宋_GB2312" w:hAnsi="仿宋_GB2312" w:cs="仿宋_GB2312"/>
          <w:sz w:val="32"/>
          <w:szCs w:val="32"/>
          <w:lang w:eastAsia="zh-CN"/>
        </w:rPr>
        <w:t>、</w:t>
      </w:r>
      <w:r>
        <w:rPr>
          <w:rFonts w:hint="eastAsia" w:ascii="仿宋_GB2312" w:hAnsi="仿宋_GB2312" w:eastAsia="仿宋_GB2312" w:cs="仿宋_GB2312"/>
          <w:sz w:val="32"/>
          <w:szCs w:val="32"/>
        </w:rPr>
        <w:t>项目</w:t>
      </w:r>
      <w:r>
        <w:rPr>
          <w:rFonts w:hint="eastAsia" w:ascii="仿宋_GB2312" w:hAnsi="仿宋_GB2312" w:cs="仿宋_GB2312"/>
          <w:sz w:val="32"/>
          <w:szCs w:val="32"/>
          <w:lang w:val="en-US" w:eastAsia="zh-CN"/>
        </w:rPr>
        <w:t>资金增加</w:t>
      </w:r>
      <w:r>
        <w:rPr>
          <w:rFonts w:hint="eastAsia" w:ascii="仿宋_GB2312" w:hAnsi="仿宋_GB2312" w:cs="仿宋_GB2312"/>
          <w:sz w:val="32"/>
          <w:szCs w:val="32"/>
          <w:lang w:eastAsia="zh-CN"/>
        </w:rPr>
        <w:t>。</w:t>
      </w:r>
    </w:p>
    <w:p>
      <w:pPr>
        <w:pStyle w:val="2"/>
        <w:ind w:firstLine="640" w:firstLineChars="200"/>
        <w:rPr>
          <w:rFonts w:hint="eastAsia"/>
        </w:rPr>
      </w:pPr>
      <w:r>
        <w:rPr>
          <w:rFonts w:hint="eastAsia" w:ascii="仿宋_GB2312" w:hAnsi="仿宋_GB2312" w:eastAsia="仿宋_GB2312" w:cs="仿宋_GB2312"/>
          <w:sz w:val="32"/>
          <w:szCs w:val="32"/>
        </w:rPr>
        <w:t>本部门2023年度形成的财政拨款</w:t>
      </w:r>
      <w:r>
        <w:rPr>
          <w:rFonts w:hint="eastAsia" w:ascii="仿宋_GB2312" w:hAnsi="仿宋_GB2312" w:cs="仿宋_GB2312"/>
          <w:sz w:val="32"/>
          <w:szCs w:val="32"/>
          <w:lang w:val="en-US" w:eastAsia="zh-CN"/>
        </w:rPr>
        <w:t>收入</w:t>
      </w:r>
      <w:r>
        <w:rPr>
          <w:rFonts w:hint="eastAsia" w:ascii="仿宋_GB2312" w:hAnsi="仿宋_GB2312" w:eastAsia="仿宋_GB2312" w:cs="仿宋_GB2312"/>
          <w:sz w:val="32"/>
          <w:szCs w:val="32"/>
        </w:rPr>
        <w:t>为一般公共预算财政</w:t>
      </w:r>
      <w:r>
        <w:rPr>
          <w:rFonts w:hint="eastAsia" w:ascii="仿宋_GB2312" w:hAnsi="仿宋_GB2312" w:cs="仿宋_GB2312"/>
          <w:sz w:val="32"/>
          <w:szCs w:val="32"/>
          <w:lang w:val="en-US" w:eastAsia="zh-CN"/>
        </w:rPr>
        <w:t>收入</w:t>
      </w:r>
      <w:r>
        <w:rPr>
          <w:rFonts w:hint="eastAsia" w:ascii="仿宋_GB2312" w:hAnsi="仿宋_GB2312" w:cs="仿宋_GB2312"/>
          <w:sz w:val="32"/>
          <w:szCs w:val="32"/>
          <w:lang w:eastAsia="zh-CN"/>
        </w:rPr>
        <w:t>、</w:t>
      </w:r>
      <w:r>
        <w:rPr>
          <w:rFonts w:hint="eastAsia" w:ascii="仿宋_GB2312" w:hAnsi="仿宋_GB2312" w:eastAsia="仿宋_GB2312" w:cs="仿宋_GB2312"/>
          <w:sz w:val="32"/>
          <w:szCs w:val="32"/>
        </w:rPr>
        <w:t>政府性基金财政</w:t>
      </w:r>
      <w:r>
        <w:rPr>
          <w:rFonts w:hint="eastAsia" w:ascii="仿宋_GB2312" w:hAnsi="仿宋_GB2312" w:cs="仿宋_GB2312"/>
          <w:sz w:val="32"/>
          <w:szCs w:val="32"/>
          <w:lang w:val="en-US" w:eastAsia="zh-CN"/>
        </w:rPr>
        <w:t>收入和其他收入</w:t>
      </w:r>
      <w:r>
        <w:rPr>
          <w:rFonts w:hint="eastAsia" w:ascii="仿宋_GB2312" w:hAnsi="仿宋_GB2312" w:eastAsia="仿宋_GB2312" w:cs="仿宋_GB2312"/>
          <w:sz w:val="32"/>
          <w:szCs w:val="32"/>
        </w:rPr>
        <w:t>，其中一般公共预算财政拨款收入</w:t>
      </w:r>
      <w:r>
        <w:rPr>
          <w:rFonts w:hint="eastAsia" w:ascii="仿宋_GB2312" w:hAnsi="仿宋_GB2312" w:cs="仿宋_GB2312"/>
          <w:sz w:val="32"/>
          <w:szCs w:val="32"/>
          <w:lang w:val="en-US" w:eastAsia="zh-CN"/>
        </w:rPr>
        <w:t>3569.7</w:t>
      </w:r>
      <w:r>
        <w:rPr>
          <w:rFonts w:hint="eastAsia" w:ascii="仿宋_GB2312" w:hAnsi="仿宋_GB2312" w:eastAsia="仿宋_GB2312" w:cs="仿宋_GB2312"/>
          <w:sz w:val="32"/>
          <w:szCs w:val="32"/>
        </w:rPr>
        <w:t>万元，完成年初预算的</w:t>
      </w:r>
      <w:r>
        <w:rPr>
          <w:rFonts w:hint="eastAsia" w:ascii="仿宋_GB2312" w:hAnsi="仿宋_GB2312" w:cs="仿宋_GB2312"/>
          <w:sz w:val="32"/>
          <w:szCs w:val="32"/>
          <w:lang w:val="en-US" w:eastAsia="zh-CN"/>
        </w:rPr>
        <w:t>127.04</w:t>
      </w:r>
      <w:r>
        <w:rPr>
          <w:rFonts w:hint="eastAsia" w:ascii="仿宋_GB2312" w:hAnsi="仿宋_GB2312" w:eastAsia="仿宋_GB2312" w:cs="仿宋_GB2312"/>
          <w:sz w:val="32"/>
          <w:szCs w:val="32"/>
        </w:rPr>
        <w:t>%,比年初预算增加</w:t>
      </w:r>
      <w:r>
        <w:rPr>
          <w:rFonts w:hint="eastAsia" w:ascii="仿宋_GB2312" w:hAnsi="仿宋_GB2312" w:cs="仿宋_GB2312"/>
          <w:sz w:val="32"/>
          <w:szCs w:val="32"/>
          <w:lang w:val="en-US" w:eastAsia="zh-CN"/>
        </w:rPr>
        <w:t>759.81</w:t>
      </w:r>
      <w:r>
        <w:rPr>
          <w:rFonts w:hint="eastAsia" w:ascii="仿宋_GB2312" w:hAnsi="仿宋_GB2312" w:eastAsia="仿宋_GB2312" w:cs="仿宋_GB2312"/>
          <w:sz w:val="32"/>
          <w:szCs w:val="32"/>
        </w:rPr>
        <w:t>万元，主要原因是我</w:t>
      </w:r>
      <w:r>
        <w:rPr>
          <w:rFonts w:hint="eastAsia" w:ascii="仿宋_GB2312" w:hAnsi="仿宋_GB2312" w:cs="仿宋_GB2312"/>
          <w:sz w:val="32"/>
          <w:szCs w:val="32"/>
          <w:lang w:val="en-US" w:eastAsia="zh-CN"/>
        </w:rPr>
        <w:t>部门新增了公务员、事业编和劳务派遣人员及金河寺大殿修复</w:t>
      </w:r>
      <w:r>
        <w:rPr>
          <w:rFonts w:hint="eastAsia" w:ascii="仿宋_GB2312" w:hAnsi="仿宋_GB2312" w:eastAsia="仿宋_GB2312" w:cs="仿宋_GB2312"/>
          <w:sz w:val="32"/>
          <w:szCs w:val="32"/>
        </w:rPr>
        <w:t>等大额资金项目；政府性基金收入</w:t>
      </w:r>
      <w:r>
        <w:rPr>
          <w:rFonts w:hint="eastAsia" w:ascii="仿宋_GB2312" w:hAnsi="仿宋_GB2312" w:cs="仿宋_GB2312"/>
          <w:sz w:val="32"/>
          <w:szCs w:val="32"/>
          <w:lang w:val="en-US" w:eastAsia="zh-CN"/>
        </w:rPr>
        <w:t>5681.28</w:t>
      </w:r>
      <w:r>
        <w:rPr>
          <w:rFonts w:hint="eastAsia" w:ascii="仿宋_GB2312" w:hAnsi="仿宋_GB2312" w:eastAsia="仿宋_GB2312" w:cs="仿宋_GB2312"/>
          <w:sz w:val="32"/>
          <w:szCs w:val="32"/>
        </w:rPr>
        <w:t>万元，完成年初预算的</w:t>
      </w:r>
      <w:r>
        <w:rPr>
          <w:rFonts w:hint="eastAsia" w:ascii="仿宋_GB2312" w:hAnsi="仿宋_GB2312" w:cs="仿宋_GB2312"/>
          <w:sz w:val="32"/>
          <w:szCs w:val="32"/>
          <w:lang w:val="en-US" w:eastAsia="zh-CN"/>
        </w:rPr>
        <w:t>77.12</w:t>
      </w:r>
      <w:r>
        <w:rPr>
          <w:rFonts w:hint="eastAsia" w:ascii="仿宋_GB2312" w:hAnsi="仿宋_GB2312" w:eastAsia="仿宋_GB2312" w:cs="仿宋_GB2312"/>
          <w:sz w:val="32"/>
          <w:szCs w:val="32"/>
        </w:rPr>
        <w:t>%,比年初预算减少</w:t>
      </w:r>
      <w:r>
        <w:rPr>
          <w:rFonts w:hint="eastAsia" w:ascii="仿宋_GB2312" w:hAnsi="仿宋_GB2312" w:cs="仿宋_GB2312"/>
          <w:sz w:val="32"/>
          <w:szCs w:val="32"/>
          <w:lang w:val="en-US" w:eastAsia="zh-CN"/>
        </w:rPr>
        <w:t>1685.09</w:t>
      </w:r>
      <w:r>
        <w:rPr>
          <w:rFonts w:hint="eastAsia" w:ascii="仿宋_GB2312" w:hAnsi="仿宋_GB2312" w:eastAsia="仿宋_GB2312" w:cs="仿宋_GB2312"/>
          <w:sz w:val="32"/>
          <w:szCs w:val="32"/>
        </w:rPr>
        <w:t>万元，主要原因是</w:t>
      </w:r>
      <w:r>
        <w:rPr>
          <w:rFonts w:hint="eastAsia" w:ascii="仿宋_GB2312" w:hAnsi="仿宋_GB2312" w:cs="仿宋_GB2312"/>
          <w:sz w:val="32"/>
          <w:szCs w:val="32"/>
          <w:lang w:val="en-US" w:eastAsia="zh-CN"/>
        </w:rPr>
        <w:t>全民健身中心工程按进度支付；其他收入600万元，</w:t>
      </w:r>
      <w:r>
        <w:rPr>
          <w:rFonts w:hint="eastAsia" w:ascii="仿宋_GB2312" w:hAnsi="仿宋_GB2312" w:eastAsia="仿宋_GB2312" w:cs="仿宋_GB2312"/>
          <w:sz w:val="32"/>
          <w:szCs w:val="32"/>
        </w:rPr>
        <w:t>比年初预算增加</w:t>
      </w:r>
      <w:r>
        <w:rPr>
          <w:rFonts w:hint="eastAsia" w:ascii="仿宋_GB2312" w:hAnsi="仿宋_GB2312" w:cs="仿宋_GB2312"/>
          <w:sz w:val="32"/>
          <w:szCs w:val="32"/>
          <w:lang w:val="en-US" w:eastAsia="zh-CN"/>
        </w:rPr>
        <w:t>600</w:t>
      </w:r>
      <w:r>
        <w:rPr>
          <w:rFonts w:hint="eastAsia" w:ascii="仿宋_GB2312" w:hAnsi="仿宋_GB2312" w:eastAsia="仿宋_GB2312" w:cs="仿宋_GB2312"/>
          <w:sz w:val="32"/>
          <w:szCs w:val="32"/>
        </w:rPr>
        <w:t>万元</w:t>
      </w:r>
      <w:r>
        <w:rPr>
          <w:rFonts w:hint="eastAsia" w:ascii="仿宋_GB2312" w:hAnsi="仿宋_GB2312" w:cs="仿宋_GB2312"/>
          <w:sz w:val="32"/>
          <w:szCs w:val="32"/>
          <w:lang w:eastAsia="zh-CN"/>
        </w:rPr>
        <w:t>，</w:t>
      </w:r>
      <w:r>
        <w:rPr>
          <w:rFonts w:hint="eastAsia" w:ascii="仿宋_GB2312" w:hAnsi="仿宋_GB2312" w:eastAsia="仿宋_GB2312" w:cs="仿宋_GB2312"/>
          <w:sz w:val="32"/>
          <w:szCs w:val="32"/>
        </w:rPr>
        <w:t>主要原因是我</w:t>
      </w:r>
      <w:r>
        <w:rPr>
          <w:rFonts w:hint="eastAsia" w:ascii="仿宋_GB2312" w:hAnsi="仿宋_GB2312" w:cs="仿宋_GB2312"/>
          <w:sz w:val="32"/>
          <w:szCs w:val="32"/>
          <w:lang w:val="en-US" w:eastAsia="zh-CN"/>
        </w:rPr>
        <w:t>部门新增了土门关提档升级</w:t>
      </w:r>
      <w:r>
        <w:rPr>
          <w:rFonts w:hint="eastAsia" w:ascii="仿宋_GB2312" w:hAnsi="仿宋_GB2312" w:eastAsia="仿宋_GB2312" w:cs="仿宋_GB2312"/>
          <w:sz w:val="32"/>
          <w:szCs w:val="32"/>
        </w:rPr>
        <w:t>项目。</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贯彻执行党和国家文化、广播电视、网络视听节目服务管理、体育和旅游工作方针政策和</w:t>
      </w:r>
      <w:r>
        <w:rPr>
          <w:rFonts w:hint="eastAsia" w:ascii="仿宋_GB2312" w:hAnsi="仿宋_GB2312" w:eastAsia="仿宋_GB2312" w:cs="仿宋_GB2312"/>
          <w:sz w:val="32"/>
          <w:szCs w:val="32"/>
          <w:lang w:eastAsia="zh-CN"/>
        </w:rPr>
        <w:t>法律</w:t>
      </w:r>
      <w:r>
        <w:rPr>
          <w:rFonts w:hint="eastAsia" w:ascii="仿宋_GB2312" w:hAnsi="仿宋_GB2312" w:eastAsia="仿宋_GB2312" w:cs="仿宋_GB2312"/>
          <w:sz w:val="32"/>
          <w:szCs w:val="32"/>
        </w:rPr>
        <w:t>法规；拟定全区文化事业、文化产业、广播电视领域、体育和旅游业发展规划并组织实施等。积极做好公共文化服务、历史文化遗产保护、旅游规划、市场监管、行业管理、法制化建设、宣传推介、党风廉政建设等工作。通过对各项目的实施，不断提高文化艺术管理、文化保护、新闻出版广播影视事业建设水平，提高全区群众健身、阅读、文化、文物保护等方面素质，健全全区旅游规划，旅游配套设施，提升鹿泉旅游知名度和美誉度，宣传推介鹿泉，让更多的游客轻松便捷地发现鹿泉、了解鹿泉、畅游鹿泉。</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1.着力开展对上问计，推动产业高质量发展。</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w:t>
      </w:r>
      <w:r>
        <w:rPr>
          <w:rFonts w:hint="eastAsia" w:ascii="仿宋_GB2312" w:hAnsi="仿宋_GB2312" w:eastAsia="仿宋_GB2312" w:cs="仿宋_GB2312"/>
          <w:sz w:val="32"/>
          <w:szCs w:val="32"/>
          <w:lang w:val="en-US" w:eastAsia="zh-CN"/>
        </w:rPr>
        <w:t>推动鹿泉区基础设施建设，刺激消费拉动经济增长。</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绩效指标：进一步推进鹿泉区智慧旅游建设，丰富数字经济，提升宣传推介力度，加大资源宣传整合，增强品牌意识，持续扩大影响力，叫响、叫亮鹿泉品牌。</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2.着力为民增福祉，促进群众体育和竞技体育全面发展。</w:t>
      </w:r>
    </w:p>
    <w:p>
      <w:pPr>
        <w:adjustRightInd w:val="0"/>
        <w:snapToGrid w:val="0"/>
        <w:spacing w:line="360" w:lineRule="auto"/>
        <w:ind w:firstLine="640" w:firstLineChars="200"/>
        <w:jc w:val="lef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绩效目标：促进群众体育和竞技体育全面发展，进一步提升公共服务水平和城乡体育运动设施差距，推动鹿泉体育事业更上一层楼。</w:t>
      </w:r>
    </w:p>
    <w:p>
      <w:pPr>
        <w:adjustRightInd w:val="0"/>
        <w:snapToGrid w:val="0"/>
        <w:spacing w:line="360" w:lineRule="auto"/>
        <w:ind w:firstLine="640" w:firstLineChars="200"/>
        <w:jc w:val="lef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新建“球类运动场地”5个，新建更新25套健身器材，进一步提升公共服务水平和城乡体育运动设施差距；开展篮球、足球等球类为主的联赛和以群众为主参与的体育活动以及冰雪赛事培训活动；举办高水平竞技赛事活动，将鹿泉赛事活动打造成知名赛事，不断增加赛事活动影响力；全面建设完成全民健身中心项目，推动鹿泉体育事业更上一层楼。</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3.着力开展文化惠民，增强文化自信。</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绩效目标：深入实施文化惠民工程，推动鹿泉非遗品牌的打造，谋划建设全新高标准图书馆、文化馆、文博馆、美术馆，进一步完善加强公共文化服务数字化、智慧化建设。</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持续开展“七进”、“彩色周末·草根大舞台”活动，举办80场次，推进本土优秀传统文化传承发展，举办鹿泉区“丝弦艺术节”活动，建设全新高标准图书馆、文化馆、文博馆、美术馆，进一步完善加强公共文化服务数字化、智慧化建设，为广大群众提供丰富的数字文化体验。</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4.着力推动全域旅游协调发展</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绩效目标：完成国家全域旅游示范区创建，统筹区域旅游资源，以重点项目开发，带动组团发展，促进全域协调发展。</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加大旅游资源的挖掘整理，推进精品旅游项目游线的组织推介，提升全区游客接待量，2023年游客接力争完成1800万人次；会同第三方创建指导单位完成国家全域旅游示范区创建，完成相关资料的整理工作；加快推进龙泉古镇、西部长青小三亚、稻香村文化街等续建项目开发建设；支持土门关驿道小镇2023年开展省级旅游休闲街区创建；开展乡村旅游重点村的培育创建，完成1个省级乡村旅游示范村培育评定。</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5.抓好安全生产工作，全面维护文旅市场和谐稳定</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绩效目标：提高安全生产管理水平，确保文化旅游行业能够长期健康有序发展。</w:t>
      </w:r>
    </w:p>
    <w:p>
      <w:pPr>
        <w:adjustRightInd w:val="0"/>
        <w:snapToGrid w:val="0"/>
        <w:spacing w:line="360" w:lineRule="auto"/>
        <w:ind w:firstLine="640" w:firstLineChars="200"/>
        <w:jc w:val="left"/>
        <w:rPr>
          <w:rFonts w:hint="eastAsia"/>
          <w:lang w:val="en-US" w:eastAsia="zh-CN"/>
        </w:rPr>
      </w:pPr>
      <w:r>
        <w:rPr>
          <w:rFonts w:hint="eastAsia" w:ascii="仿宋_GB2312" w:hAnsi="仿宋_GB2312" w:eastAsia="仿宋_GB2312" w:cs="仿宋_GB2312"/>
          <w:sz w:val="32"/>
          <w:szCs w:val="32"/>
          <w:lang w:val="en-US" w:eastAsia="zh-CN"/>
        </w:rPr>
        <w:t>绩效指标：健全安全生产目标职责体系，加强监督检查，确保隐患排查到位，加强安全生产责任意识落实，强化安全生产宣传培训。</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区文化广电体育和旅游局高度重视绩效评估工作，成立了以晋日欣局长为组长、各股室负责人及相关工作人员为成员的绩效工作自评小组。</w:t>
      </w:r>
      <w:r>
        <w:rPr>
          <w:rFonts w:hint="eastAsia" w:ascii="仿宋" w:hAnsi="仿宋" w:eastAsia="仿宋" w:cs="仿宋"/>
          <w:sz w:val="32"/>
          <w:szCs w:val="32"/>
        </w:rPr>
        <w:t>根据职责分工，绩效评价工作小组组织</w:t>
      </w:r>
      <w:r>
        <w:rPr>
          <w:rFonts w:hint="eastAsia" w:ascii="仿宋" w:hAnsi="仿宋" w:eastAsia="仿宋" w:cs="仿宋"/>
          <w:sz w:val="32"/>
          <w:szCs w:val="32"/>
          <w:lang w:val="en-US" w:eastAsia="zh-CN"/>
        </w:rPr>
        <w:t>各</w:t>
      </w:r>
      <w:r>
        <w:rPr>
          <w:rFonts w:hint="eastAsia" w:ascii="仿宋" w:hAnsi="仿宋" w:eastAsia="仿宋" w:cs="仿宋"/>
          <w:sz w:val="32"/>
          <w:szCs w:val="32"/>
        </w:rPr>
        <w:t>业务股室抓紧开展资金绩效自评工作，安排有关业务、财务人员，按照自身职责和评价项目特点确定自评工作程序、工作方法等，并本着客观、公正、公开的原则，所有项目的绩效自评均设计了合理、明晰、可考核的、关键性产出指标和效果指标，保证自评结果真实可靠。</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wordWrap/>
        <w:topLinePunct w:val="0"/>
        <w:autoSpaceDE w:val="0"/>
        <w:bidi w:val="0"/>
        <w:spacing w:line="578" w:lineRule="exact"/>
        <w:ind w:left="0" w:leftChars="0" w:right="0" w:firstLine="640"/>
        <w:textAlignment w:val="auto"/>
        <w:outlineLvl w:val="9"/>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2023年度预算项目绩效自评采用对比法、因素分析法、审核法，主要由项目实施股室对各项目进行综合评价，包括项目预算资金的投入、执行及项目年度预期目标、产出指标、效益指标的预期指标值与实际完成值的评定，以打分的形式评价预算项目年度绩效指标完成情况。采取定量分析与定性分析相结合，运用因素分析法、比较法、现场核查法、访谈等基本方法开展评价工作。</w:t>
      </w:r>
    </w:p>
    <w:p>
      <w:pPr>
        <w:keepNext w:val="0"/>
        <w:keepLines w:val="0"/>
        <w:pageBreakBefore w:val="0"/>
        <w:widowControl w:val="0"/>
        <w:wordWrap/>
        <w:topLinePunct w:val="0"/>
        <w:autoSpaceDE w:val="0"/>
        <w:bidi w:val="0"/>
        <w:spacing w:line="578" w:lineRule="exact"/>
        <w:ind w:left="0" w:leftChars="0" w:right="0" w:firstLine="640"/>
        <w:textAlignment w:val="auto"/>
        <w:outlineLvl w:val="9"/>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（1）因素分析法。通过列举分析影响绩效目标实现、实施效果的内外因素，评价绩效目标实现程度。</w:t>
      </w:r>
    </w:p>
    <w:p>
      <w:pPr>
        <w:keepNext w:val="0"/>
        <w:keepLines w:val="0"/>
        <w:pageBreakBefore w:val="0"/>
        <w:widowControl w:val="0"/>
        <w:wordWrap/>
        <w:topLinePunct w:val="0"/>
        <w:autoSpaceDE w:val="0"/>
        <w:bidi w:val="0"/>
        <w:spacing w:line="578" w:lineRule="exact"/>
        <w:ind w:left="0" w:leftChars="0" w:right="0" w:firstLine="640"/>
        <w:textAlignment w:val="auto"/>
        <w:outlineLvl w:val="9"/>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（2）比较法。通过对项目当期实际产生的项目效益结果与预期目标进行定性分析、定量分析，分析完成（或未完成）目标的因素，从而评价财政支出绩效。</w:t>
      </w:r>
    </w:p>
    <w:p>
      <w:pPr>
        <w:keepNext w:val="0"/>
        <w:keepLines w:val="0"/>
        <w:pageBreakBefore w:val="0"/>
        <w:widowControl w:val="0"/>
        <w:wordWrap/>
        <w:topLinePunct w:val="0"/>
        <w:autoSpaceDE w:val="0"/>
        <w:bidi w:val="0"/>
        <w:spacing w:line="578" w:lineRule="exact"/>
        <w:ind w:left="0" w:leftChars="0" w:right="0" w:firstLine="640"/>
        <w:textAlignment w:val="auto"/>
        <w:outlineLvl w:val="9"/>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（3）现场核查法。现场对项目进行核实，实事求是检查其财务情况和绩效表现等相关资料。</w:t>
      </w:r>
    </w:p>
    <w:p>
      <w:pPr>
        <w:keepNext w:val="0"/>
        <w:keepLines w:val="0"/>
        <w:pageBreakBefore w:val="0"/>
        <w:widowControl w:val="0"/>
        <w:wordWrap/>
        <w:topLinePunct w:val="0"/>
        <w:autoSpaceDE w:val="0"/>
        <w:bidi w:val="0"/>
        <w:spacing w:line="578" w:lineRule="exact"/>
        <w:ind w:left="0" w:leftChars="0" w:right="0" w:firstLine="640"/>
        <w:textAlignment w:val="auto"/>
        <w:outlineLvl w:val="9"/>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（4）访谈。通过与相关人员进行面谈，针对项目的不同特点和关键问题，直接听取项目管理者、实施人员的意见。</w:t>
      </w:r>
    </w:p>
    <w:p>
      <w:pPr>
        <w:keepNext w:val="0"/>
        <w:keepLines w:val="0"/>
        <w:pageBreakBefore w:val="0"/>
        <w:widowControl w:val="0"/>
        <w:wordWrap/>
        <w:topLinePunct w:val="0"/>
        <w:autoSpaceDE w:val="0"/>
        <w:bidi w:val="0"/>
        <w:spacing w:line="578" w:lineRule="exact"/>
        <w:ind w:left="0" w:leftChars="0" w:right="0" w:firstLine="640"/>
        <w:textAlignment w:val="auto"/>
        <w:outlineLvl w:val="9"/>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本次绩效评价自评价工作分为三个阶段：</w:t>
      </w:r>
    </w:p>
    <w:p>
      <w:pPr>
        <w:keepNext w:val="0"/>
        <w:keepLines w:val="0"/>
        <w:pageBreakBefore w:val="0"/>
        <w:widowControl w:val="0"/>
        <w:wordWrap/>
        <w:topLinePunct w:val="0"/>
        <w:autoSpaceDE w:val="0"/>
        <w:bidi w:val="0"/>
        <w:spacing w:line="578" w:lineRule="exact"/>
        <w:ind w:left="0" w:leftChars="0" w:right="0" w:firstLine="640"/>
        <w:textAlignment w:val="auto"/>
        <w:outlineLvl w:val="9"/>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第一阶段：成立绩效评价工作小组，制定项目绩效评价具体实施方案。收集评价资料，要求业务股室准备好绩效评价所需的佐证材料，其中评价指标应有对应的佐证材料相关指标的实现情况。</w:t>
      </w:r>
    </w:p>
    <w:p>
      <w:pPr>
        <w:keepNext w:val="0"/>
        <w:keepLines w:val="0"/>
        <w:pageBreakBefore w:val="0"/>
        <w:widowControl w:val="0"/>
        <w:wordWrap/>
        <w:topLinePunct w:val="0"/>
        <w:autoSpaceDE w:val="0"/>
        <w:bidi w:val="0"/>
        <w:spacing w:line="578" w:lineRule="exact"/>
        <w:ind w:left="0" w:leftChars="0" w:right="0" w:firstLine="640"/>
        <w:textAlignment w:val="auto"/>
        <w:outlineLvl w:val="9"/>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第二阶段：通过因素分析法、比较法、现场核查法、访谈，进行绩效自评。通过对相关资料的原件、数据来源及计算方法等，进一步核实自评材料及佐证材料的客观性、真实性、准确性，确保相关内容真实可靠，满足评价报告的需要；通过仔细查阅实施、管理等各项过程材料，补充评审评价深度的不足，进一步把握评价项目及预算执行的规范性。</w:t>
      </w:r>
    </w:p>
    <w:p>
      <w:pPr>
        <w:keepNext w:val="0"/>
        <w:keepLines w:val="0"/>
        <w:pageBreakBefore w:val="0"/>
        <w:widowControl w:val="0"/>
        <w:wordWrap/>
        <w:topLinePunct w:val="0"/>
        <w:autoSpaceDE w:val="0"/>
        <w:bidi w:val="0"/>
        <w:spacing w:line="578" w:lineRule="exact"/>
        <w:ind w:left="0" w:leftChars="0" w:right="0" w:firstLine="640"/>
        <w:textAlignment w:val="auto"/>
        <w:outlineLvl w:val="9"/>
      </w:pPr>
      <w:r>
        <w:rPr>
          <w:rFonts w:hint="eastAsia" w:ascii="仿宋_GB2312" w:hAnsi="Times New Roman" w:eastAsia="仿宋_GB2312" w:cs="仿宋_GB2312"/>
          <w:sz w:val="32"/>
          <w:szCs w:val="32"/>
          <w:lang w:val="en-US" w:eastAsia="zh-CN"/>
        </w:rPr>
        <w:t>第三阶段：由绩效评价工作小组对项目进行抽样核查，总结评价结论，最终形成自评报告，报区财政局。</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今年以来按照区委、区政府工作部署，我局紧密结合工作实际，创新工作思路，提升公共服务水平，规范行业管理，扎实推进文化、体育、旅游工作全面发展，各项工作都取得显著效果，总体绩效目标基本实现。</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着力为民增福祉，促进群众体育和竞技体育全面发展。</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一是全力抓好体育民生工程建设。</w:t>
      </w:r>
      <w:r>
        <w:rPr>
          <w:rFonts w:hint="eastAsia" w:ascii="仿宋_GB2312" w:hAnsi="仿宋_GB2312" w:eastAsia="仿宋_GB2312" w:cs="仿宋_GB2312"/>
          <w:sz w:val="32"/>
          <w:szCs w:val="32"/>
        </w:rPr>
        <w:t>我局继续完善球类场地和全民健身设施建设，不断满足群众健身需求，2023年更新建设85处健身场地、3公里健身步道、7处球类健身场地，持续打造十里画廊体育公园，建成4个球类运动场，60余件健身器材，充分体现融合发展理念，为群众提供多样的游览体验。全民健身中心项目建设已高标准建设完成，对群众开放试运行。</w:t>
      </w:r>
    </w:p>
    <w:p>
      <w:pPr>
        <w:pStyle w:val="2"/>
        <w:ind w:firstLine="640" w:firstLineChars="200"/>
        <w:rPr>
          <w:rFonts w:hint="eastAsia"/>
        </w:rPr>
      </w:pPr>
      <w:r>
        <w:rPr>
          <w:rFonts w:hint="eastAsia" w:ascii="仿宋_GB2312" w:hAnsi="仿宋_GB2312" w:eastAsia="仿宋_GB2312" w:cs="仿宋_GB2312"/>
          <w:kern w:val="2"/>
          <w:sz w:val="32"/>
          <w:szCs w:val="32"/>
          <w:lang w:val="en-US" w:eastAsia="zh-CN" w:bidi="ar-SA"/>
        </w:rPr>
        <w:t>二是开展全民健身活动，满足群众参与健身活动需求。积极组织谋划各类体育活动，指导各类体育运动协会广泛开展全民竞技竞赛和健身赛事，开展篮球争霸赛、民间武术表演赛、健身操表演赛、第八届篮球联赛等各类体育群体活动等共计90余场次，参与人群达到11万余人次。与教育局联合举办校园足球赛、中小学生篮球赛、中小学生乒乓球赛等赛事活动。持续推动冰雪运动发展，举办冰雪赛事活动35场，举办鹿泉区第五届冰雪运动会暨校园冰雪运动会，来自全区各中心校、直属学校1000余名学生参加。开展各类体育项目培训15场，参与人数达2万余</w:t>
      </w:r>
      <w:r>
        <w:rPr>
          <w:rFonts w:hint="eastAsia"/>
        </w:rPr>
        <w:t>人次。特别是持续举办区域性大赛，其中成功召开了首届京津冀8省区乒乓球邀请赛，邀请了外省24个参赛队伍120余名运动员参赛；其次，在国庆双节期间鹿泉区半程马拉松圆满完赛，赛事共有4950人参赛，上万人围观助威，赛事起跑点还设置了特色食品展、旅游展、电子信息展等特色展示区，进一步宣传鹿泉，增加鹿泉知名度。</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着力开展文化惠民，增强文化自信。</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一是持续推进文化下乡，举办丰富多彩的群众文体活动。</w:t>
      </w:r>
      <w:r>
        <w:rPr>
          <w:rFonts w:hint="eastAsia" w:ascii="仿宋_GB2312" w:hAnsi="仿宋_GB2312" w:eastAsia="仿宋_GB2312" w:cs="仿宋_GB2312"/>
          <w:sz w:val="32"/>
          <w:szCs w:val="32"/>
        </w:rPr>
        <w:t>深入组织实施文化惠民工程，组织惠民演出，满足全区群众精神文化需求。组织了“七进文艺演出”、“丝弦下乡”、“非遗展演”和“草根大舞台”活动”等演出共计120余场次，受益群众达10万余人次。为进一步掌握我区文艺队伍情况，方便组织文艺队伍开展活动，召开全区文艺队长工作交流会，帮助文艺队伍解决现有问题，并对文艺队伍提出相关要求。同时，继续加大培训和展览举办力度，举办社区舞蹈培训、非遗申报培训及书画展览，进一步丰富了群众文化生活。</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是公共文化服务各项工作有序开展。一是加强基层综合性文化服务中心管理。组织各乡镇参加全省公共文化服务机构、设施数据统计填报等重要工作推动会议，并按照要求开展业务培训和数据填报。指导区文化馆、图书馆认真做好服务宣传周各项活动，进一步提高公共文化机构知晓度。二是及时拨付乡镇综合文化站免费开放资金。按照2023年中央补助地方公共文化服务体系专项资金和中央补助地方“三馆一站”免费开放资金发放要求，及时将免费开放资金拨付给各乡镇，截至目前共计拨付52万元，用于各文化站组织公益性群众文化活动，举办公益性讲座和展览宣传，文化骨干辅导，业务活动用房小型修缮及零星业务设备更新等。同时，我局积极贯彻落实全市文化惠民工程惠民工作，促进消费，已</w:t>
      </w:r>
      <w:r>
        <w:rPr>
          <w:rFonts w:hint="default" w:ascii="仿宋_GB2312" w:hAnsi="仿宋_GB2312" w:eastAsia="仿宋_GB2312" w:cs="仿宋_GB2312"/>
          <w:sz w:val="32"/>
          <w:szCs w:val="32"/>
          <w:lang w:val="en-US" w:eastAsia="zh-CN"/>
        </w:rPr>
        <w:t>提升文化旅游市场为目标，</w:t>
      </w:r>
      <w:r>
        <w:rPr>
          <w:rFonts w:hint="eastAsia" w:ascii="仿宋_GB2312" w:hAnsi="仿宋_GB2312" w:eastAsia="仿宋_GB2312" w:cs="仿宋_GB2312"/>
          <w:sz w:val="32"/>
          <w:szCs w:val="32"/>
          <w:lang w:val="en-US" w:eastAsia="zh-CN"/>
        </w:rPr>
        <w:t>已</w:t>
      </w:r>
      <w:r>
        <w:rPr>
          <w:rFonts w:hint="default" w:ascii="仿宋_GB2312" w:hAnsi="仿宋_GB2312" w:eastAsia="仿宋_GB2312" w:cs="仿宋_GB2312"/>
          <w:sz w:val="32"/>
          <w:szCs w:val="32"/>
          <w:lang w:val="en-US" w:eastAsia="zh-CN"/>
        </w:rPr>
        <w:t>文化惠民为载体，采取政府补贴、企业让利等措施，使百姓得实惠激发百姓对旅游消费。发放</w:t>
      </w:r>
      <w:r>
        <w:rPr>
          <w:rFonts w:hint="eastAsia" w:ascii="仿宋_GB2312" w:hAnsi="仿宋_GB2312" w:eastAsia="仿宋_GB2312" w:cs="仿宋_GB2312"/>
          <w:sz w:val="32"/>
          <w:szCs w:val="32"/>
          <w:lang w:val="en-US" w:eastAsia="zh-CN"/>
        </w:rPr>
        <w:t>5000</w:t>
      </w:r>
      <w:r>
        <w:rPr>
          <w:rFonts w:hint="default" w:ascii="仿宋_GB2312" w:hAnsi="仿宋_GB2312" w:eastAsia="仿宋_GB2312" w:cs="仿宋_GB2312"/>
          <w:sz w:val="32"/>
          <w:szCs w:val="32"/>
          <w:lang w:val="en-US" w:eastAsia="zh-CN"/>
        </w:rPr>
        <w:t>张文化惠民劵，</w:t>
      </w:r>
      <w:r>
        <w:rPr>
          <w:rFonts w:hint="eastAsia" w:ascii="仿宋_GB2312" w:hAnsi="仿宋_GB2312" w:eastAsia="仿宋_GB2312" w:cs="仿宋_GB2312"/>
          <w:sz w:val="32"/>
          <w:szCs w:val="32"/>
          <w:lang w:val="en-US" w:eastAsia="zh-CN"/>
        </w:rPr>
        <w:t>已</w:t>
      </w:r>
      <w:r>
        <w:rPr>
          <w:rFonts w:hint="default" w:ascii="仿宋_GB2312" w:hAnsi="仿宋_GB2312" w:eastAsia="仿宋_GB2312" w:cs="仿宋_GB2312"/>
          <w:sz w:val="32"/>
          <w:szCs w:val="32"/>
          <w:lang w:val="en-US" w:eastAsia="zh-CN"/>
        </w:rPr>
        <w:t>完成任务总量的</w:t>
      </w:r>
      <w:r>
        <w:rPr>
          <w:rFonts w:hint="eastAsia" w:ascii="仿宋_GB2312" w:hAnsi="仿宋_GB2312" w:eastAsia="仿宋_GB2312" w:cs="仿宋_GB2312"/>
          <w:sz w:val="32"/>
          <w:szCs w:val="32"/>
          <w:lang w:val="en-US" w:eastAsia="zh-CN"/>
        </w:rPr>
        <w:t>100</w:t>
      </w:r>
      <w:r>
        <w:rPr>
          <w:rFonts w:hint="default" w:ascii="仿宋_GB2312" w:hAnsi="仿宋_GB2312" w:eastAsia="仿宋_GB2312" w:cs="仿宋_GB2312"/>
          <w:sz w:val="32"/>
          <w:szCs w:val="32"/>
          <w:lang w:val="en-US" w:eastAsia="zh-CN"/>
        </w:rPr>
        <w:t>%。</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是文化品牌深入创建，提升文化知名度。持续打造“书香鹿泉”这一文化品牌，开展系列活动增加知名度。一是全力推进“书香鹿泉.城市书房”项目建设，争取上级资金300万，创新理念与龙泉湖湿地公园创新协作，打造的首个鹿泉高品质城市书房龙泉书院已开馆，年底前5个城市书房将全部面向公众开放。二是开展</w:t>
      </w:r>
      <w:r>
        <w:rPr>
          <w:rFonts w:hint="eastAsia" w:ascii="仿宋_GB2312" w:hAnsi="仿宋_GB2312" w:eastAsia="仿宋_GB2312" w:cs="仿宋_GB2312"/>
          <w:sz w:val="32"/>
          <w:szCs w:val="32"/>
          <w:lang w:val="en-US" w:eastAsia="zh-Hans"/>
        </w:rPr>
        <w:t>线上线下文化展览</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Hans"/>
        </w:rPr>
        <w:t>分别围绕春节、</w:t>
      </w:r>
      <w:r>
        <w:rPr>
          <w:rFonts w:hint="eastAsia" w:ascii="仿宋_GB2312" w:hAnsi="仿宋_GB2312" w:eastAsia="仿宋_GB2312" w:cs="仿宋_GB2312"/>
          <w:sz w:val="32"/>
          <w:szCs w:val="32"/>
          <w:lang w:val="en-US" w:eastAsia="zh-CN"/>
        </w:rPr>
        <w:t>端午节、国庆节</w:t>
      </w:r>
      <w:r>
        <w:rPr>
          <w:rFonts w:hint="eastAsia" w:ascii="仿宋_GB2312" w:hAnsi="仿宋_GB2312" w:eastAsia="仿宋_GB2312" w:cs="仿宋_GB2312"/>
          <w:sz w:val="32"/>
          <w:szCs w:val="32"/>
          <w:lang w:val="en-US" w:eastAsia="zh-Hans"/>
        </w:rPr>
        <w:t>等重大节日开展文化展览</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lang w:val="en-US" w:eastAsia="zh-Hans"/>
        </w:rPr>
        <w:t>余场</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Hans"/>
        </w:rPr>
        <w:t>让</w:t>
      </w:r>
      <w:r>
        <w:rPr>
          <w:rFonts w:hint="eastAsia" w:ascii="仿宋_GB2312" w:hAnsi="仿宋_GB2312" w:eastAsia="仿宋_GB2312" w:cs="仿宋_GB2312"/>
          <w:sz w:val="32"/>
          <w:szCs w:val="32"/>
          <w:lang w:val="en-US" w:eastAsia="zh-CN"/>
        </w:rPr>
        <w:t>群众</w:t>
      </w:r>
      <w:r>
        <w:rPr>
          <w:rFonts w:hint="eastAsia" w:ascii="仿宋_GB2312" w:hAnsi="仿宋_GB2312" w:eastAsia="仿宋_GB2312" w:cs="仿宋_GB2312"/>
          <w:sz w:val="32"/>
          <w:szCs w:val="32"/>
          <w:lang w:val="en-US" w:eastAsia="zh-Hans"/>
        </w:rPr>
        <w:t>更加深入理解了中国传统文化的内涵</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Hans"/>
        </w:rPr>
        <w:t>同时</w:t>
      </w:r>
      <w:r>
        <w:rPr>
          <w:rFonts w:hint="eastAsia" w:ascii="仿宋_GB2312" w:hAnsi="仿宋_GB2312" w:eastAsia="仿宋_GB2312" w:cs="仿宋_GB2312"/>
          <w:sz w:val="32"/>
          <w:szCs w:val="32"/>
          <w:lang w:val="en-US" w:eastAsia="zh-CN"/>
        </w:rPr>
        <w:t>，加强对未成年人的影响力，围绕植树节、儿童节、等重要节日开展</w:t>
      </w:r>
      <w:r>
        <w:rPr>
          <w:rFonts w:hint="eastAsia" w:ascii="仿宋_GB2312" w:hAnsi="仿宋_GB2312" w:eastAsia="仿宋_GB2312" w:cs="仿宋_GB2312"/>
          <w:sz w:val="32"/>
          <w:szCs w:val="32"/>
          <w:lang w:val="en-US" w:eastAsia="zh-Hans"/>
        </w:rPr>
        <w:t>亲子沙龙系列活动</w:t>
      </w:r>
      <w:r>
        <w:rPr>
          <w:rFonts w:hint="eastAsia" w:ascii="仿宋_GB2312" w:hAnsi="仿宋_GB2312" w:eastAsia="仿宋_GB2312" w:cs="仿宋_GB2312"/>
          <w:sz w:val="32"/>
          <w:szCs w:val="32"/>
          <w:lang w:val="en-US" w:eastAsia="zh-CN"/>
        </w:rPr>
        <w:t>，通过绘本阅读、科普、</w:t>
      </w:r>
      <w:r>
        <w:rPr>
          <w:rFonts w:hint="eastAsia" w:ascii="仿宋_GB2312" w:hAnsi="仿宋_GB2312" w:eastAsia="仿宋_GB2312" w:cs="仿宋_GB2312"/>
          <w:sz w:val="32"/>
          <w:szCs w:val="32"/>
          <w:lang w:val="en-US" w:eastAsia="zh-Hans"/>
        </w:rPr>
        <w:t>遗文化体验等丰富精彩的内容，吸引了大量的亲子家庭来馆参加活动，拓展了阅读视野，丰富了读者们的精神生活。</w:t>
      </w:r>
      <w:r>
        <w:rPr>
          <w:rFonts w:hint="eastAsia" w:ascii="仿宋_GB2312" w:hAnsi="仿宋_GB2312" w:eastAsia="仿宋_GB2312" w:cs="仿宋_GB2312"/>
          <w:sz w:val="32"/>
          <w:szCs w:val="32"/>
          <w:lang w:val="en-US" w:eastAsia="zh-CN"/>
        </w:rPr>
        <w:t>三是送书到军营。</w:t>
      </w:r>
      <w:r>
        <w:rPr>
          <w:rFonts w:hint="eastAsia" w:ascii="仿宋_GB2312" w:hAnsi="仿宋_GB2312" w:eastAsia="仿宋_GB2312" w:cs="仿宋_GB2312"/>
          <w:sz w:val="32"/>
          <w:szCs w:val="32"/>
          <w:lang w:val="en-US" w:eastAsia="zh-Hans"/>
        </w:rPr>
        <w:t>精心挑选一批实用、优秀的书籍送入军营，</w:t>
      </w:r>
      <w:r>
        <w:rPr>
          <w:rFonts w:hint="eastAsia" w:ascii="仿宋_GB2312" w:hAnsi="仿宋_GB2312" w:eastAsia="仿宋_GB2312" w:cs="仿宋_GB2312"/>
          <w:sz w:val="32"/>
          <w:szCs w:val="32"/>
          <w:lang w:val="en-US" w:eastAsia="zh-CN"/>
        </w:rPr>
        <w:t>并</w:t>
      </w:r>
      <w:r>
        <w:rPr>
          <w:rFonts w:hint="eastAsia" w:ascii="仿宋_GB2312" w:hAnsi="仿宋_GB2312" w:eastAsia="仿宋_GB2312" w:cs="仿宋_GB2312"/>
          <w:sz w:val="32"/>
          <w:szCs w:val="32"/>
          <w:lang w:val="en-US" w:eastAsia="zh-Hans"/>
        </w:rPr>
        <w:t>与武警鹿泉中队进行签约共建，为军营书屋的建设和发展注入了新鲜力量。此次活动助推了文化军营建设，营造了崇军爱军拥军的浓厚氛围。</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着力推动全域旅游协调发展</w:t>
      </w:r>
      <w:r>
        <w:rPr>
          <w:rFonts w:hint="eastAsia" w:ascii="仿宋_GB2312" w:hAnsi="仿宋_GB2312" w:eastAsia="仿宋_GB2312" w:cs="仿宋_GB2312"/>
          <w:sz w:val="32"/>
          <w:szCs w:val="32"/>
          <w:lang w:eastAsia="zh-CN"/>
        </w:rPr>
        <w:t>。</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一是</w:t>
      </w:r>
      <w:r>
        <w:rPr>
          <w:rFonts w:hint="eastAsia" w:ascii="仿宋_GB2312" w:hAnsi="仿宋_GB2312" w:eastAsia="仿宋_GB2312" w:cs="仿宋_GB2312"/>
          <w:sz w:val="32"/>
          <w:szCs w:val="32"/>
        </w:rPr>
        <w:t>全力做好本地客源市场宣传推介工作。</w:t>
      </w:r>
      <w:r>
        <w:rPr>
          <w:rFonts w:hint="eastAsia" w:ascii="仿宋_GB2312" w:hAnsi="仿宋_GB2312" w:eastAsia="仿宋_GB2312" w:cs="仿宋_GB2312"/>
          <w:sz w:val="32"/>
          <w:szCs w:val="32"/>
          <w:lang w:eastAsia="zh-CN"/>
        </w:rPr>
        <w:t>截至</w:t>
      </w:r>
      <w:r>
        <w:rPr>
          <w:rFonts w:hint="eastAsia" w:ascii="仿宋_GB2312" w:hAnsi="仿宋_GB2312" w:eastAsia="仿宋_GB2312" w:cs="仿宋_GB2312"/>
          <w:sz w:val="32"/>
          <w:szCs w:val="32"/>
        </w:rPr>
        <w:t>目前通过微信公众号、抖音等方式宣传鹿泉文旅资源，已累计发布1100余篇。同时，打包带领鹿泉旅游资源积极参加“中国武汉文化旅游博览会”、“这么近，那么美，周末到河北”等主题活动，更好的宣传鹿泉，提升鹿泉知名度。2023年已接待游客2058万人次，旅游总收入26.7亿。</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是积极开展对上问计。争取到石家庄市文化产业和旅游业恢复发展专项资金180万元，用于对鹿泉文旅企业“以奖代补”的发放，促进文旅企业恢复发展。同时，积极开展省级休闲旅游乡镇（村）的申报工作，指导白鹿泉乡、段庄完成评定工作，申报成功。开展河北省旅游名县创建工作，鹿泉被命名为创建县，命名县的评定资料整理和演讲答辩已完成，正在等待省文旅部门评定。完成岸下石窑小镇格格府、荷莲遇民宿、理想院子、美丽院子4家民宿，新入选省级百家精品培育名单，极大提升了鹿泉乡村旅游品片牌和知名度。</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三是积极开展行业培训。组织东土门村、岸下村参加省厅、市局组织2023年线上乡村旅游重点村、乡村旅游管理人员、产业带头人等人员线上培训，累计培训人70人次。</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四是完成上级工作任务。大力推进“厕所革命”，2023年旅游厕所建设任务2座，目前，西部长青、稻香村2座旅游厕所已建设完成，录入国家旅游厕所库并通过市文旅局验收。</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抓好安全生产工作，全面维护文旅市场和谐稳定</w:t>
      </w:r>
    </w:p>
    <w:p>
      <w:pPr>
        <w:adjustRightInd w:val="0"/>
        <w:snapToGrid w:val="0"/>
        <w:spacing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加强监督检查，确保隐患排查到位。按照“全覆盖、零容忍”的总要求，结合重要节点和节假日开展安全生产隐患排查工作，联合消防、市场监管等单位对辖区旅游景区、星级酒店、图书馆、文化馆、旅行社、歌舞娱乐、网吧、滑雪场等场所开展安全生产隐患大排查，并要求监督执法人员做到凡出动检查必排查安全生产隐患，始终保持安全生产警觉性和敏锐性。为确保“春节”“全国两会”“五一”“</w:t>
      </w:r>
      <w:bookmarkStart w:id="0" w:name="_GoBack"/>
      <w:bookmarkEnd w:id="0"/>
      <w:r>
        <w:rPr>
          <w:rFonts w:hint="eastAsia" w:ascii="仿宋_GB2312" w:hAnsi="仿宋_GB2312" w:eastAsia="仿宋_GB2312" w:cs="仿宋_GB2312"/>
          <w:sz w:val="32"/>
          <w:szCs w:val="32"/>
          <w:lang w:val="en-US" w:eastAsia="zh-CN"/>
        </w:rPr>
        <w:t>双节”期间文化旅游市场安全、秩序规范，我们制定专项行动方案，开展专项整治行动，特别是针对各类特种设备进行了专业检查，进一步确保文旅行业安全有序。开展体育高危险性行业专项检查，对全区9家游泳池、滑雪场等所持续开展全覆盖检查和联合检查，确保风险管控到位。2023年以来共计检查经营单位140家次，开展专项安全检查60余次。</w:t>
      </w:r>
    </w:p>
    <w:p>
      <w:pPr>
        <w:spacing w:line="560" w:lineRule="exact"/>
        <w:ind w:firstLine="800" w:firstLineChars="250"/>
        <w:rPr>
          <w:rFonts w:ascii="仿宋" w:hAnsi="仿宋" w:eastAsia="仿宋"/>
          <w:sz w:val="32"/>
          <w:szCs w:val="32"/>
        </w:rPr>
      </w:pPr>
      <w:r>
        <w:rPr>
          <w:rFonts w:hint="eastAsia" w:ascii="仿宋_GB2312" w:hAnsi="仿宋_GB2312" w:eastAsia="仿宋_GB2312" w:cs="仿宋_GB2312"/>
          <w:sz w:val="32"/>
          <w:szCs w:val="32"/>
          <w:lang w:val="en-US" w:eastAsia="zh-CN"/>
        </w:rPr>
        <w:t>二是强化问题整改，确保工作落实到位。今年以来累计检查发现27条问题隐患，现场整改20条，责令限期整改7条。对发现的安全隐患要求当场整改，对当场不能整改的，要求限期3天整改，并跟踪落实，确保整改到位，截至目前对发现的各类问题均已整改到位。在督促企业整改的同时，我局还聘请第三方安全隐患排查专家，进一步分析安全隐患产生的原因，帮助企业将隐患整改到位，有效保障了全区各文旅行业的安全，做到了安全生产零事故。</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pStyle w:val="12"/>
        <w:keepNext w:val="0"/>
        <w:keepLines w:val="0"/>
        <w:pageBreakBefore w:val="0"/>
        <w:widowControl w:val="0"/>
        <w:numPr>
          <w:ilvl w:val="0"/>
          <w:numId w:val="0"/>
        </w:numPr>
        <w:kinsoku/>
        <w:wordWrap/>
        <w:topLinePunct w:val="0"/>
        <w:autoSpaceDE w:val="0"/>
        <w:autoSpaceDN/>
        <w:bidi w:val="0"/>
        <w:adjustRightInd/>
        <w:spacing w:before="0" w:beforeAutospacing="0" w:line="578" w:lineRule="exact"/>
        <w:ind w:left="0" w:leftChars="0" w:right="0" w:firstLine="640" w:firstLineChars="200"/>
        <w:rPr>
          <w:rFonts w:hint="eastAsia" w:eastAsia="仿宋"/>
          <w:lang w:val="en-US" w:eastAsia="zh-CN"/>
        </w:rPr>
      </w:pPr>
      <w:r>
        <w:rPr>
          <w:rFonts w:hint="eastAsia" w:ascii="仿宋" w:hAnsi="仿宋" w:eastAsia="仿宋" w:cs="黑体"/>
          <w:kern w:val="2"/>
          <w:sz w:val="32"/>
          <w:szCs w:val="32"/>
          <w:lang w:val="en-US" w:eastAsia="zh-CN" w:bidi="ar-SA"/>
        </w:rPr>
        <w:t>截至2023年底，我部门共自评65个项目，其中，65个项目评分优秀，评价结论：同类项目予以支持</w:t>
      </w:r>
      <w:r>
        <w:rPr>
          <w:rFonts w:hint="eastAsia" w:ascii="仿宋_GB2312" w:hAnsi="Times New Roman" w:eastAsia="仿宋_GB2312" w:cs="仿宋_GB2312"/>
          <w:kern w:val="0"/>
          <w:sz w:val="32"/>
          <w:szCs w:val="32"/>
          <w:lang w:val="en-US" w:eastAsia="zh-CN"/>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78" w:lineRule="exact"/>
        <w:ind w:firstLine="640" w:firstLineChars="200"/>
        <w:jc w:val="left"/>
        <w:rPr>
          <w:rFonts w:ascii="仿宋_GB2312" w:eastAsia="仿宋_GB2312" w:cs="仿宋_GB2312"/>
          <w:kern w:val="0"/>
          <w:sz w:val="32"/>
          <w:szCs w:val="32"/>
        </w:rPr>
      </w:pPr>
      <w:r>
        <w:rPr>
          <w:rFonts w:hint="eastAsia" w:ascii="仿宋_GB2312" w:eastAsia="仿宋_GB2312" w:cs="仿宋_GB2312"/>
          <w:kern w:val="0"/>
          <w:sz w:val="32"/>
          <w:szCs w:val="32"/>
          <w:lang w:val="en-US" w:eastAsia="zh-CN"/>
        </w:rPr>
        <w:t>1、</w:t>
      </w:r>
      <w:r>
        <w:rPr>
          <w:rFonts w:hint="eastAsia" w:ascii="仿宋" w:hAnsi="仿宋" w:eastAsia="仿宋" w:cs="仿宋"/>
          <w:sz w:val="32"/>
          <w:szCs w:val="32"/>
        </w:rPr>
        <w:t>个别</w:t>
      </w:r>
      <w:r>
        <w:rPr>
          <w:rFonts w:hint="eastAsia" w:ascii="仿宋" w:hAnsi="仿宋" w:eastAsia="仿宋" w:cs="仿宋"/>
          <w:sz w:val="32"/>
          <w:szCs w:val="32"/>
          <w:lang w:val="en-US" w:eastAsia="zh-CN"/>
        </w:rPr>
        <w:t>项目</w:t>
      </w:r>
      <w:r>
        <w:rPr>
          <w:rFonts w:hint="eastAsia" w:ascii="仿宋" w:hAnsi="仿宋" w:eastAsia="仿宋" w:cs="仿宋"/>
          <w:sz w:val="32"/>
          <w:szCs w:val="32"/>
        </w:rPr>
        <w:t>询价程序把控不严，相应的依据资料</w:t>
      </w:r>
      <w:r>
        <w:rPr>
          <w:rFonts w:hint="eastAsia" w:ascii="仿宋" w:hAnsi="仿宋" w:eastAsia="仿宋" w:cs="仿宋"/>
          <w:sz w:val="32"/>
          <w:szCs w:val="32"/>
          <w:lang w:val="en-US" w:eastAsia="zh-CN"/>
        </w:rPr>
        <w:t>不齐全。</w:t>
      </w:r>
    </w:p>
    <w:p>
      <w:pPr>
        <w:spacing w:line="578" w:lineRule="exact"/>
        <w:ind w:firstLine="640" w:firstLineChars="200"/>
        <w:jc w:val="left"/>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2、</w:t>
      </w:r>
      <w:r>
        <w:rPr>
          <w:rFonts w:hint="eastAsia" w:ascii="仿宋" w:hAnsi="仿宋" w:eastAsia="仿宋" w:cs="仿宋"/>
          <w:sz w:val="32"/>
          <w:szCs w:val="32"/>
        </w:rPr>
        <w:t>个别</w:t>
      </w:r>
      <w:r>
        <w:rPr>
          <w:rFonts w:hint="eastAsia" w:ascii="仿宋_GB2312" w:eastAsia="仿宋_GB2312" w:cs="仿宋_GB2312"/>
          <w:kern w:val="0"/>
          <w:sz w:val="32"/>
          <w:szCs w:val="32"/>
          <w:lang w:val="en-US" w:eastAsia="zh-CN"/>
        </w:rPr>
        <w:t>项目支出进度较慢，</w:t>
      </w:r>
      <w:r>
        <w:rPr>
          <w:rFonts w:hint="eastAsia" w:ascii="仿宋" w:hAnsi="仿宋" w:eastAsia="仿宋" w:cs="仿宋"/>
          <w:sz w:val="32"/>
          <w:szCs w:val="32"/>
        </w:rPr>
        <w:t>执行过程中存在难点和问题</w:t>
      </w:r>
      <w:r>
        <w:rPr>
          <w:rFonts w:hint="eastAsia" w:ascii="仿宋" w:hAnsi="仿宋" w:eastAsia="仿宋" w:cs="仿宋"/>
          <w:sz w:val="32"/>
          <w:szCs w:val="32"/>
          <w:lang w:eastAsia="zh-CN"/>
        </w:rPr>
        <w:t>。</w:t>
      </w:r>
    </w:p>
    <w:p>
      <w:pPr>
        <w:adjustRightInd w:val="0"/>
        <w:snapToGrid w:val="0"/>
        <w:spacing w:line="578" w:lineRule="exact"/>
        <w:ind w:firstLine="64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_GB2312" w:eastAsia="仿宋_GB2312" w:cs="仿宋_GB2312"/>
          <w:kern w:val="0"/>
          <w:sz w:val="32"/>
          <w:szCs w:val="32"/>
          <w:lang w:val="en-US" w:eastAsia="zh-CN"/>
        </w:rPr>
        <w:t>绩效管理意识较弱。部门</w:t>
      </w:r>
      <w:r>
        <w:rPr>
          <w:rFonts w:hint="eastAsia" w:ascii="仿宋" w:hAnsi="仿宋" w:eastAsia="仿宋" w:cs="仿宋"/>
          <w:sz w:val="32"/>
          <w:szCs w:val="32"/>
        </w:rPr>
        <w:t>监控绩效目标的实现程度</w:t>
      </w:r>
      <w:r>
        <w:rPr>
          <w:rFonts w:hint="eastAsia" w:ascii="仿宋" w:hAnsi="仿宋" w:eastAsia="仿宋" w:cs="仿宋"/>
          <w:sz w:val="32"/>
          <w:szCs w:val="32"/>
          <w:lang w:val="en-US" w:eastAsia="zh-CN"/>
        </w:rPr>
        <w:t>较</w:t>
      </w:r>
      <w:r>
        <w:rPr>
          <w:rFonts w:hint="eastAsia" w:ascii="仿宋_GB2312" w:eastAsia="仿宋_GB2312" w:cs="仿宋_GB2312"/>
          <w:kern w:val="0"/>
          <w:sz w:val="32"/>
          <w:szCs w:val="32"/>
          <w:lang w:val="en-US" w:eastAsia="zh-CN"/>
        </w:rPr>
        <w:t>弱</w:t>
      </w:r>
      <w:r>
        <w:rPr>
          <w:rFonts w:hint="eastAsia" w:ascii="仿宋" w:hAnsi="仿宋" w:eastAsia="仿宋" w:cs="仿宋"/>
          <w:sz w:val="32"/>
          <w:szCs w:val="32"/>
        </w:rPr>
        <w:t>，项目的绩效状况和绩效目标的实现</w:t>
      </w:r>
      <w:r>
        <w:rPr>
          <w:rFonts w:hint="eastAsia" w:ascii="仿宋" w:hAnsi="仿宋" w:eastAsia="仿宋" w:cs="仿宋"/>
          <w:sz w:val="32"/>
          <w:szCs w:val="32"/>
          <w:lang w:val="en-US" w:eastAsia="zh-CN"/>
        </w:rPr>
        <w:t>体现不够全面，</w:t>
      </w:r>
      <w:r>
        <w:rPr>
          <w:rFonts w:hint="eastAsia" w:ascii="仿宋" w:hAnsi="仿宋" w:eastAsia="仿宋" w:cs="仿宋"/>
          <w:sz w:val="32"/>
          <w:szCs w:val="32"/>
        </w:rPr>
        <w:t>项目</w:t>
      </w:r>
      <w:r>
        <w:rPr>
          <w:rFonts w:hint="eastAsia" w:ascii="仿宋" w:hAnsi="仿宋" w:eastAsia="仿宋" w:cs="仿宋"/>
          <w:sz w:val="32"/>
          <w:szCs w:val="32"/>
          <w:lang w:eastAsia="zh-CN"/>
        </w:rPr>
        <w:t>股室</w:t>
      </w:r>
      <w:r>
        <w:rPr>
          <w:rFonts w:hint="eastAsia" w:ascii="仿宋" w:hAnsi="仿宋" w:eastAsia="仿宋" w:cs="仿宋"/>
          <w:sz w:val="32"/>
          <w:szCs w:val="32"/>
        </w:rPr>
        <w:t>整体绩效管理理念还有待进一步提升。</w:t>
      </w:r>
    </w:p>
    <w:p>
      <w:pPr>
        <w:pStyle w:val="2"/>
        <w:ind w:firstLine="640" w:firstLineChars="200"/>
      </w:pPr>
      <w:r>
        <w:rPr>
          <w:rFonts w:hint="eastAsia" w:ascii="仿宋" w:hAnsi="仿宋" w:eastAsia="仿宋" w:cs="仿宋"/>
          <w:sz w:val="32"/>
          <w:szCs w:val="32"/>
          <w:lang w:val="en-US" w:eastAsia="zh-CN"/>
        </w:rPr>
        <w:t>4、</w:t>
      </w:r>
      <w:r>
        <w:rPr>
          <w:rFonts w:hint="eastAsia" w:ascii="仿宋" w:hAnsi="仿宋" w:eastAsia="仿宋" w:cs="仿宋"/>
          <w:sz w:val="32"/>
          <w:szCs w:val="32"/>
        </w:rPr>
        <w:t>财务和</w:t>
      </w:r>
      <w:r>
        <w:rPr>
          <w:rFonts w:hint="eastAsia" w:ascii="仿宋" w:hAnsi="仿宋" w:eastAsia="仿宋" w:cs="仿宋"/>
          <w:sz w:val="32"/>
          <w:szCs w:val="32"/>
          <w:lang w:val="en-US" w:eastAsia="zh-CN"/>
        </w:rPr>
        <w:t>项目监督</w:t>
      </w:r>
      <w:r>
        <w:rPr>
          <w:rFonts w:hint="eastAsia" w:ascii="仿宋" w:hAnsi="仿宋" w:eastAsia="仿宋" w:cs="仿宋"/>
          <w:sz w:val="32"/>
          <w:szCs w:val="32"/>
        </w:rPr>
        <w:t>管理制度</w:t>
      </w:r>
      <w:r>
        <w:rPr>
          <w:rFonts w:hint="eastAsia" w:ascii="仿宋" w:hAnsi="仿宋" w:eastAsia="仿宋" w:cs="仿宋"/>
          <w:sz w:val="32"/>
          <w:szCs w:val="32"/>
          <w:lang w:val="en-US" w:eastAsia="zh-CN"/>
        </w:rPr>
        <w:t>有待健全</w:t>
      </w:r>
      <w:r>
        <w:rPr>
          <w:rFonts w:hint="eastAsia" w:ascii="仿宋" w:hAnsi="仿宋" w:eastAsia="仿宋" w:cs="仿宋"/>
          <w:sz w:val="32"/>
          <w:szCs w:val="32"/>
        </w:rPr>
        <w:t>，资金使用、管理等方面的职责分工</w:t>
      </w:r>
      <w:r>
        <w:rPr>
          <w:rFonts w:hint="eastAsia" w:ascii="仿宋" w:hAnsi="仿宋" w:eastAsia="仿宋" w:cs="仿宋"/>
          <w:sz w:val="32"/>
          <w:szCs w:val="32"/>
          <w:lang w:val="en-US" w:eastAsia="zh-CN"/>
        </w:rPr>
        <w:t>较模糊，</w:t>
      </w:r>
      <w:r>
        <w:rPr>
          <w:rFonts w:hint="eastAsia" w:ascii="仿宋" w:hAnsi="仿宋" w:eastAsia="仿宋" w:cs="仿宋"/>
          <w:sz w:val="32"/>
          <w:szCs w:val="32"/>
        </w:rPr>
        <w:t>项目监管资料</w:t>
      </w:r>
      <w:r>
        <w:rPr>
          <w:rFonts w:hint="eastAsia" w:ascii="仿宋" w:hAnsi="仿宋" w:eastAsia="仿宋" w:cs="仿宋"/>
          <w:sz w:val="32"/>
          <w:szCs w:val="32"/>
          <w:lang w:val="en-US" w:eastAsia="zh-CN"/>
        </w:rPr>
        <w:t>较少</w:t>
      </w:r>
      <w:r>
        <w:rPr>
          <w:rFonts w:hint="eastAsia" w:ascii="仿宋" w:hAnsi="仿宋" w:eastAsia="仿宋" w:cs="仿宋"/>
          <w:sz w:val="32"/>
          <w:szCs w:val="32"/>
        </w:rPr>
        <w:t>。</w:t>
      </w:r>
    </w:p>
    <w:p>
      <w:pPr>
        <w:numPr>
          <w:ilvl w:val="0"/>
          <w:numId w:val="3"/>
        </w:num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spacing w:line="578" w:lineRule="exact"/>
        <w:ind w:firstLine="640" w:firstLineChars="200"/>
        <w:jc w:val="left"/>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1.规范询价流程、依规选取恰当的采购方式，加强政府采购询价过程管理。</w:t>
      </w:r>
    </w:p>
    <w:p>
      <w:pPr>
        <w:spacing w:line="578" w:lineRule="exact"/>
        <w:ind w:firstLine="640" w:firstLineChars="200"/>
        <w:jc w:val="left"/>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2.科学、合理制定项目支出计划。在项目执行过程中，对照支出计划，详细研究项目的实际执行情况和进度。对于未达到支出进度的项目，认真分析执行过程中存在的难点和问题，协调相关部门提出解决方案和办法。</w:t>
      </w:r>
    </w:p>
    <w:p>
      <w:pPr>
        <w:spacing w:line="578" w:lineRule="exact"/>
        <w:ind w:firstLine="640" w:firstLineChars="200"/>
        <w:jc w:val="left"/>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3.强化绩效管理意识。结合项目的具体情况，围绕资金使用、资金配置、项目管理等方面，客观分析预测项目的产出和效果，把握投入、过程到产出、效果的逻辑性，科学编制绩效指标体系，设定清晰、完整、可衡量的绩效指标，以充分体现和真实反映项目的绩效状况和绩效目标的实现程度，提高项目执行率，提高资金支付效率。</w:t>
      </w:r>
    </w:p>
    <w:p>
      <w:pPr>
        <w:spacing w:line="578" w:lineRule="exact"/>
        <w:ind w:firstLine="640" w:firstLineChars="200"/>
        <w:jc w:val="left"/>
      </w:pPr>
      <w:r>
        <w:rPr>
          <w:rFonts w:hint="eastAsia" w:ascii="仿宋_GB2312" w:eastAsia="仿宋_GB2312" w:cs="仿宋_GB2312"/>
          <w:kern w:val="0"/>
          <w:sz w:val="32"/>
          <w:szCs w:val="32"/>
          <w:lang w:val="en-US" w:eastAsia="zh-CN"/>
        </w:rPr>
        <w:t>4.管理规范，监督有效。进一步细化部门内控制度、财务管理制度等相关制度，进一步规范财务管理，严格资金使用程序，健全资金管理制度，明确各业务股室在资金使用、管理等方面的职责分工，及时掌握项目实施进度，定期报告资金使用情况等。</w:t>
      </w:r>
    </w:p>
    <w:p>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组长：晋日欣   鹿泉区文化广电体育和旅游局党组书记、局长</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成员：王晓勇 鹿泉区文化广电体育和旅游局副局长</w:t>
      </w:r>
    </w:p>
    <w:p>
      <w:pPr>
        <w:ind w:firstLine="1600" w:firstLineChars="500"/>
        <w:rPr>
          <w:rFonts w:hint="eastAsia"/>
          <w:lang w:val="en-US" w:eastAsia="zh-CN"/>
        </w:rPr>
      </w:pPr>
      <w:r>
        <w:rPr>
          <w:rFonts w:hint="eastAsia" w:ascii="仿宋_GB2312" w:hAnsi="仿宋_GB2312" w:eastAsia="仿宋_GB2312" w:cs="仿宋_GB2312"/>
          <w:sz w:val="32"/>
          <w:szCs w:val="32"/>
          <w:lang w:val="en-US" w:eastAsia="zh-CN"/>
        </w:rPr>
        <w:t>王红 鹿泉区文化广电体育和旅游局副局长</w:t>
      </w:r>
    </w:p>
    <w:p>
      <w:pPr>
        <w:ind w:firstLine="1600" w:firstLineChars="5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胡顺平 旅游规划股股长</w:t>
      </w:r>
    </w:p>
    <w:p>
      <w:pPr>
        <w:ind w:firstLine="1600" w:firstLineChars="500"/>
        <w:rPr>
          <w:rFonts w:hint="eastAsia"/>
          <w:lang w:val="en-US" w:eastAsia="zh-CN"/>
        </w:rPr>
      </w:pPr>
      <w:r>
        <w:rPr>
          <w:rFonts w:hint="eastAsia" w:ascii="仿宋_GB2312" w:hAnsi="仿宋_GB2312" w:eastAsia="仿宋_GB2312" w:cs="仿宋_GB2312"/>
          <w:sz w:val="32"/>
          <w:szCs w:val="32"/>
          <w:lang w:val="en-US" w:eastAsia="zh-CN"/>
        </w:rPr>
        <w:t>刘月桥 财务分管负责人</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78" w:lineRule="exact"/>
        <w:ind w:right="0" w:firstLine="1600" w:firstLineChars="5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刘玮   </w:t>
      </w:r>
      <w:r>
        <w:rPr>
          <w:rFonts w:hint="eastAsia" w:ascii="仿宋_GB2312" w:hAnsi="仿宋_GB2312" w:eastAsia="仿宋_GB2312" w:cs="仿宋_GB2312"/>
          <w:kern w:val="2"/>
          <w:sz w:val="32"/>
          <w:szCs w:val="32"/>
          <w:lang w:val="en-US" w:eastAsia="zh-CN" w:bidi="ar-SA"/>
        </w:rPr>
        <w:t>办公室负</w:t>
      </w:r>
      <w:r>
        <w:rPr>
          <w:rFonts w:hint="eastAsia" w:ascii="仿宋_GB2312" w:hAnsi="仿宋_GB2312" w:eastAsia="仿宋_GB2312" w:cs="仿宋_GB2312"/>
          <w:sz w:val="32"/>
          <w:szCs w:val="32"/>
          <w:lang w:val="en-US" w:eastAsia="zh-CN"/>
        </w:rPr>
        <w:t>责人、文化市场行政执法队队长</w:t>
      </w:r>
    </w:p>
    <w:p>
      <w:pPr>
        <w:pStyle w:val="4"/>
        <w:ind w:firstLine="1600" w:firstLineChars="5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孟然   宣传推广股负责人</w:t>
      </w:r>
    </w:p>
    <w:p>
      <w:pPr>
        <w:ind w:firstLine="1600" w:firstLineChars="5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李军龙 政策法规股负责人</w:t>
      </w:r>
    </w:p>
    <w:p>
      <w:pPr>
        <w:pStyle w:val="4"/>
        <w:ind w:firstLine="1600" w:firstLineChars="5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赵圣梅 文化广电股负责人</w:t>
      </w:r>
    </w:p>
    <w:p>
      <w:pPr>
        <w:ind w:firstLine="1600" w:firstLineChars="5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康付英 体育事业股负责人</w:t>
      </w:r>
    </w:p>
    <w:p>
      <w:pPr>
        <w:pStyle w:val="4"/>
        <w:ind w:firstLine="1600" w:firstLineChars="500"/>
        <w:rPr>
          <w:rFonts w:ascii="仿宋" w:hAnsi="仿宋" w:eastAsia="仿宋"/>
        </w:rPr>
      </w:pPr>
      <w:r>
        <w:rPr>
          <w:rFonts w:hint="eastAsia" w:ascii="仿宋_GB2312" w:hAnsi="仿宋_GB2312" w:eastAsia="仿宋_GB2312" w:cs="仿宋_GB2312"/>
          <w:sz w:val="32"/>
          <w:szCs w:val="32"/>
          <w:lang w:val="en-US" w:eastAsia="zh-CN"/>
        </w:rPr>
        <w:t>黄菲   市场管理股负责人</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仿宋_GBK">
    <w:panose1 w:val="02000000000000000000"/>
    <w:charset w:val="86"/>
    <w:family w:val="auto"/>
    <w:pitch w:val="default"/>
    <w:sig w:usb0="A00002BF" w:usb1="38CF7CFA" w:usb2="00082016" w:usb3="00000000" w:csb0="00040001" w:csb1="00000000"/>
  </w:font>
  <w:font w:name="Cambria">
    <w:panose1 w:val="02040503050406030204"/>
    <w:charset w:val="00"/>
    <w:family w:val="roman"/>
    <w:pitch w:val="default"/>
    <w:sig w:usb0="E00002FF" w:usb1="400004FF" w:usb2="00000000" w:usb3="00000000" w:csb0="2000019F" w:csb1="00000000"/>
  </w:font>
  <w:font w:name="华文楷体">
    <w:altName w:val="楷体_GB2312"/>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63C3E8E"/>
    <w:multiLevelType w:val="singleLevel"/>
    <w:tmpl w:val="663C3E8E"/>
    <w:lvl w:ilvl="0" w:tentative="0">
      <w:start w:val="3"/>
      <w:numFmt w:val="chineseCounting"/>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6737040"/>
    <w:rsid w:val="07956271"/>
    <w:rsid w:val="086F5F4B"/>
    <w:rsid w:val="090F350E"/>
    <w:rsid w:val="09721397"/>
    <w:rsid w:val="0B1806E0"/>
    <w:rsid w:val="0BB63BED"/>
    <w:rsid w:val="0EB97A43"/>
    <w:rsid w:val="0EBD2122"/>
    <w:rsid w:val="0F214EAE"/>
    <w:rsid w:val="11916FDF"/>
    <w:rsid w:val="11B71E6A"/>
    <w:rsid w:val="15EB1F2F"/>
    <w:rsid w:val="19251024"/>
    <w:rsid w:val="1AAF0063"/>
    <w:rsid w:val="1B14758D"/>
    <w:rsid w:val="1BE140DE"/>
    <w:rsid w:val="1EA83488"/>
    <w:rsid w:val="2070000A"/>
    <w:rsid w:val="236C7EB0"/>
    <w:rsid w:val="248C197D"/>
    <w:rsid w:val="252959AF"/>
    <w:rsid w:val="2773738E"/>
    <w:rsid w:val="277A6671"/>
    <w:rsid w:val="292D35B7"/>
    <w:rsid w:val="2D4E12B7"/>
    <w:rsid w:val="2D755138"/>
    <w:rsid w:val="2E507949"/>
    <w:rsid w:val="2F6F34DE"/>
    <w:rsid w:val="32817910"/>
    <w:rsid w:val="32CC1FFD"/>
    <w:rsid w:val="33EB6CFF"/>
    <w:rsid w:val="34C47070"/>
    <w:rsid w:val="350F4941"/>
    <w:rsid w:val="35A12947"/>
    <w:rsid w:val="36307EEF"/>
    <w:rsid w:val="37387040"/>
    <w:rsid w:val="39B10FA3"/>
    <w:rsid w:val="3B625C0A"/>
    <w:rsid w:val="3CEE1963"/>
    <w:rsid w:val="3DC5500B"/>
    <w:rsid w:val="3E8A3543"/>
    <w:rsid w:val="3FF70810"/>
    <w:rsid w:val="40F26C97"/>
    <w:rsid w:val="41D65379"/>
    <w:rsid w:val="436B78D3"/>
    <w:rsid w:val="45D069EC"/>
    <w:rsid w:val="483D3C9D"/>
    <w:rsid w:val="4A3F4A56"/>
    <w:rsid w:val="4AC80C8A"/>
    <w:rsid w:val="4C9C27FE"/>
    <w:rsid w:val="512260B4"/>
    <w:rsid w:val="52BD6ACB"/>
    <w:rsid w:val="54F24A6C"/>
    <w:rsid w:val="55400496"/>
    <w:rsid w:val="55537534"/>
    <w:rsid w:val="55B16345"/>
    <w:rsid w:val="561A74F1"/>
    <w:rsid w:val="585A71DE"/>
    <w:rsid w:val="58B96005"/>
    <w:rsid w:val="58E343A0"/>
    <w:rsid w:val="597244E8"/>
    <w:rsid w:val="5C62549E"/>
    <w:rsid w:val="5DF40ED4"/>
    <w:rsid w:val="5E435796"/>
    <w:rsid w:val="5EB71C30"/>
    <w:rsid w:val="5F976DCB"/>
    <w:rsid w:val="626C6988"/>
    <w:rsid w:val="62AE7DC9"/>
    <w:rsid w:val="633918DF"/>
    <w:rsid w:val="657110CC"/>
    <w:rsid w:val="66AF0CE5"/>
    <w:rsid w:val="6AC537CF"/>
    <w:rsid w:val="6BA55246"/>
    <w:rsid w:val="6D7E44C2"/>
    <w:rsid w:val="6E5B14A6"/>
    <w:rsid w:val="6FF024F2"/>
    <w:rsid w:val="70745F64"/>
    <w:rsid w:val="711B255E"/>
    <w:rsid w:val="7257215C"/>
    <w:rsid w:val="72660BB9"/>
    <w:rsid w:val="755C6058"/>
    <w:rsid w:val="75A3506E"/>
    <w:rsid w:val="796E464C"/>
    <w:rsid w:val="7A5F19FB"/>
    <w:rsid w:val="7B5741B2"/>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qFormat/>
    <w:uiPriority w:val="0"/>
    <w:pPr>
      <w:spacing w:beforeLines="0" w:afterLines="0"/>
      <w:ind w:left="126"/>
      <w:outlineLvl w:val="0"/>
    </w:pPr>
    <w:rPr>
      <w:rFonts w:hint="default"/>
      <w:b/>
      <w:sz w:val="32"/>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4">
    <w:name w:val="Body Text"/>
    <w:basedOn w:val="1"/>
    <w:next w:val="1"/>
    <w:qFormat/>
    <w:uiPriority w:val="0"/>
    <w:rPr>
      <w:rFonts w:eastAsia="宋体" w:cs="Times New Roman"/>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customStyle="1" w:styleId="10">
    <w:name w:val="Table Paragraph"/>
    <w:basedOn w:val="1"/>
    <w:qFormat/>
    <w:uiPriority w:val="1"/>
    <w:rPr>
      <w:rFonts w:ascii="宋体" w:hAnsi="宋体" w:eastAsia="宋体" w:cs="宋体"/>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UserStyle_0"/>
    <w:basedOn w:val="1"/>
    <w:next w:val="1"/>
    <w:qFormat/>
    <w:uiPriority w:val="0"/>
    <w:pPr>
      <w:spacing w:before="120"/>
      <w:jc w:val="both"/>
      <w:textAlignment w:val="baseline"/>
    </w:pPr>
    <w:rPr>
      <w:rFonts w:ascii="Cambria" w:hAnsi="Cambria" w:eastAsia="宋体"/>
      <w:kern w:val="2"/>
      <w:sz w:val="24"/>
      <w:szCs w:val="24"/>
      <w:lang w:val="en-US" w:eastAsia="zh-CN" w:bidi="ar-SA"/>
    </w:rPr>
  </w:style>
  <w:style w:type="paragraph" w:customStyle="1" w:styleId="13">
    <w:name w:val="插入文本样式-插入总体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3</TotalTime>
  <ScaleCrop>false</ScaleCrop>
  <LinksUpToDate>false</LinksUpToDate>
  <CharactersWithSpaces>669</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2025-07-31T09:14:00Z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96934721B1514D3FBAA28020338CE855_12</vt:lpwstr>
  </property>
</Properties>
</file>