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10.xml" ContentType="application/vnd.ms-office.chartcolorstyle+xml"/>
  <Override PartName="/word/charts/colors11.xml" ContentType="application/vnd.ms-office.chartcolorstyle+xml"/>
  <Override PartName="/word/charts/colors12.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colors9.xml" ContentType="application/vnd.ms-office.chartcolorstyle+xml"/>
  <Override PartName="/word/charts/style1.xml" ContentType="application/vnd.ms-office.chartstyle+xml"/>
  <Override PartName="/word/charts/style10.xml" ContentType="application/vnd.ms-office.chartstyle+xml"/>
  <Override PartName="/word/charts/style11.xml" ContentType="application/vnd.ms-office.chartstyle+xml"/>
  <Override PartName="/word/charts/style12.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charts/style9.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6"/>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7"/>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8"/>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0"/>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：822</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：石家庄市鹿泉区大河镇人民政府</w:t>
      </w:r>
    </w:p>
    <w:p>
      <w:pPr>
        <w:spacing w:line="600" w:lineRule="auto"/>
        <w:jc w:val="left"/>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tabs>
          <w:tab w:val="left" w:pos="2728"/>
        </w:tabs>
        <w:jc w:val="both"/>
        <w:rPr>
          <w:rFonts w:hint="eastAsia" w:ascii="黑体" w:hAnsi="Times New Roman" w:eastAsia="黑体" w:cs="Times New Roman"/>
          <w:sz w:val="44"/>
          <w:szCs w:val="44"/>
        </w:rPr>
      </w:pPr>
    </w:p>
    <w:p>
      <w:pPr>
        <w:tabs>
          <w:tab w:val="left" w:pos="2728"/>
        </w:tabs>
        <w:jc w:val="both"/>
        <w:rPr>
          <w:rFonts w:hint="eastAsia" w:ascii="黑体" w:hAnsi="Times New Roman" w:eastAsia="黑体" w:cs="Times New Roman"/>
          <w:sz w:val="44"/>
          <w:szCs w:val="44"/>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
      <w:r>
        <w:t> </w:t>
      </w:r>
    </w:p>
    <w:p/>
    <w:p>
      <w:pPr>
        <w:rPr>
          <w:rFonts w:hint="eastAsia"/>
        </w:rPr>
      </w:pPr>
    </w:p>
    <w:p>
      <w:pPr>
        <w:rPr>
          <w:rFonts w:hint="eastAsia"/>
        </w:rPr>
      </w:pPr>
    </w:p>
    <w:p>
      <w:pPr>
        <w:rPr>
          <w:rFonts w:hint="eastAsia"/>
        </w:rPr>
      </w:pPr>
    </w:p>
    <w:p>
      <w:pPr>
        <w:jc w:val="center"/>
        <w:rPr>
          <w:rFonts w:hint="eastAsia" w:ascii="黑体" w:hAnsi="黑体" w:eastAsia="黑体" w:cs="黑体"/>
          <w:sz w:val="72"/>
          <w:szCs w:val="72"/>
        </w:rPr>
      </w:pPr>
      <w:r>
        <w:rPr>
          <w:rFonts w:hint="eastAsia" w:ascii="黑体" w:hAnsi="黑体" w:eastAsia="黑体" w:cs="黑体"/>
          <w:sz w:val="72"/>
          <w:szCs w:val="72"/>
        </w:rPr>
        <w:t xml:space="preserve">第一部分  </w:t>
      </w:r>
      <w:r>
        <w:rPr>
          <w:rFonts w:hint="eastAsia" w:ascii="黑体" w:hAnsi="黑体" w:eastAsia="黑体" w:cs="黑体"/>
          <w:sz w:val="72"/>
          <w:szCs w:val="72"/>
          <w:lang w:val="en-US" w:eastAsia="zh-CN"/>
        </w:rPr>
        <w:t>部门</w:t>
      </w:r>
      <w:r>
        <w:rPr>
          <w:rFonts w:hint="eastAsia" w:ascii="黑体" w:hAnsi="黑体" w:eastAsia="黑体" w:cs="黑体"/>
          <w:sz w:val="72"/>
          <w:szCs w:val="72"/>
        </w:rPr>
        <w:t>概况</w:t>
      </w:r>
    </w:p>
    <w:p/>
    <w:p>
      <w:r>
        <w:t> </w:t>
      </w:r>
    </w:p>
    <w:p>
      <w:r>
        <w:t> </w:t>
      </w:r>
    </w:p>
    <w:p>
      <w:r>
        <w:t> </w:t>
      </w:r>
    </w:p>
    <w:p>
      <w:r>
        <w:t> </w:t>
      </w:r>
    </w:p>
    <w:p>
      <w:r>
        <w:t> </w:t>
      </w:r>
    </w:p>
    <w:p>
      <w:r>
        <w:t> </w:t>
      </w:r>
    </w:p>
    <w:p>
      <w:r>
        <w:t> </w:t>
      </w:r>
    </w:p>
    <w:p/>
    <w:p/>
    <w:p/>
    <w:p/>
    <w:p>
      <w:r>
        <w:t> </w:t>
      </w:r>
    </w:p>
    <w:p>
      <w:r>
        <w:t> </w:t>
      </w:r>
    </w:p>
    <w:p>
      <w:r>
        <w:t> </w:t>
      </w:r>
    </w:p>
    <w:p>
      <w:r>
        <w:t> </w:t>
      </w:r>
    </w:p>
    <w:p>
      <w:r>
        <w:t> </w:t>
      </w:r>
    </w:p>
    <w:p>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val="en-US" w:eastAsia="zh-CN"/>
        </w:rPr>
        <w:t>部门</w:t>
      </w:r>
      <w:r>
        <w:rPr>
          <w:rFonts w:hint="eastAsia" w:ascii="黑体" w:hAnsi="黑体" w:eastAsia="黑体" w:cs="黑体"/>
          <w:sz w:val="32"/>
          <w:szCs w:val="32"/>
        </w:rPr>
        <w:t>职责</w:t>
      </w:r>
    </w:p>
    <w:p>
      <w:pPr>
        <w:rPr>
          <w:rFonts w:hint="eastAsia" w:ascii="黑体" w:hAnsi="黑体" w:eastAsia="黑体" w:cs="黑体"/>
          <w:sz w:val="32"/>
          <w:szCs w:val="32"/>
        </w:rPr>
      </w:pPr>
      <w:r>
        <w:rPr>
          <w:rFonts w:hint="eastAsia" w:ascii="黑体" w:hAnsi="黑体" w:eastAsia="黑体" w:cs="黑体"/>
          <w:sz w:val="32"/>
          <w:szCs w:val="32"/>
        </w:rPr>
        <w:t> </w:t>
      </w:r>
    </w:p>
    <w:p>
      <w:pPr>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共石家庄市鹿泉区委办公室石家庄市鹿泉区人民政府办公室关于印发《石家庄市鹿泉区大河镇党委、人大、政府职能配置、内设机构和人员编制规定》，石家庄市鹿泉区大河镇人民政府的主要职责是：石家庄市鹿泉区大河镇人民政府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 依法行使行政职权。</w:t>
      </w:r>
    </w:p>
    <w:p>
      <w:pPr>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大河镇党委、人大、政府设 9 个工作机构。  </w:t>
      </w:r>
    </w:p>
    <w:p>
      <w:pPr>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(一) 、内设机构 4 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 工作，领导辖区内人大工作，以及工会、共青团、妇联等群团工作。3、应急管理办公室。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 自然灾害救助相关工作，护林和森林草原防火相关工作。负责指导基层自治和居民区建设工作，负责指导村 (居) 民委员会建立健全各项自治制度，指导村(居) 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 </w:t>
      </w:r>
    </w:p>
    <w:p>
      <w:pPr>
        <w:rPr>
          <w:rFonts w:hint="eastAsia" w:eastAsia="仿宋_GB2312"/>
          <w:lang w:eastAsia="zh-CN"/>
        </w:rPr>
        <w:sectPr>
          <w:pgSz w:w="11906" w:h="16839"/>
          <w:pgMar w:top="1531" w:right="1984" w:bottom="1531" w:left="2098" w:header="0" w:footer="0" w:gutter="0"/>
          <w:pgBorders>
            <w:top w:val="none" w:sz="0" w:space="0"/>
            <w:left w:val="none" w:sz="0" w:space="0"/>
            <w:bottom w:val="none" w:sz="0" w:space="0"/>
            <w:right w:val="none" w:sz="0" w:space="0"/>
          </w:pgBorders>
          <w:cols w:space="720" w:num="1"/>
        </w:sect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rPr>
        <w:t>(二) 所属事业单位 5 个，规格为股级，所属类别为公益一类，经费形式为财政性资金基本保障：</w:t>
      </w:r>
      <w:r>
        <w:rPr>
          <w:rFonts w:hint="eastAsia" w:ascii="仿宋_GB2312" w:hAnsi="仿宋_GB2312" w:eastAsia="仿宋_GB2312" w:cs="仿宋_GB2312"/>
          <w:sz w:val="32"/>
          <w:szCs w:val="32"/>
          <w:lang w:val="en-US" w:eastAsia="zh-CN"/>
        </w:rPr>
        <w:t xml:space="preserve"> 1</w:t>
      </w:r>
      <w:r>
        <w:rPr>
          <w:rFonts w:hint="eastAsia" w:ascii="仿宋_GB2312" w:hAnsi="仿宋_GB2312" w:eastAsia="仿宋_GB2312" w:cs="仿宋_GB2312"/>
          <w:sz w:val="32"/>
          <w:szCs w:val="32"/>
        </w:rPr>
        <w:t>、综合行政执法队。核定财政性资金基本保障事业编制 16 名，股级职数 1 正 2 副。根据有关法律法规和上级部门授权、委托，承担城乡建设、生态环境、文化市场、农业农村、安全生产、民族宗教等领域行 政执法工作。</w:t>
      </w:r>
      <w:r>
        <w:rPr>
          <w:rFonts w:hint="eastAsia" w:ascii="仿宋_GB2312" w:hAnsi="仿宋_GB2312" w:eastAsia="仿宋_GB2312" w:cs="仿宋_GB2312"/>
          <w:sz w:val="32"/>
          <w:szCs w:val="32"/>
          <w:lang w:val="en-US" w:eastAsia="zh-CN"/>
        </w:rPr>
        <w:t xml:space="preserve"> 2</w:t>
      </w:r>
      <w:r>
        <w:rPr>
          <w:rFonts w:hint="eastAsia" w:ascii="仿宋_GB2312" w:hAnsi="仿宋_GB2312" w:eastAsia="仿宋_GB2312" w:cs="仿宋_GB2312"/>
          <w:sz w:val="32"/>
          <w:szCs w:val="32"/>
        </w:rPr>
        <w:t>、行政综合服务中心(挂综合文化服务站、财政所 牌子)。核定财政性资金基本保障事业编制 8 名，股级职数 1 正2 副。负责行政审批服务事项的受理、办理工作，提供政策和业 务咨询；指导村 (社区) 便民服务点建设。负责开展群众文化艺 术娱乐、体育活动，负责文物普查、保护和开发利用工作，指导 村 (社区) 文化室建设、文体设施规划建设。负责编制镇财政预 决算，负责镇政府预算单位的财务管理和核算，负责村级资金核 拨和监督管理等相关工作。</w:t>
      </w:r>
      <w:r>
        <w:rPr>
          <w:rFonts w:hint="eastAsia" w:ascii="仿宋_GB2312" w:hAnsi="仿宋_GB2312" w:eastAsia="仿宋_GB2312" w:cs="仿宋_GB2312"/>
          <w:sz w:val="32"/>
          <w:szCs w:val="32"/>
          <w:lang w:val="en-US" w:eastAsia="zh-CN"/>
        </w:rPr>
        <w:t xml:space="preserve"> 3</w:t>
      </w:r>
      <w:r>
        <w:rPr>
          <w:rFonts w:hint="eastAsia" w:ascii="仿宋_GB2312" w:hAnsi="仿宋_GB2312" w:eastAsia="仿宋_GB2312" w:cs="仿宋_GB2312"/>
          <w:sz w:val="32"/>
          <w:szCs w:val="32"/>
        </w:rPr>
        <w:t>、农业综合服务中心 (挂经济发展 办公室牌子)。核定财政性资金基本保障事业编制 6 名，股级职 数 1 正 1 副。负责农业、畜牧、林业、水利、农机等技术推广和 服务工作，负责农产品质量安全监管工作，负责指导农业生产、技术培训和信息咨询服务；负责动植物病虫害及灾情的预报、防治、处置；负责指导新农村建设、乡村振兴、农村经济发展、农 村体制改革、农村土地承包、扶贫开发、水土保持和综合治理等 工作，负责农村环境卫生工作。</w:t>
      </w:r>
      <w:r>
        <w:rPr>
          <w:rFonts w:hint="eastAsia" w:ascii="仿宋_GB2312" w:hAnsi="仿宋_GB2312" w:eastAsia="仿宋_GB2312" w:cs="仿宋_GB2312"/>
          <w:sz w:val="32"/>
          <w:szCs w:val="32"/>
          <w:lang w:val="en-US" w:eastAsia="zh-CN"/>
        </w:rPr>
        <w:t xml:space="preserve"> 4</w:t>
      </w:r>
      <w:r>
        <w:rPr>
          <w:rFonts w:hint="eastAsia" w:ascii="仿宋_GB2312" w:hAnsi="仿宋_GB2312" w:eastAsia="仿宋_GB2312" w:cs="仿宋_GB2312"/>
          <w:sz w:val="32"/>
          <w:szCs w:val="32"/>
        </w:rPr>
        <w:t>、退役军人服务站。核定财政 性资金基本保障事业编制 3 名，股级职数 1 名。负责退役军人就 业创业扶持、拥军优属、优抚帮扶、走访慰问、信访接待、权益 保障等工作；配合武装部做好征兵、 民兵、预备役、 国防教育、 国民经济动员、人民防空、国防交通、国防设施保护等相关工作。</w:t>
      </w:r>
      <w:r>
        <w:rPr>
          <w:rFonts w:hint="eastAsia" w:ascii="仿宋_GB2312" w:hAnsi="仿宋_GB2312" w:eastAsia="仿宋_GB2312" w:cs="仿宋_GB2312"/>
          <w:sz w:val="32"/>
          <w:szCs w:val="32"/>
          <w:lang w:val="en-US" w:eastAsia="zh-CN"/>
        </w:rPr>
        <w:t xml:space="preserve"> 5</w:t>
      </w:r>
      <w:r>
        <w:rPr>
          <w:rFonts w:hint="eastAsia" w:ascii="仿宋_GB2312" w:hAnsi="仿宋_GB2312" w:eastAsia="仿宋_GB2312" w:cs="仿宋_GB2312"/>
          <w:sz w:val="32"/>
          <w:szCs w:val="32"/>
        </w:rPr>
        <w:t>、综合指挥和信息化网络中心(挂社会治理办公室牌子)，核定财政性资金基本保障事业编制 6 名，股级职数 1 正 1 副。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镇纪委 (监察办公室) 。核定行政编制 4 名 (含纪委书记、副书记) 。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w:t>
      </w:r>
      <w:r>
        <w:rPr>
          <w:rFonts w:hint="eastAsia" w:ascii="仿宋_GB2312" w:hAnsi="仿宋_GB2312" w:eastAsia="仿宋_GB2312" w:cs="仿宋_GB2312"/>
          <w:sz w:val="32"/>
          <w:szCs w:val="32"/>
          <w:lang w:eastAsia="zh-CN"/>
        </w:rPr>
        <w:t>反腐败</w:t>
      </w:r>
      <w:bookmarkStart w:id="0" w:name="_GoBack"/>
      <w:bookmarkEnd w:id="0"/>
      <w:r>
        <w:rPr>
          <w:rFonts w:hint="eastAsia" w:ascii="仿宋_GB2312" w:hAnsi="仿宋_GB2312" w:eastAsia="仿宋_GB2312" w:cs="仿宋_GB2312"/>
          <w:sz w:val="32"/>
          <w:szCs w:val="32"/>
        </w:rPr>
        <w:t>工作；受理本镇 范围内对党的组织、党员违反党纪行为的检举以及党员的控告、申诉，维护党员的权利。督促落实全镇党务、政府、财务、村务 公开，监督规范农村资金、资产、资源管理，负责内部审计工作。人民武装部及工会、共青团、妇联等群团组织按有关章程和规定 设置，在镇党委统一领导下开展工作</w:t>
      </w:r>
      <w:r>
        <w:rPr>
          <w:rFonts w:hint="eastAsia" w:ascii="仿宋_GB2312" w:hAnsi="仿宋_GB2312" w:eastAsia="仿宋_GB2312" w:cs="仿宋_GB2312"/>
          <w:sz w:val="32"/>
          <w:szCs w:val="32"/>
          <w:lang w:eastAsia="zh-CN"/>
        </w:rPr>
        <w:t>。</w:t>
      </w:r>
    </w:p>
    <w:p>
      <w:pPr>
        <w:rPr>
          <w:rFonts w:hint="eastAsia" w:ascii="黑体" w:hAnsi="黑体" w:eastAsia="黑体" w:cs="黑体"/>
          <w:sz w:val="32"/>
          <w:szCs w:val="32"/>
        </w:rPr>
      </w:pPr>
      <w:r>
        <w:rPr>
          <w:rFonts w:hint="eastAsia" w:ascii="黑体" w:hAnsi="黑体" w:eastAsia="黑体" w:cs="黑体"/>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w:t>
      </w: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hint="eastAsia" w:ascii="仿宋_GB2312" w:hAnsi="Calibri" w:eastAsia="仿宋_GB2312" w:cs="ArialUnicodeMS"/>
                <w:sz w:val="28"/>
                <w:szCs w:val="28"/>
              </w:rPr>
            </w:pPr>
          </w:p>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pPr>
              <w:spacing w:line="560" w:lineRule="exact"/>
              <w:rPr>
                <w:rFonts w:ascii="仿宋" w:hAnsi="仿宋" w:eastAsia="仿宋" w:cs="仿宋"/>
                <w:spacing w:val="20"/>
                <w:position w:val="20"/>
                <w:sz w:val="28"/>
                <w:szCs w:val="28"/>
              </w:rPr>
            </w:pPr>
          </w:p>
          <w:p>
            <w:pPr>
              <w:spacing w:line="560" w:lineRule="exact"/>
              <w:rPr>
                <w:rFonts w:ascii="仿宋_GB2312" w:hAnsi="Calibri" w:eastAsia="仿宋_GB2312" w:cs="ArialUnicodeMS"/>
                <w:sz w:val="28"/>
                <w:szCs w:val="28"/>
              </w:rPr>
            </w:pPr>
            <w:r>
              <w:rPr>
                <w:rFonts w:ascii="仿宋" w:hAnsi="仿宋" w:eastAsia="仿宋" w:cs="仿宋"/>
                <w:spacing w:val="20"/>
                <w:position w:val="20"/>
                <w:sz w:val="28"/>
                <w:szCs w:val="28"/>
              </w:rPr>
              <w:t>石</w:t>
            </w:r>
            <w:r>
              <w:rPr>
                <w:rFonts w:ascii="仿宋" w:hAnsi="仿宋" w:eastAsia="仿宋" w:cs="仿宋"/>
                <w:spacing w:val="15"/>
                <w:position w:val="20"/>
                <w:sz w:val="28"/>
                <w:szCs w:val="28"/>
              </w:rPr>
              <w:t>家庄市鹿泉区大河镇人</w:t>
            </w:r>
            <w:r>
              <w:rPr>
                <w:rFonts w:hint="eastAsia" w:ascii="仿宋" w:hAnsi="仿宋" w:eastAsia="仿宋" w:cs="仿宋"/>
                <w:spacing w:val="15"/>
                <w:position w:val="20"/>
                <w:sz w:val="28"/>
                <w:szCs w:val="28"/>
                <w:lang w:val="en-US" w:eastAsia="zh-CN"/>
              </w:rPr>
              <w:t>民政府（本级）</w:t>
            </w:r>
          </w:p>
        </w:tc>
        <w:tc>
          <w:tcPr>
            <w:tcW w:w="2445" w:type="dxa"/>
          </w:tcPr>
          <w:p>
            <w:pPr>
              <w:spacing w:line="560" w:lineRule="exact"/>
              <w:jc w:val="center"/>
              <w:rPr>
                <w:rFonts w:hint="eastAsia" w:ascii="仿宋_GB2312" w:hAnsi="Calibri" w:eastAsia="仿宋_GB2312" w:cs="ArialUnicodeMS"/>
                <w:sz w:val="28"/>
                <w:szCs w:val="28"/>
              </w:rPr>
            </w:pPr>
          </w:p>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行政单位</w:t>
            </w:r>
          </w:p>
        </w:tc>
        <w:tc>
          <w:tcPr>
            <w:tcW w:w="2665" w:type="dxa"/>
          </w:tcPr>
          <w:p>
            <w:pPr>
              <w:spacing w:line="560" w:lineRule="exact"/>
              <w:jc w:val="center"/>
              <w:rPr>
                <w:rFonts w:hint="eastAsia" w:ascii="仿宋_GB2312" w:hAnsi="Calibri" w:eastAsia="仿宋_GB2312" w:cs="ArialUnicodeMS"/>
                <w:sz w:val="28"/>
                <w:szCs w:val="28"/>
              </w:rPr>
            </w:pPr>
          </w:p>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sz w:val="28"/>
                <w:szCs w:val="28"/>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tc>
      </w:tr>
    </w:tbl>
    <w:p>
      <w:r>
        <w:t> </w:t>
      </w:r>
    </w:p>
    <w:p>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ascii="Times New Roman" w:hAnsi="Times New Roman" w:eastAsia="黑体" w:cs="Times New Roman"/>
          <w:sz w:val="32"/>
          <w:szCs w:val="32"/>
          <w:highlight w:val="yellow"/>
        </w:rPr>
      </w:pPr>
    </w:p>
    <w:p/>
    <w:p>
      <w: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hint="eastAsia" w:ascii="黑体" w:hAnsi="宋体" w:eastAsia="黑体" w:cs="黑体"/>
          <w:color w:val="000000"/>
          <w:sz w:val="72"/>
          <w:szCs w:val="72"/>
          <w:shd w:val="clear" w:color="auto" w:fill="FFFFFF"/>
        </w:rPr>
      </w:pPr>
      <w:r>
        <w:rPr>
          <w:rFonts w:hint="eastAsia" w:ascii="黑体" w:hAnsi="宋体" w:eastAsia="黑体" w:cs="黑体"/>
          <w:color w:val="000000"/>
          <w:sz w:val="72"/>
          <w:szCs w:val="72"/>
          <w:shd w:val="clear" w:color="auto" w:fill="FFFFFF"/>
        </w:rPr>
        <w:t>2023年度部门决算报表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i w:val="0"/>
          <w:iCs w:val="0"/>
          <w:caps w:val="0"/>
          <w:color w:val="FF0000"/>
          <w:spacing w:val="0"/>
          <w:sz w:val="33"/>
          <w:szCs w:val="33"/>
          <w:highlight w:val="none"/>
          <w:shd w:val="clear" w:fill="FFFFFF"/>
          <w:lang w:val="en-US" w:eastAsia="zh-CN"/>
        </w:rPr>
        <w:sectPr>
          <w:headerReference r:id="rId3" w:type="default"/>
          <w:pgSz w:w="11906" w:h="16838"/>
          <w:pgMar w:top="1531" w:right="1984" w:bottom="1531" w:left="2098" w:header="851" w:footer="992" w:gutter="0"/>
          <w:cols w:space="720" w:num="1"/>
          <w:docGrid w:type="lines" w:linePitch="312" w:charSpace="0"/>
        </w:sectPr>
      </w:pP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我部门无二级预算单位，因此，石家庄市鹿泉区大河镇人</w:t>
      </w:r>
      <w:r>
        <w:rPr>
          <w:rFonts w:hint="eastAsia" w:ascii="仿宋_GB2312" w:eastAsia="仿宋_GB2312" w:cs="仿宋_GB2312"/>
          <w:kern w:val="0"/>
          <w:sz w:val="32"/>
          <w:szCs w:val="32"/>
          <w:lang w:val="en-US" w:eastAsia="zh-CN"/>
        </w:rPr>
        <w:t>民政府</w:t>
      </w:r>
      <w:r>
        <w:rPr>
          <w:rFonts w:hint="eastAsia" w:ascii="仿宋_GB2312" w:eastAsia="仿宋_GB2312" w:cs="仿宋_GB2312"/>
          <w:kern w:val="0"/>
          <w:sz w:val="32"/>
          <w:szCs w:val="32"/>
        </w:rPr>
        <w:t>2023年度部门决算即石家庄市鹿泉区大河镇人</w:t>
      </w:r>
      <w:r>
        <w:rPr>
          <w:rFonts w:hint="eastAsia" w:ascii="仿宋_GB2312" w:eastAsia="仿宋_GB2312" w:cs="仿宋_GB2312"/>
          <w:kern w:val="0"/>
          <w:sz w:val="32"/>
          <w:szCs w:val="32"/>
          <w:lang w:val="en-US" w:eastAsia="zh-CN"/>
        </w:rPr>
        <w:t>民政府</w:t>
      </w:r>
      <w:r>
        <w:rPr>
          <w:rFonts w:hint="eastAsia" w:ascii="仿宋_GB2312" w:eastAsia="仿宋_GB2312" w:cs="仿宋_GB2312"/>
          <w:kern w:val="0"/>
          <w:sz w:val="32"/>
          <w:szCs w:val="32"/>
        </w:rPr>
        <w:t>本级2023年度决算</w:t>
      </w:r>
      <w:r>
        <w:rPr>
          <w:rFonts w:hint="eastAsia" w:ascii="仿宋_GB2312" w:eastAsia="仿宋_GB2312" w:cs="仿宋_GB2312"/>
          <w:kern w:val="0"/>
          <w:sz w:val="32"/>
          <w:szCs w:val="32"/>
          <w:lang w:val="en-US" w:eastAsia="zh-CN"/>
        </w:rPr>
        <w:t>)</w:t>
      </w:r>
    </w:p>
    <w:tbl>
      <w:tblPr>
        <w:tblStyle w:val="13"/>
        <w:tblW w:w="13992" w:type="dxa"/>
        <w:tblInd w:w="0" w:type="dxa"/>
        <w:tblLayout w:type="fixed"/>
        <w:tblCellMar>
          <w:top w:w="0" w:type="dxa"/>
          <w:left w:w="108" w:type="dxa"/>
          <w:bottom w:w="0" w:type="dxa"/>
          <w:right w:w="108" w:type="dxa"/>
        </w:tblCellMar>
      </w:tblPr>
      <w:tblGrid>
        <w:gridCol w:w="3456"/>
        <w:gridCol w:w="1495"/>
        <w:gridCol w:w="284"/>
        <w:gridCol w:w="2031"/>
        <w:gridCol w:w="2205"/>
        <w:gridCol w:w="749"/>
        <w:gridCol w:w="1713"/>
        <w:gridCol w:w="2059"/>
      </w:tblGrid>
      <w:tr>
        <w:tblPrEx>
          <w:tblLayout w:type="fixed"/>
          <w:tblCellMar>
            <w:top w:w="0" w:type="dxa"/>
            <w:left w:w="108" w:type="dxa"/>
            <w:bottom w:w="0" w:type="dxa"/>
            <w:right w:w="108" w:type="dxa"/>
          </w:tblCellMar>
        </w:tblPrEx>
        <w:trPr>
          <w:trHeight w:val="361" w:hRule="atLeast"/>
        </w:trPr>
        <w:tc>
          <w:tcPr>
            <w:tcW w:w="13992" w:type="dxa"/>
            <w:gridSpan w:val="8"/>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收入支出决算总表</w:t>
            </w:r>
          </w:p>
        </w:tc>
      </w:tr>
      <w:tr>
        <w:tblPrEx>
          <w:tblLayout w:type="fixed"/>
          <w:tblCellMar>
            <w:top w:w="0" w:type="dxa"/>
            <w:left w:w="108" w:type="dxa"/>
            <w:bottom w:w="0" w:type="dxa"/>
            <w:right w:w="108" w:type="dxa"/>
          </w:tblCellMar>
        </w:tblPrEx>
        <w:trPr>
          <w:trHeight w:val="90" w:hRule="atLeast"/>
        </w:trPr>
        <w:tc>
          <w:tcPr>
            <w:tcW w:w="13992" w:type="dxa"/>
            <w:gridSpan w:val="8"/>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01</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4951" w:type="dxa"/>
            <w:gridSpan w:val="2"/>
            <w:tcBorders>
              <w:top w:val="nil"/>
              <w:left w:val="nil"/>
              <w:bottom w:val="single" w:color="auto" w:sz="4" w:space="0"/>
              <w:right w:val="nil"/>
            </w:tcBorders>
            <w:vAlign w:val="bottom"/>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编制部门（单位）：石家庄市鹿泉区大河镇人民政府(本级)</w:t>
            </w:r>
          </w:p>
        </w:tc>
        <w:tc>
          <w:tcPr>
            <w:tcW w:w="4520" w:type="dxa"/>
            <w:gridSpan w:val="3"/>
            <w:tcBorders>
              <w:top w:val="nil"/>
              <w:left w:val="nil"/>
              <w:bottom w:val="single" w:color="auto" w:sz="4" w:space="0"/>
              <w:right w:val="nil"/>
            </w:tcBorders>
            <w:vAlign w:val="bottom"/>
          </w:tcPr>
          <w:p>
            <w:pPr>
              <w:jc w:val="center"/>
              <w:rPr>
                <w:rFonts w:hint="eastAsia" w:ascii="宋体" w:hAnsi="宋体" w:eastAsia="宋体"/>
                <w:color w:val="000000"/>
                <w:sz w:val="18"/>
                <w:szCs w:val="18"/>
                <w:lang w:bidi="ar"/>
              </w:rPr>
            </w:pPr>
            <w:r>
              <w:rPr>
                <w:rFonts w:hint="eastAsia"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521" w:type="dxa"/>
            <w:gridSpan w:val="3"/>
            <w:tcBorders>
              <w:top w:val="nil"/>
              <w:left w:val="nil"/>
              <w:bottom w:val="single" w:color="auto" w:sz="4" w:space="0"/>
              <w:right w:val="nil"/>
            </w:tcBorders>
            <w:vAlign w:val="bottom"/>
          </w:tcPr>
          <w:p>
            <w:pPr>
              <w:jc w:val="right"/>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08" w:hRule="atLeast"/>
        </w:trPr>
        <w:tc>
          <w:tcPr>
            <w:tcW w:w="7266" w:type="dxa"/>
            <w:gridSpan w:val="4"/>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收入</w:t>
            </w:r>
          </w:p>
        </w:tc>
        <w:tc>
          <w:tcPr>
            <w:tcW w:w="6726"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支出</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31"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59"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79" w:type="dxa"/>
            <w:gridSpan w:val="2"/>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31"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1</w:t>
            </w: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13"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59"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2</w:t>
            </w:r>
          </w:p>
        </w:tc>
      </w:tr>
      <w:tr>
        <w:tblPrEx>
          <w:tblLayout w:type="fixed"/>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4,001.31</w:t>
            </w: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1,617.12</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四、上级补助收入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五、事业收入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261.91</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六、经营收入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七、附属单位上缴收入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40.00</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八、其他收入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0.07</w:t>
            </w: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335.84</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128.51</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20.00</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1,022.15</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460.11</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2031"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1713"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2059"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50</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112.32</w:t>
            </w: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2031"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1713"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2059"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25.00</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4,022.98</w:t>
            </w: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4,022.98</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使用非财政拨款结余（含专用结余）</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结余分配</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年初结转和结余</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年末结转和结余</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60</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30</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61</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4,840.81</w:t>
            </w: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4,840.81</w:t>
            </w:r>
          </w:p>
        </w:tc>
      </w:tr>
      <w:tr>
        <w:tblPrEx>
          <w:tblLayout w:type="fixed"/>
          <w:tblCellMar>
            <w:top w:w="0" w:type="dxa"/>
            <w:left w:w="108" w:type="dxa"/>
            <w:bottom w:w="0" w:type="dxa"/>
            <w:right w:w="108" w:type="dxa"/>
          </w:tblCellMar>
        </w:tblPrEx>
        <w:trPr>
          <w:trHeight w:val="308" w:hRule="atLeast"/>
        </w:trPr>
        <w:tc>
          <w:tcPr>
            <w:tcW w:w="13992" w:type="dxa"/>
            <w:gridSpan w:val="8"/>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注：1.本表反映部门本年度的总收支和年末结转结余情况。2.本套报表金额转换时可能存在尾数误差。</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黑体" w:hAnsi="黑体" w:eastAsia="黑体"/>
          <w:bCs/>
          <w:sz w:val="32"/>
          <w:szCs w:val="32"/>
        </w:rPr>
      </w:pPr>
    </w:p>
    <w:tbl>
      <w:tblPr>
        <w:tblStyle w:val="13"/>
        <w:tblW w:w="12518" w:type="dxa"/>
        <w:tblInd w:w="0" w:type="dxa"/>
        <w:tblLayout w:type="fixed"/>
        <w:tblCellMar>
          <w:top w:w="0" w:type="dxa"/>
          <w:left w:w="108" w:type="dxa"/>
          <w:bottom w:w="0" w:type="dxa"/>
          <w:right w:w="108" w:type="dxa"/>
        </w:tblCellMar>
      </w:tblPr>
      <w:tblGrid>
        <w:gridCol w:w="936"/>
        <w:gridCol w:w="3032"/>
        <w:gridCol w:w="1491"/>
        <w:gridCol w:w="1101"/>
        <w:gridCol w:w="1296"/>
        <w:gridCol w:w="936"/>
        <w:gridCol w:w="666"/>
        <w:gridCol w:w="270"/>
        <w:gridCol w:w="1656"/>
        <w:gridCol w:w="1134"/>
      </w:tblGrid>
      <w:tr>
        <w:tblPrEx>
          <w:tblLayout w:type="fixed"/>
          <w:tblCellMar>
            <w:top w:w="0" w:type="dxa"/>
            <w:left w:w="108" w:type="dxa"/>
            <w:bottom w:w="0" w:type="dxa"/>
            <w:right w:w="108" w:type="dxa"/>
          </w:tblCellMar>
        </w:tblPrEx>
        <w:trPr>
          <w:trHeight w:val="550" w:hRule="atLeast"/>
        </w:trPr>
        <w:tc>
          <w:tcPr>
            <w:tcW w:w="12518" w:type="dxa"/>
            <w:gridSpan w:val="10"/>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收入决算表</w:t>
            </w:r>
          </w:p>
        </w:tc>
      </w:tr>
      <w:tr>
        <w:tblPrEx>
          <w:tblLayout w:type="fixed"/>
          <w:tblCellMar>
            <w:top w:w="0" w:type="dxa"/>
            <w:left w:w="108" w:type="dxa"/>
            <w:bottom w:w="0" w:type="dxa"/>
            <w:right w:w="108" w:type="dxa"/>
          </w:tblCellMar>
        </w:tblPrEx>
        <w:trPr>
          <w:trHeight w:val="300" w:hRule="atLeast"/>
        </w:trPr>
        <w:tc>
          <w:tcPr>
            <w:tcW w:w="12518" w:type="dxa"/>
            <w:gridSpan w:val="10"/>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02</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5459" w:type="dxa"/>
            <w:gridSpan w:val="3"/>
            <w:tcBorders>
              <w:top w:val="nil"/>
              <w:left w:val="nil"/>
              <w:bottom w:val="single" w:color="auto" w:sz="4" w:space="0"/>
              <w:right w:val="nil"/>
            </w:tcBorders>
            <w:vAlign w:val="bottom"/>
          </w:tcPr>
          <w:p>
            <w:pP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p>
        </w:tc>
        <w:tc>
          <w:tcPr>
            <w:tcW w:w="3999"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color w:val="000000"/>
                <w:sz w:val="18"/>
                <w:szCs w:val="18"/>
                <w:lang w:bidi="ar"/>
              </w:rPr>
            </w:pPr>
            <w:r>
              <w:rPr>
                <w:rFonts w:ascii="Times New Roman" w:hAnsi="Times New Roman" w:eastAsia="方正仿宋_GB2312"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3060"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08" w:hRule="atLeast"/>
        </w:trPr>
        <w:tc>
          <w:tcPr>
            <w:tcW w:w="3968"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491"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本年收入合计</w:t>
            </w:r>
          </w:p>
        </w:tc>
        <w:tc>
          <w:tcPr>
            <w:tcW w:w="1101"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财政拨款收入</w:t>
            </w:r>
          </w:p>
        </w:tc>
        <w:tc>
          <w:tcPr>
            <w:tcW w:w="129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上级补助收入</w:t>
            </w:r>
          </w:p>
        </w:tc>
        <w:tc>
          <w:tcPr>
            <w:tcW w:w="936"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事业收入</w:t>
            </w:r>
          </w:p>
        </w:tc>
        <w:tc>
          <w:tcPr>
            <w:tcW w:w="936"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经营收入</w:t>
            </w:r>
          </w:p>
        </w:tc>
        <w:tc>
          <w:tcPr>
            <w:tcW w:w="165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附属单位上缴收入</w:t>
            </w:r>
          </w:p>
        </w:tc>
        <w:tc>
          <w:tcPr>
            <w:tcW w:w="113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其他收入</w:t>
            </w:r>
          </w:p>
        </w:tc>
      </w:tr>
      <w:tr>
        <w:tblPrEx>
          <w:tblLayout w:type="fixed"/>
          <w:tblCellMar>
            <w:top w:w="0" w:type="dxa"/>
            <w:left w:w="108" w:type="dxa"/>
            <w:bottom w:w="0" w:type="dxa"/>
            <w:right w:w="108" w:type="dxa"/>
          </w:tblCellMar>
        </w:tblPrEx>
        <w:trPr>
          <w:trHeight w:val="312" w:hRule="atLeast"/>
        </w:trPr>
        <w:tc>
          <w:tcPr>
            <w:tcW w:w="936"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03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49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10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9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vMerge w:val="continue"/>
            <w:tcBorders>
              <w:left w:val="nil"/>
              <w:right w:val="single" w:color="000000" w:sz="4" w:space="0"/>
            </w:tcBorders>
            <w:vAlign w:val="center"/>
          </w:tcPr>
          <w:p>
            <w:pPr>
              <w:widowControl/>
              <w:jc w:val="center"/>
              <w:textAlignment w:val="center"/>
              <w:rPr>
                <w:rFonts w:hint="eastAsia" w:ascii="宋体" w:hAnsi="宋体" w:eastAsia="宋体"/>
                <w:color w:val="000000"/>
                <w:sz w:val="18"/>
                <w:szCs w:val="18"/>
              </w:rPr>
            </w:pPr>
          </w:p>
        </w:tc>
        <w:tc>
          <w:tcPr>
            <w:tcW w:w="93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13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936"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03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49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10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9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vMerge w:val="continue"/>
            <w:tcBorders>
              <w:left w:val="nil"/>
              <w:right w:val="single" w:color="000000" w:sz="4" w:space="0"/>
            </w:tcBorders>
            <w:vAlign w:val="center"/>
          </w:tcPr>
          <w:p>
            <w:pPr>
              <w:jc w:val="center"/>
              <w:rPr>
                <w:rFonts w:hint="eastAsia" w:ascii="宋体" w:hAnsi="宋体" w:eastAsia="宋体"/>
                <w:color w:val="000000"/>
                <w:sz w:val="18"/>
                <w:szCs w:val="18"/>
              </w:rPr>
            </w:pPr>
          </w:p>
        </w:tc>
        <w:tc>
          <w:tcPr>
            <w:tcW w:w="93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13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936"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03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49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10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9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vMerge w:val="continue"/>
            <w:tcBorders>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13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90" w:hRule="atLeast"/>
        </w:trPr>
        <w:tc>
          <w:tcPr>
            <w:tcW w:w="396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491"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1101"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29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93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4</w:t>
            </w:r>
          </w:p>
        </w:tc>
        <w:tc>
          <w:tcPr>
            <w:tcW w:w="936"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c>
          <w:tcPr>
            <w:tcW w:w="165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6</w:t>
            </w:r>
          </w:p>
        </w:tc>
        <w:tc>
          <w:tcPr>
            <w:tcW w:w="1134"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7</w:t>
            </w:r>
          </w:p>
        </w:tc>
      </w:tr>
      <w:tr>
        <w:tblPrEx>
          <w:tblLayout w:type="fixed"/>
          <w:tblCellMar>
            <w:top w:w="0" w:type="dxa"/>
            <w:left w:w="108" w:type="dxa"/>
            <w:bottom w:w="0" w:type="dxa"/>
            <w:right w:w="108" w:type="dxa"/>
          </w:tblCellMar>
        </w:tblPrEx>
        <w:trPr>
          <w:trHeight w:val="308" w:hRule="atLeast"/>
        </w:trPr>
        <w:tc>
          <w:tcPr>
            <w:tcW w:w="396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4,022.98</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4,022.91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0.07</w:t>
            </w: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一般公共服务支出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1,617.12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1,617.05</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0.07</w:t>
            </w: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政府办公厅（室）及相关机构事务</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1,617.12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1,617.05</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0.07</w:t>
            </w: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行政运行</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1,074.00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1,073.93</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0.07</w:t>
            </w: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543.12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543.12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教育支出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普通教育</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2050202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小学教育</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207</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文化旅游体育与传媒支出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20701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文化和旅游</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2070109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群众文化</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社会保障和就业支出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335.84</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335.84</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行政事业单位养老支出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213.76</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213.76</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行政单位离退休</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103.49</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103.49</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机关事业单位基本养老保险缴费支出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110.27</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110.27</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退役安置</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80.32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2080901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退役士兵安置</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80.32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20825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其他生活救助</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41.76</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41.76</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2082502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其他农村生活救助</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41.76</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41.76</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128.51</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128.51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卫生健康管理事务</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2100102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行政事业单位医疗</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84.51</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84.51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行政单位医疗</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84.51</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84.51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节能环保支出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21103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污染防治</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2110301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大气</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1,022.15</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1,022.15</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城乡社区公共设施</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661.43</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661.43</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2120303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小城镇基础设施建设</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190.66</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190.66</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2120399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其他城乡社区公共设施支出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470.77</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470.77</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城乡社区环境卫生</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339.12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339.12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2120501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城乡社区环境卫生</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339.12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339.12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21208</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国有土地使用权出让收入安排的支出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2120804</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农村基础设施建设支出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农林水支出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460.11</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460.11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农业农村</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20.11</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20.11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2130199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其他农业农村支出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20.11</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20.11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21307</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农村综合改革</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2130706</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对村集体经济组织的补助</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住房保障支出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住房改革支出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住房公积金</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224</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灾害防治及应急管理支出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22401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应急管理事务</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2240199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其他应急管理支出</w:t>
            </w:r>
          </w:p>
        </w:tc>
        <w:tc>
          <w:tcPr>
            <w:tcW w:w="149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10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13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2518" w:type="dxa"/>
            <w:gridSpan w:val="10"/>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注：本表反映部门本年度取得的各项收入情况。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黑体" w:hAnsi="黑体" w:eastAsia="黑体"/>
          <w:bCs/>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3"/>
        <w:tblW w:w="13992" w:type="dxa"/>
        <w:tblInd w:w="0" w:type="dxa"/>
        <w:tblLayout w:type="fixed"/>
        <w:tblCellMar>
          <w:top w:w="0" w:type="dxa"/>
          <w:left w:w="108" w:type="dxa"/>
          <w:bottom w:w="0" w:type="dxa"/>
          <w:right w:w="108" w:type="dxa"/>
        </w:tblCellMar>
      </w:tblPr>
      <w:tblGrid>
        <w:gridCol w:w="845"/>
        <w:gridCol w:w="3096"/>
        <w:gridCol w:w="2076"/>
        <w:gridCol w:w="728"/>
        <w:gridCol w:w="956"/>
        <w:gridCol w:w="1656"/>
        <w:gridCol w:w="1012"/>
        <w:gridCol w:w="296"/>
        <w:gridCol w:w="1656"/>
        <w:gridCol w:w="1671"/>
      </w:tblGrid>
      <w:tr>
        <w:tblPrEx>
          <w:tblLayout w:type="fixed"/>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vAlign w:val="bottom"/>
          </w:tcPr>
          <w:p>
            <w:pPr>
              <w:jc w:val="center"/>
              <w:outlineLvl w:val="1"/>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Layout w:type="fixed"/>
          <w:tblCellMar>
            <w:top w:w="0" w:type="dxa"/>
            <w:left w:w="108" w:type="dxa"/>
            <w:bottom w:w="0" w:type="dxa"/>
            <w:right w:w="108" w:type="dxa"/>
          </w:tblCellMar>
        </w:tblPrEx>
        <w:trPr>
          <w:trHeight w:val="300" w:hRule="atLeast"/>
        </w:trPr>
        <w:tc>
          <w:tcPr>
            <w:tcW w:w="13992" w:type="dxa"/>
            <w:gridSpan w:val="10"/>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03</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6745" w:type="dxa"/>
            <w:gridSpan w:val="4"/>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r>
              <w:rPr>
                <w:rFonts w:hint="eastAsia" w:asciiTheme="minorEastAsia" w:hAnsiTheme="minorEastAsia" w:cstheme="minorEastAsia"/>
                <w:color w:val="000000"/>
                <w:sz w:val="18"/>
                <w:szCs w:val="18"/>
                <w:lang w:bidi="ar"/>
              </w:rPr>
              <w:t xml:space="preserve">                                                                                                         </w:t>
            </w:r>
          </w:p>
        </w:tc>
        <w:tc>
          <w:tcPr>
            <w:tcW w:w="3624" w:type="dxa"/>
            <w:gridSpan w:val="3"/>
            <w:tcBorders>
              <w:top w:val="nil"/>
              <w:left w:val="nil"/>
              <w:bottom w:val="single" w:color="auto" w:sz="4" w:space="0"/>
              <w:right w:val="nil"/>
            </w:tcBorders>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3623" w:type="dxa"/>
            <w:gridSpan w:val="3"/>
            <w:tcBorders>
              <w:top w:val="nil"/>
              <w:left w:val="nil"/>
              <w:bottom w:val="single" w:color="auto" w:sz="4" w:space="0"/>
              <w:right w:val="nil"/>
            </w:tcBorders>
            <w:vAlign w:val="bottom"/>
          </w:tcPr>
          <w:p>
            <w:pPr>
              <w:widowControl/>
              <w:jc w:val="right"/>
              <w:textAlignment w:val="bottom"/>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 xml:space="preserve"> 金额单位：万元</w:t>
            </w: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207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本年支出合计</w:t>
            </w:r>
          </w:p>
        </w:tc>
        <w:tc>
          <w:tcPr>
            <w:tcW w:w="168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65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308"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上缴上级支出</w:t>
            </w:r>
          </w:p>
        </w:tc>
        <w:tc>
          <w:tcPr>
            <w:tcW w:w="165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经营支出</w:t>
            </w:r>
          </w:p>
        </w:tc>
        <w:tc>
          <w:tcPr>
            <w:tcW w:w="1671"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对附属单位补助支出</w:t>
            </w:r>
          </w:p>
        </w:tc>
      </w:tr>
      <w:tr>
        <w:tblPrEx>
          <w:tblLayout w:type="fixed"/>
          <w:tblCellMar>
            <w:top w:w="0" w:type="dxa"/>
            <w:left w:w="108" w:type="dxa"/>
            <w:bottom w:w="0" w:type="dxa"/>
            <w:right w:w="108" w:type="dxa"/>
          </w:tblCellMar>
        </w:tblPrEx>
        <w:trPr>
          <w:trHeight w:val="312" w:hRule="atLeast"/>
        </w:trPr>
        <w:tc>
          <w:tcPr>
            <w:tcW w:w="845"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096"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207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308"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7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84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3096"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7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308"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7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84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3096"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7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308"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7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207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684"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65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308"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65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671"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4,022.98</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1,484.60</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2,538.38</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1,617.12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1,074.00</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1,617.12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1,074.00</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1,074.00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1,074.00</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教育支出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普通教育</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2050202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小学教育</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文化旅游体育与传媒支出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文化和旅游</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2070109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群众文化</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335.84</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122.08</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103.49</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103.49</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110.27</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110.27</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退役安置</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退役士兵安置</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20825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其他生活救助</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2082502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其他农村生活救助</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128.51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卫生健康管理事务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2100102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节能环保支出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污染防治</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大气</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1,022.15</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1,022.15</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城乡社区公共设施</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661.43</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661.43</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2120303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小城镇基础设施建设</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190.66</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190.66</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2120399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其他城乡社区公共设施支出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470.77</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470.77</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国有土地使用权出让收入安排的支出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2120804</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农村基础设施建设支出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农林水支出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460.11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460.11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农业农村</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2130199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其他农业农村支出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农村综合改革</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2130706</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对村集体经济组织的补助</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灾害防治及应急管理支出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应急管理事务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2240199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其他应急管理支出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注：本表反映部门本年度各项支出情况。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3"/>
        <w:tblW w:w="13989" w:type="dxa"/>
        <w:tblInd w:w="0" w:type="dxa"/>
        <w:tblLayout w:type="fixed"/>
        <w:tblCellMar>
          <w:top w:w="0" w:type="dxa"/>
          <w:left w:w="108" w:type="dxa"/>
          <w:bottom w:w="0" w:type="dxa"/>
          <w:right w:w="108" w:type="dxa"/>
        </w:tblCellMar>
      </w:tblPr>
      <w:tblGrid>
        <w:gridCol w:w="2466"/>
        <w:gridCol w:w="464"/>
        <w:gridCol w:w="1544"/>
        <w:gridCol w:w="2202"/>
        <w:gridCol w:w="425"/>
        <w:gridCol w:w="464"/>
        <w:gridCol w:w="1542"/>
        <w:gridCol w:w="215"/>
        <w:gridCol w:w="1407"/>
        <w:gridCol w:w="1623"/>
        <w:gridCol w:w="1637"/>
      </w:tblGrid>
      <w:tr>
        <w:tblPrEx>
          <w:tblLayout w:type="fixed"/>
          <w:tblCellMar>
            <w:top w:w="0" w:type="dxa"/>
            <w:left w:w="108" w:type="dxa"/>
            <w:bottom w:w="0" w:type="dxa"/>
            <w:right w:w="108" w:type="dxa"/>
          </w:tblCellMar>
        </w:tblPrEx>
        <w:trPr>
          <w:trHeight w:val="550" w:hRule="atLeast"/>
        </w:trPr>
        <w:tc>
          <w:tcPr>
            <w:tcW w:w="13989" w:type="dxa"/>
            <w:gridSpan w:val="11"/>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财政拨款收入支出决算总表</w:t>
            </w:r>
          </w:p>
        </w:tc>
      </w:tr>
      <w:tr>
        <w:tblPrEx>
          <w:tblLayout w:type="fixed"/>
          <w:tblCellMar>
            <w:top w:w="0" w:type="dxa"/>
            <w:left w:w="108" w:type="dxa"/>
            <w:bottom w:w="0" w:type="dxa"/>
            <w:right w:w="108" w:type="dxa"/>
          </w:tblCellMar>
        </w:tblPrEx>
        <w:trPr>
          <w:trHeight w:val="300" w:hRule="atLeast"/>
        </w:trPr>
        <w:tc>
          <w:tcPr>
            <w:tcW w:w="13989" w:type="dxa"/>
            <w:gridSpan w:val="11"/>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公开04表</w:t>
            </w:r>
          </w:p>
        </w:tc>
      </w:tr>
      <w:tr>
        <w:tblPrEx>
          <w:tblLayout w:type="fixed"/>
          <w:tblCellMar>
            <w:top w:w="0" w:type="dxa"/>
            <w:left w:w="108" w:type="dxa"/>
            <w:bottom w:w="0" w:type="dxa"/>
            <w:right w:w="108" w:type="dxa"/>
          </w:tblCellMar>
        </w:tblPrEx>
        <w:trPr>
          <w:trHeight w:val="300" w:hRule="atLeast"/>
        </w:trPr>
        <w:tc>
          <w:tcPr>
            <w:tcW w:w="6676" w:type="dxa"/>
            <w:gridSpan w:val="4"/>
            <w:tcBorders>
              <w:top w:val="nil"/>
              <w:left w:val="nil"/>
              <w:bottom w:val="single" w:color="auto" w:sz="4" w:space="0"/>
              <w:right w:val="nil"/>
            </w:tcBorders>
            <w:vAlign w:val="bottom"/>
          </w:tcPr>
          <w:p>
            <w:pPr>
              <w:rPr>
                <w:rFonts w:hint="eastAsia" w:ascii="仿宋" w:hAnsi="仿宋" w:eastAsia="仿宋" w:cs="仿宋"/>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r>
              <w:rPr>
                <w:rFonts w:hint="eastAsia" w:asciiTheme="minorEastAsia" w:hAnsiTheme="minorEastAsia" w:cstheme="minorEastAsia"/>
                <w:color w:val="000000"/>
                <w:sz w:val="18"/>
                <w:szCs w:val="18"/>
                <w:lang w:bidi="ar"/>
              </w:rPr>
              <w:t xml:space="preserve">                                                                                                   </w:t>
            </w:r>
          </w:p>
        </w:tc>
        <w:tc>
          <w:tcPr>
            <w:tcW w:w="2646" w:type="dxa"/>
            <w:gridSpan w:val="4"/>
            <w:tcBorders>
              <w:top w:val="nil"/>
              <w:left w:val="nil"/>
              <w:bottom w:val="single" w:color="auto" w:sz="4" w:space="0"/>
              <w:right w:val="nil"/>
            </w:tcBorders>
            <w:vAlign w:val="bottom"/>
          </w:tcPr>
          <w:p>
            <w:pPr>
              <w:jc w:val="center"/>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7" w:type="dxa"/>
            <w:gridSpan w:val="3"/>
            <w:tcBorders>
              <w:top w:val="nil"/>
              <w:left w:val="nil"/>
              <w:bottom w:val="single" w:color="auto" w:sz="4" w:space="0"/>
              <w:right w:val="nil"/>
            </w:tcBorders>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08" w:hRule="atLeast"/>
        </w:trPr>
        <w:tc>
          <w:tcPr>
            <w:tcW w:w="4474" w:type="dxa"/>
            <w:gridSpan w:val="3"/>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收     入</w:t>
            </w:r>
          </w:p>
        </w:tc>
        <w:tc>
          <w:tcPr>
            <w:tcW w:w="9515" w:type="dxa"/>
            <w:gridSpan w:val="8"/>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支     出</w:t>
            </w:r>
          </w:p>
        </w:tc>
      </w:tr>
      <w:tr>
        <w:tblPrEx>
          <w:tblLayout w:type="fixed"/>
          <w:tblCellMar>
            <w:top w:w="0" w:type="dxa"/>
            <w:left w:w="108" w:type="dxa"/>
            <w:bottom w:w="0" w:type="dxa"/>
            <w:right w:w="108" w:type="dxa"/>
          </w:tblCellMar>
        </w:tblPrEx>
        <w:trPr>
          <w:trHeight w:val="312" w:hRule="atLeast"/>
        </w:trPr>
        <w:tc>
          <w:tcPr>
            <w:tcW w:w="2466"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    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2627"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2"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1622" w:type="dxa"/>
            <w:gridSpan w:val="2"/>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一般公共预算财政拨款</w:t>
            </w:r>
          </w:p>
        </w:tc>
        <w:tc>
          <w:tcPr>
            <w:tcW w:w="1623"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政府性基金预算财政拨款</w:t>
            </w:r>
          </w:p>
        </w:tc>
        <w:tc>
          <w:tcPr>
            <w:tcW w:w="1637"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国有资本经营预算财政拨款</w:t>
            </w:r>
          </w:p>
        </w:tc>
      </w:tr>
      <w:tr>
        <w:tblPrEx>
          <w:tblLayout w:type="fixed"/>
          <w:tblCellMar>
            <w:top w:w="0" w:type="dxa"/>
            <w:left w:w="108" w:type="dxa"/>
            <w:bottom w:w="0" w:type="dxa"/>
            <w:right w:w="108" w:type="dxa"/>
          </w:tblCellMar>
        </w:tblPrEx>
        <w:trPr>
          <w:trHeight w:val="312" w:hRule="atLeast"/>
        </w:trPr>
        <w:tc>
          <w:tcPr>
            <w:tcW w:w="2466"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627"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2"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2" w:type="dxa"/>
            <w:gridSpan w:val="2"/>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3"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37"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544"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262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542"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62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62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4</w:t>
            </w:r>
          </w:p>
        </w:tc>
        <w:tc>
          <w:tcPr>
            <w:tcW w:w="1637" w:type="dxa"/>
            <w:tcBorders>
              <w:top w:val="nil"/>
              <w:left w:val="nil"/>
              <w:bottom w:val="single" w:color="000000" w:sz="4" w:space="0"/>
              <w:right w:val="single" w:color="000000" w:sz="8"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4,001.31</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1,617.05</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1,617.05</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261.91</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261.91</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40.00</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40.00</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40</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335.84</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335.84</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128.51</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128.51</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20.00</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20.00</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1,022.15</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1,000.55</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1544"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464"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1542"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460.11</w:t>
            </w:r>
          </w:p>
        </w:tc>
        <w:tc>
          <w:tcPr>
            <w:tcW w:w="1622" w:type="dxa"/>
            <w:gridSpan w:val="2"/>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460.11</w:t>
            </w:r>
          </w:p>
        </w:tc>
        <w:tc>
          <w:tcPr>
            <w:tcW w:w="1623"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auto"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50</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112.32</w:t>
            </w: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112.32</w:t>
            </w: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25.00</w:t>
            </w: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25.00</w:t>
            </w: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1544"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464"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1542"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b/>
                <w:bCs/>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4,022.91</w:t>
            </w:r>
          </w:p>
        </w:tc>
        <w:tc>
          <w:tcPr>
            <w:tcW w:w="262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4,022.91</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4,001.31</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年初财政拨款结转和结余</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年末财政拨款结转和结余</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60</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61</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30</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1544"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4,840.74</w:t>
            </w:r>
          </w:p>
        </w:tc>
        <w:tc>
          <w:tcPr>
            <w:tcW w:w="2627" w:type="dxa"/>
            <w:gridSpan w:val="2"/>
            <w:tcBorders>
              <w:top w:val="nil"/>
              <w:left w:val="nil"/>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64</w:t>
            </w:r>
          </w:p>
        </w:tc>
        <w:tc>
          <w:tcPr>
            <w:tcW w:w="1542"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4,840.74</w:t>
            </w:r>
          </w:p>
        </w:tc>
        <w:tc>
          <w:tcPr>
            <w:tcW w:w="1622" w:type="dxa"/>
            <w:gridSpan w:val="2"/>
            <w:tcBorders>
              <w:top w:val="nil"/>
              <w:left w:val="nil"/>
              <w:bottom w:val="single" w:color="000000" w:sz="8" w:space="0"/>
              <w:right w:val="single" w:color="000000" w:sz="4" w:space="0"/>
            </w:tcBorders>
            <w:vAlign w:val="center"/>
          </w:tcPr>
          <w:p>
            <w:pPr>
              <w:jc w:val="right"/>
              <w:rPr>
                <w:rFonts w:ascii="Times New Roman" w:hAnsi="Times New Roman" w:cs="Times New Roman"/>
                <w:sz w:val="18"/>
                <w:szCs w:val="18"/>
              </w:rPr>
            </w:pPr>
            <w:r>
              <w:rPr>
                <w:rFonts w:ascii="Times New Roman" w:hAnsi="Times New Roman" w:cs="Times New Roman"/>
                <w:sz w:val="18"/>
                <w:szCs w:val="18"/>
              </w:rPr>
              <w:t>4,819.14</w:t>
            </w:r>
          </w:p>
          <w:p>
            <w:pPr>
              <w:jc w:val="right"/>
              <w:rPr>
                <w:rFonts w:ascii="Times New Roman" w:hAnsi="Times New Roman" w:eastAsia="宋体" w:cs="Times New Roman"/>
                <w:color w:val="000000"/>
                <w:sz w:val="18"/>
                <w:szCs w:val="18"/>
              </w:rPr>
            </w:pPr>
          </w:p>
        </w:tc>
        <w:tc>
          <w:tcPr>
            <w:tcW w:w="1623"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1637" w:type="dxa"/>
            <w:tcBorders>
              <w:top w:val="nil"/>
              <w:left w:val="nil"/>
              <w:bottom w:val="single" w:color="000000" w:sz="8"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3989" w:type="dxa"/>
            <w:gridSpan w:val="11"/>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宋体" w:hAnsi="宋体" w:eastAsia="宋体"/>
          <w:spacing w:val="-2"/>
          <w:sz w:val="20"/>
        </w:rPr>
      </w:pPr>
    </w:p>
    <w:tbl>
      <w:tblPr>
        <w:tblStyle w:val="13"/>
        <w:tblW w:w="13992" w:type="dxa"/>
        <w:tblInd w:w="0" w:type="dxa"/>
        <w:tblLayout w:type="fixed"/>
        <w:tblCellMar>
          <w:top w:w="0" w:type="dxa"/>
          <w:left w:w="108" w:type="dxa"/>
          <w:bottom w:w="0" w:type="dxa"/>
          <w:right w:w="108" w:type="dxa"/>
        </w:tblCellMar>
      </w:tblPr>
      <w:tblGrid>
        <w:gridCol w:w="1403"/>
        <w:gridCol w:w="3096"/>
        <w:gridCol w:w="1273"/>
        <w:gridCol w:w="2005"/>
        <w:gridCol w:w="2098"/>
        <w:gridCol w:w="861"/>
        <w:gridCol w:w="3256"/>
      </w:tblGrid>
      <w:tr>
        <w:tblPrEx>
          <w:tblLayout w:type="fixed"/>
          <w:tblCellMar>
            <w:top w:w="0" w:type="dxa"/>
            <w:left w:w="108" w:type="dxa"/>
            <w:bottom w:w="0" w:type="dxa"/>
            <w:right w:w="108" w:type="dxa"/>
          </w:tblCellMar>
        </w:tblPrEx>
        <w:trPr>
          <w:trHeight w:val="550" w:hRule="atLeast"/>
        </w:trPr>
        <w:tc>
          <w:tcPr>
            <w:tcW w:w="13992" w:type="dxa"/>
            <w:gridSpan w:val="7"/>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一般公共预算财政拨款支出决算表</w:t>
            </w:r>
          </w:p>
        </w:tc>
      </w:tr>
      <w:tr>
        <w:tblPrEx>
          <w:tblLayout w:type="fixed"/>
          <w:tblCellMar>
            <w:top w:w="0" w:type="dxa"/>
            <w:left w:w="108" w:type="dxa"/>
            <w:bottom w:w="0" w:type="dxa"/>
            <w:right w:w="108" w:type="dxa"/>
          </w:tblCellMar>
        </w:tblPrEx>
        <w:trPr>
          <w:trHeight w:val="300" w:hRule="atLeast"/>
        </w:trPr>
        <w:tc>
          <w:tcPr>
            <w:tcW w:w="13992" w:type="dxa"/>
            <w:gridSpan w:val="7"/>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05</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5772" w:type="dxa"/>
            <w:gridSpan w:val="3"/>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编制部门（单位）：石家庄市鹿泉区大河镇人民政府(本级)</w:t>
            </w:r>
          </w:p>
        </w:tc>
        <w:tc>
          <w:tcPr>
            <w:tcW w:w="4103" w:type="dxa"/>
            <w:gridSpan w:val="2"/>
            <w:tcBorders>
              <w:top w:val="nil"/>
              <w:left w:val="nil"/>
              <w:bottom w:val="single" w:color="auto" w:sz="4" w:space="0"/>
              <w:right w:val="nil"/>
            </w:tcBorders>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117" w:type="dxa"/>
            <w:gridSpan w:val="2"/>
            <w:tcBorders>
              <w:top w:val="nil"/>
              <w:left w:val="nil"/>
              <w:bottom w:val="single" w:color="auto" w:sz="4" w:space="0"/>
              <w:right w:val="nil"/>
            </w:tcBorders>
            <w:vAlign w:val="bottom"/>
          </w:tcPr>
          <w:p>
            <w:pPr>
              <w:widowControl/>
              <w:jc w:val="right"/>
              <w:textAlignment w:val="bottom"/>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445" w:hRule="atLeast"/>
        </w:trPr>
        <w:tc>
          <w:tcPr>
            <w:tcW w:w="449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9493"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r>
      <w:tr>
        <w:tblPrEx>
          <w:tblLayout w:type="fixed"/>
          <w:tblCellMar>
            <w:top w:w="0" w:type="dxa"/>
            <w:left w:w="108" w:type="dxa"/>
            <w:bottom w:w="0" w:type="dxa"/>
            <w:right w:w="108" w:type="dxa"/>
          </w:tblCellMar>
        </w:tblPrEx>
        <w:trPr>
          <w:trHeight w:val="312" w:hRule="atLeast"/>
        </w:trPr>
        <w:tc>
          <w:tcPr>
            <w:tcW w:w="1403"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309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327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2959"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325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r>
      <w:tr>
        <w:tblPrEx>
          <w:tblLayout w:type="fixed"/>
          <w:tblCellMar>
            <w:top w:w="0" w:type="dxa"/>
            <w:left w:w="108" w:type="dxa"/>
            <w:bottom w:w="0" w:type="dxa"/>
            <w:right w:w="108" w:type="dxa"/>
          </w:tblCellMar>
        </w:tblPrEx>
        <w:trPr>
          <w:trHeight w:val="312" w:hRule="atLeast"/>
        </w:trPr>
        <w:tc>
          <w:tcPr>
            <w:tcW w:w="1403"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09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278"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959"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1403"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09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278"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959"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08" w:hRule="atLeast"/>
        </w:trPr>
        <w:tc>
          <w:tcPr>
            <w:tcW w:w="449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2</w:t>
            </w:r>
          </w:p>
        </w:tc>
        <w:tc>
          <w:tcPr>
            <w:tcW w:w="32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3</w:t>
            </w:r>
          </w:p>
        </w:tc>
      </w:tr>
      <w:tr>
        <w:tblPrEx>
          <w:tblLayout w:type="fixed"/>
          <w:tblCellMar>
            <w:top w:w="0" w:type="dxa"/>
            <w:left w:w="108" w:type="dxa"/>
            <w:bottom w:w="0" w:type="dxa"/>
            <w:right w:w="108" w:type="dxa"/>
          </w:tblCellMar>
        </w:tblPrEx>
        <w:trPr>
          <w:trHeight w:val="308" w:hRule="atLeast"/>
        </w:trPr>
        <w:tc>
          <w:tcPr>
            <w:tcW w:w="449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4,001.31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1,484.53</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2,516.78</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1,617.05</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1,073.93</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1,617.05</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1,073.93</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1,073.93</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1,073.93</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教育支出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普通教育</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2050202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小学教育</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文化旅游体育与传媒支出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文化和旅游</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2070109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群众文化</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335.84</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122.08</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103.49</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103.49</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110.27</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110.27</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退役安置</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退役士兵安置</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20825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其他生活救助</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2082502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其他农村生活救助</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128.51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卫生健康管理事务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2100102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节能环保支出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污染防治</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大气</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1,000.55</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1,000.55</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城乡社区公共设施</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661.43</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661.43</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2120303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小城镇基础设施建设</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190.66</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190.66</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2120399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其他城乡社区公共设施支出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470.77</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470.77</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农林水支出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460.11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460.11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农业农村</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2130199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其他农业农村支出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农村综合改革</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2130706</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对村集体经济组织的补助</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灾害防治及应急管理支出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应急管理事务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2240199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其他应急管理支出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r>
      <w:tr>
        <w:tblPrEx>
          <w:tblLayout w:type="fixed"/>
          <w:tblCellMar>
            <w:top w:w="0" w:type="dxa"/>
            <w:left w:w="108" w:type="dxa"/>
            <w:bottom w:w="0" w:type="dxa"/>
            <w:right w:w="108" w:type="dxa"/>
          </w:tblCellMar>
        </w:tblPrEx>
        <w:trPr>
          <w:trHeight w:val="308" w:hRule="atLeast"/>
        </w:trPr>
        <w:tc>
          <w:tcPr>
            <w:tcW w:w="13992" w:type="dxa"/>
            <w:gridSpan w:val="7"/>
            <w:tcBorders>
              <w:top w:val="single" w:color="auto" w:sz="4" w:space="0"/>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3"/>
        <w:tblW w:w="14009" w:type="dxa"/>
        <w:tblInd w:w="0" w:type="dxa"/>
        <w:tblLayout w:type="fixed"/>
        <w:tblCellMar>
          <w:top w:w="0" w:type="dxa"/>
          <w:left w:w="108" w:type="dxa"/>
          <w:bottom w:w="0" w:type="dxa"/>
          <w:right w:w="108" w:type="dxa"/>
        </w:tblCellMar>
      </w:tblPr>
      <w:tblGrid>
        <w:gridCol w:w="738"/>
        <w:gridCol w:w="2324"/>
        <w:gridCol w:w="1648"/>
        <w:gridCol w:w="1203"/>
        <w:gridCol w:w="325"/>
        <w:gridCol w:w="1364"/>
        <w:gridCol w:w="1067"/>
        <w:gridCol w:w="981"/>
        <w:gridCol w:w="2401"/>
        <w:gridCol w:w="1936"/>
        <w:gridCol w:w="22"/>
      </w:tblGrid>
      <w:tr>
        <w:tblPrEx>
          <w:tblLayout w:type="fixed"/>
          <w:tblCellMar>
            <w:top w:w="0" w:type="dxa"/>
            <w:left w:w="108" w:type="dxa"/>
            <w:bottom w:w="0" w:type="dxa"/>
            <w:right w:w="108" w:type="dxa"/>
          </w:tblCellMar>
        </w:tblPrEx>
        <w:trPr>
          <w:gridAfter w:val="1"/>
          <w:wAfter w:w="22" w:type="dxa"/>
          <w:trHeight w:val="624" w:hRule="atLeast"/>
        </w:trPr>
        <w:tc>
          <w:tcPr>
            <w:tcW w:w="13987" w:type="dxa"/>
            <w:gridSpan w:val="10"/>
            <w:tcBorders>
              <w:top w:val="nil"/>
              <w:left w:val="nil"/>
              <w:bottom w:val="nil"/>
              <w:right w:val="nil"/>
            </w:tcBorders>
            <w:vAlign w:val="bottom"/>
          </w:tcPr>
          <w:p>
            <w:pPr>
              <w:widowControl/>
              <w:jc w:val="center"/>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tblPrEx>
          <w:tblLayout w:type="fixed"/>
          <w:tblCellMar>
            <w:top w:w="0" w:type="dxa"/>
            <w:left w:w="108" w:type="dxa"/>
            <w:bottom w:w="0" w:type="dxa"/>
            <w:right w:w="108" w:type="dxa"/>
          </w:tblCellMar>
        </w:tblPrEx>
        <w:trPr>
          <w:gridAfter w:val="1"/>
          <w:wAfter w:w="22" w:type="dxa"/>
          <w:trHeight w:val="300" w:hRule="atLeast"/>
        </w:trPr>
        <w:tc>
          <w:tcPr>
            <w:tcW w:w="13987" w:type="dxa"/>
            <w:gridSpan w:val="10"/>
            <w:tcBorders>
              <w:top w:val="nil"/>
              <w:left w:val="nil"/>
              <w:bottom w:val="nil"/>
              <w:right w:val="nil"/>
            </w:tcBorders>
            <w:vAlign w:val="bottom"/>
          </w:tcPr>
          <w:p>
            <w:pPr>
              <w:widowControl/>
              <w:jc w:val="right"/>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90" w:hRule="atLeast"/>
        </w:trPr>
        <w:tc>
          <w:tcPr>
            <w:tcW w:w="6238" w:type="dxa"/>
            <w:gridSpan w:val="5"/>
            <w:tcBorders>
              <w:top w:val="nil"/>
              <w:left w:val="nil"/>
              <w:bottom w:val="single" w:color="auto" w:sz="4" w:space="0"/>
              <w:right w:val="nil"/>
            </w:tcBorders>
            <w:vAlign w:val="bottom"/>
          </w:tcPr>
          <w:p>
            <w:pP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r>
              <w:rPr>
                <w:rFonts w:hint="eastAsia" w:asciiTheme="minorEastAsia" w:hAnsiTheme="minorEastAsia" w:cstheme="minorEastAsia"/>
                <w:color w:val="000000"/>
                <w:sz w:val="18"/>
                <w:szCs w:val="18"/>
                <w:lang w:bidi="ar"/>
              </w:rPr>
              <w:t xml:space="preserve">                                                                   </w:t>
            </w:r>
          </w:p>
        </w:tc>
        <w:tc>
          <w:tcPr>
            <w:tcW w:w="3412" w:type="dxa"/>
            <w:gridSpan w:val="3"/>
            <w:tcBorders>
              <w:top w:val="nil"/>
              <w:left w:val="nil"/>
              <w:bottom w:val="single" w:color="auto" w:sz="4" w:space="0"/>
              <w:right w:val="nil"/>
            </w:tcBorders>
            <w:vAlign w:val="bottom"/>
          </w:tcPr>
          <w:p>
            <w:pPr>
              <w:jc w:val="center"/>
              <w:rPr>
                <w:rFonts w:hint="eastAsia"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359" w:type="dxa"/>
            <w:gridSpan w:val="3"/>
            <w:tcBorders>
              <w:top w:val="nil"/>
              <w:left w:val="nil"/>
              <w:bottom w:val="single" w:color="auto" w:sz="4" w:space="0"/>
              <w:right w:val="nil"/>
            </w:tcBorders>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gridAfter w:val="1"/>
          <w:wAfter w:w="22" w:type="dxa"/>
          <w:trHeight w:val="510" w:hRule="atLeast"/>
        </w:trPr>
        <w:tc>
          <w:tcPr>
            <w:tcW w:w="5913" w:type="dxa"/>
            <w:gridSpan w:val="4"/>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8074"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64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6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3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1,174.46</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128.52</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273.10</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20.43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205.34</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384.61</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110.27</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23.54</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81.19</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20.68</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4.30</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115.64</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181.56</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19.96</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107.25</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54.35</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5.43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6.23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5.07</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39.03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6.88</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1.23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306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ascii="Times New Roman" w:hAnsi="Times New Roman" w:cs="Times New Roman"/>
                <w:sz w:val="18"/>
                <w:szCs w:val="18"/>
              </w:rPr>
              <w:t>1,356.02</w:t>
            </w:r>
          </w:p>
        </w:tc>
        <w:tc>
          <w:tcPr>
            <w:tcW w:w="7341" w:type="dxa"/>
            <w:gridSpan w:val="6"/>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ascii="Times New Roman" w:hAnsi="Times New Roman" w:cs="Times New Roman"/>
                <w:sz w:val="18"/>
                <w:szCs w:val="18"/>
              </w:rPr>
              <w:t>128.52</w:t>
            </w:r>
          </w:p>
        </w:tc>
      </w:tr>
      <w:tr>
        <w:tblPrEx>
          <w:tblLayout w:type="fixed"/>
          <w:tblCellMar>
            <w:top w:w="0" w:type="dxa"/>
            <w:left w:w="108" w:type="dxa"/>
            <w:bottom w:w="0" w:type="dxa"/>
            <w:right w:w="108" w:type="dxa"/>
          </w:tblCellMar>
        </w:tblPrEx>
        <w:trPr>
          <w:gridAfter w:val="1"/>
          <w:wAfter w:w="22" w:type="dxa"/>
          <w:trHeight w:val="510" w:hRule="atLeast"/>
        </w:trPr>
        <w:tc>
          <w:tcPr>
            <w:tcW w:w="13987" w:type="dxa"/>
            <w:gridSpan w:val="10"/>
            <w:tcBorders>
              <w:top w:val="single" w:color="auto" w:sz="4" w:space="0"/>
              <w:left w:val="nil"/>
              <w:bottom w:val="nil"/>
              <w:right w:val="nil"/>
            </w:tcBorders>
            <w:vAlign w:val="center"/>
          </w:tcPr>
          <w:p>
            <w:pPr>
              <w:widowControl/>
              <w:jc w:val="left"/>
              <w:textAlignment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仿宋_GB2312" w:hAnsi="宋体" w:eastAsia="仿宋_GB2312"/>
          <w:b/>
          <w:sz w:val="32"/>
          <w:szCs w:val="32"/>
        </w:rPr>
      </w:pPr>
    </w:p>
    <w:tbl>
      <w:tblPr>
        <w:tblStyle w:val="13"/>
        <w:tblW w:w="13992" w:type="dxa"/>
        <w:tblInd w:w="0" w:type="dxa"/>
        <w:tblLayout w:type="fixed"/>
        <w:tblCellMar>
          <w:top w:w="0" w:type="dxa"/>
          <w:left w:w="108" w:type="dxa"/>
          <w:bottom w:w="0" w:type="dxa"/>
          <w:right w:w="108" w:type="dxa"/>
        </w:tblCellMar>
      </w:tblPr>
      <w:tblGrid>
        <w:gridCol w:w="845"/>
        <w:gridCol w:w="3096"/>
        <w:gridCol w:w="1751"/>
        <w:gridCol w:w="470"/>
        <w:gridCol w:w="1037"/>
        <w:gridCol w:w="1752"/>
        <w:gridCol w:w="1100"/>
        <w:gridCol w:w="455"/>
        <w:gridCol w:w="1717"/>
        <w:gridCol w:w="1769"/>
      </w:tblGrid>
      <w:tr>
        <w:tblPrEx>
          <w:tblLayout w:type="fixed"/>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政府性基金预算财政拨款收入支出决算表</w:t>
            </w:r>
          </w:p>
        </w:tc>
      </w:tr>
      <w:tr>
        <w:tblPrEx>
          <w:tblLayout w:type="fixed"/>
          <w:tblCellMar>
            <w:top w:w="0" w:type="dxa"/>
            <w:left w:w="108" w:type="dxa"/>
            <w:bottom w:w="0" w:type="dxa"/>
            <w:right w:w="108" w:type="dxa"/>
          </w:tblCellMar>
        </w:tblPrEx>
        <w:trPr>
          <w:trHeight w:val="90" w:hRule="atLeast"/>
        </w:trPr>
        <w:tc>
          <w:tcPr>
            <w:tcW w:w="13992" w:type="dxa"/>
            <w:gridSpan w:val="10"/>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07</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6162" w:type="dxa"/>
            <w:gridSpan w:val="4"/>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r>
              <w:rPr>
                <w:rFonts w:hint="eastAsia" w:ascii="宋体" w:hAnsi="宋体" w:eastAsia="宋体"/>
                <w:color w:val="000000"/>
                <w:sz w:val="18"/>
                <w:szCs w:val="18"/>
                <w:lang w:bidi="ar"/>
              </w:rPr>
              <w:t xml:space="preserve">                                                                                     </w:t>
            </w:r>
          </w:p>
        </w:tc>
        <w:tc>
          <w:tcPr>
            <w:tcW w:w="3889" w:type="dxa"/>
            <w:gridSpan w:val="3"/>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3941" w:type="dxa"/>
            <w:gridSpan w:val="3"/>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51"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年初结转和结余</w:t>
            </w:r>
          </w:p>
        </w:tc>
        <w:tc>
          <w:tcPr>
            <w:tcW w:w="1507"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w:t>
            </w:r>
          </w:p>
        </w:tc>
        <w:tc>
          <w:tcPr>
            <w:tcW w:w="5024"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c>
          <w:tcPr>
            <w:tcW w:w="1769"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年末结转和结余</w:t>
            </w:r>
          </w:p>
        </w:tc>
      </w:tr>
      <w:tr>
        <w:tblPrEx>
          <w:tblLayout w:type="fixed"/>
          <w:tblCellMar>
            <w:top w:w="0" w:type="dxa"/>
            <w:left w:w="108" w:type="dxa"/>
            <w:bottom w:w="0" w:type="dxa"/>
            <w:right w:w="108" w:type="dxa"/>
          </w:tblCellMar>
        </w:tblPrEx>
        <w:trPr>
          <w:trHeight w:val="312" w:hRule="atLeast"/>
        </w:trPr>
        <w:tc>
          <w:tcPr>
            <w:tcW w:w="845"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096"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75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07"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1555"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717"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769" w:type="dxa"/>
            <w:vMerge w:val="continue"/>
            <w:tcBorders>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结转</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结余</w:t>
            </w:r>
          </w:p>
        </w:tc>
      </w:tr>
      <w:tr>
        <w:tblPrEx>
          <w:tblLayout w:type="fixed"/>
          <w:tblCellMar>
            <w:top w:w="0" w:type="dxa"/>
            <w:left w:w="108" w:type="dxa"/>
            <w:bottom w:w="0" w:type="dxa"/>
            <w:right w:w="108" w:type="dxa"/>
          </w:tblCellMar>
        </w:tblPrEx>
        <w:trPr>
          <w:trHeight w:val="312" w:hRule="atLeast"/>
        </w:trPr>
        <w:tc>
          <w:tcPr>
            <w:tcW w:w="84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09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07"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55"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1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69"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12" w:hRule="atLeast"/>
        </w:trPr>
        <w:tc>
          <w:tcPr>
            <w:tcW w:w="845"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096"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07"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55"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1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69"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51" w:type="dxa"/>
            <w:tcBorders>
              <w:top w:val="nil"/>
              <w:left w:val="single" w:color="auto" w:sz="4" w:space="0"/>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507"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7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55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717"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769"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r>
      <w:tr>
        <w:tblPrEx>
          <w:tblLayout w:type="fixed"/>
          <w:tblCellMar>
            <w:top w:w="0" w:type="dxa"/>
            <w:left w:w="108" w:type="dxa"/>
            <w:bottom w:w="0" w:type="dxa"/>
            <w:right w:w="108" w:type="dxa"/>
          </w:tblCellMar>
        </w:tblPrEx>
        <w:trPr>
          <w:trHeight w:val="869" w:hRule="atLeast"/>
        </w:trPr>
        <w:tc>
          <w:tcPr>
            <w:tcW w:w="3941"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751" w:type="dxa"/>
            <w:tcBorders>
              <w:top w:val="nil"/>
              <w:left w:val="single" w:color="auto" w:sz="4" w:space="0"/>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507"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75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555"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76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175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507"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5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555"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6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国有土地使用权出让收入安排的支出</w:t>
            </w:r>
          </w:p>
        </w:tc>
        <w:tc>
          <w:tcPr>
            <w:tcW w:w="175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507"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5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555"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6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2120804</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农村基础设施建设支出</w:t>
            </w:r>
          </w:p>
        </w:tc>
        <w:tc>
          <w:tcPr>
            <w:tcW w:w="175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507"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5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555"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6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vAlign w:val="center"/>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18"/>
                <w:szCs w:val="18"/>
                <w:lang w:bidi="ar"/>
              </w:rPr>
              <w:br w:type="page"/>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3"/>
        <w:tblW w:w="13992" w:type="dxa"/>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tblPrEx>
          <w:tblLayout w:type="fixed"/>
          <w:tblCellMar>
            <w:top w:w="0" w:type="dxa"/>
            <w:left w:w="108" w:type="dxa"/>
            <w:bottom w:w="0" w:type="dxa"/>
            <w:right w:w="108" w:type="dxa"/>
          </w:tblCellMar>
        </w:tblPrEx>
        <w:trPr>
          <w:trHeight w:val="550" w:hRule="atLeast"/>
        </w:trPr>
        <w:tc>
          <w:tcPr>
            <w:tcW w:w="13992" w:type="dxa"/>
            <w:gridSpan w:val="9"/>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国有资本经营预算财政拨款支出决算表</w:t>
            </w:r>
          </w:p>
        </w:tc>
      </w:tr>
      <w:tr>
        <w:tblPrEx>
          <w:tblLayout w:type="fixed"/>
          <w:tblCellMar>
            <w:top w:w="0" w:type="dxa"/>
            <w:left w:w="108" w:type="dxa"/>
            <w:bottom w:w="0" w:type="dxa"/>
            <w:right w:w="108" w:type="dxa"/>
          </w:tblCellMar>
        </w:tblPrEx>
        <w:trPr>
          <w:trHeight w:val="300" w:hRule="atLeast"/>
        </w:trPr>
        <w:tc>
          <w:tcPr>
            <w:tcW w:w="13992" w:type="dxa"/>
            <w:gridSpan w:val="9"/>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08</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4781" w:type="dxa"/>
            <w:gridSpan w:val="2"/>
            <w:tcBorders>
              <w:top w:val="nil"/>
              <w:left w:val="nil"/>
              <w:bottom w:val="single" w:color="auto" w:sz="4" w:space="0"/>
              <w:right w:val="nil"/>
            </w:tcBorders>
            <w:vAlign w:val="bottom"/>
          </w:tcPr>
          <w:p>
            <w:pPr>
              <w:widowControl/>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编制部门（单位）：石家庄市鹿泉区大河镇人民政府(本级)</w:t>
            </w:r>
          </w:p>
        </w:tc>
        <w:tc>
          <w:tcPr>
            <w:tcW w:w="4661" w:type="dxa"/>
            <w:gridSpan w:val="4"/>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550" w:type="dxa"/>
            <w:gridSpan w:val="3"/>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12" w:hRule="atLeast"/>
        </w:trPr>
        <w:tc>
          <w:tcPr>
            <w:tcW w:w="7039" w:type="dxa"/>
            <w:gridSpan w:val="3"/>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项目</w:t>
            </w:r>
          </w:p>
        </w:tc>
        <w:tc>
          <w:tcPr>
            <w:tcW w:w="6953" w:type="dxa"/>
            <w:gridSpan w:val="6"/>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本年支出</w:t>
            </w:r>
          </w:p>
        </w:tc>
      </w:tr>
      <w:tr>
        <w:tblPrEx>
          <w:tblLayout w:type="fixed"/>
          <w:tblCellMar>
            <w:top w:w="0" w:type="dxa"/>
            <w:left w:w="108" w:type="dxa"/>
            <w:bottom w:w="0" w:type="dxa"/>
            <w:right w:w="108" w:type="dxa"/>
          </w:tblCellMar>
        </w:tblPrEx>
        <w:trPr>
          <w:trHeight w:val="312" w:hRule="atLeast"/>
        </w:trPr>
        <w:tc>
          <w:tcPr>
            <w:tcW w:w="7039" w:type="dxa"/>
            <w:gridSpan w:val="3"/>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6953" w:type="dxa"/>
            <w:gridSpan w:val="6"/>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12" w:hRule="atLeast"/>
        </w:trPr>
        <w:tc>
          <w:tcPr>
            <w:tcW w:w="3510"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529"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2325"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2325" w:type="dxa"/>
            <w:gridSpan w:val="3"/>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基本支出</w:t>
            </w:r>
          </w:p>
        </w:tc>
        <w:tc>
          <w:tcPr>
            <w:tcW w:w="2303"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项目支出</w:t>
            </w:r>
          </w:p>
        </w:tc>
      </w:tr>
      <w:tr>
        <w:tblPrEx>
          <w:tblLayout w:type="fixed"/>
          <w:tblCellMar>
            <w:top w:w="0" w:type="dxa"/>
            <w:left w:w="108" w:type="dxa"/>
            <w:bottom w:w="0" w:type="dxa"/>
            <w:right w:w="108" w:type="dxa"/>
          </w:tblCellMar>
        </w:tblPrEx>
        <w:trPr>
          <w:trHeight w:val="312" w:hRule="atLeast"/>
        </w:trPr>
        <w:tc>
          <w:tcPr>
            <w:tcW w:w="351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529"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03"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栏次</w:t>
            </w:r>
          </w:p>
        </w:tc>
        <w:tc>
          <w:tcPr>
            <w:tcW w:w="2317"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1</w:t>
            </w:r>
          </w:p>
        </w:tc>
        <w:tc>
          <w:tcPr>
            <w:tcW w:w="2316" w:type="dxa"/>
            <w:gridSpan w:val="3"/>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2</w:t>
            </w:r>
          </w:p>
        </w:tc>
        <w:tc>
          <w:tcPr>
            <w:tcW w:w="2320"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3</w:t>
            </w:r>
          </w:p>
        </w:tc>
      </w:tr>
      <w:tr>
        <w:tblPrEx>
          <w:tblLayout w:type="fixed"/>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vAlign w:val="center"/>
          </w:tcPr>
          <w:p>
            <w:pPr>
              <w:jc w:val="center"/>
              <w:rPr>
                <w:rFonts w:ascii="Times New Roman" w:hAnsi="Times New Roman" w:eastAsia="宋体" w:cs="Times New Roman"/>
                <w:color w:val="000000"/>
                <w:sz w:val="18"/>
                <w:szCs w:val="18"/>
              </w:rPr>
            </w:pPr>
            <w:r>
              <w:rPr>
                <w:rFonts w:hint="eastAsia" w:ascii="Times New Roman" w:hAnsi="Times New Roman" w:eastAsia="方正仿宋_GB2312" w:cs="Times New Roman"/>
                <w:color w:val="000000"/>
                <w:sz w:val="18"/>
                <w:szCs w:val="18"/>
              </w:rPr>
              <w:t>合计</w:t>
            </w:r>
          </w:p>
        </w:tc>
        <w:tc>
          <w:tcPr>
            <w:tcW w:w="23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316" w:type="dxa"/>
            <w:gridSpan w:val="3"/>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320"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3992" w:type="dxa"/>
            <w:gridSpan w:val="9"/>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注：本表反映部门本年度国有资本经营预算财政拨款收入、支出及结转和结余情况。（如无相关数据，则需注明空表列示）</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3"/>
        <w:tblpPr w:leftFromText="180" w:rightFromText="180" w:vertAnchor="text" w:horzAnchor="page" w:tblpX="1586" w:tblpY="39"/>
        <w:tblOverlap w:val="never"/>
        <w:tblW w:w="13986" w:type="dxa"/>
        <w:tblInd w:w="0" w:type="dxa"/>
        <w:tblLayout w:type="fixed"/>
        <w:tblCellMar>
          <w:top w:w="0" w:type="dxa"/>
          <w:left w:w="108" w:type="dxa"/>
          <w:bottom w:w="0" w:type="dxa"/>
          <w:right w:w="108" w:type="dxa"/>
        </w:tblCellMar>
      </w:tblPr>
      <w:tblGrid>
        <w:gridCol w:w="1150"/>
        <w:gridCol w:w="1150"/>
        <w:gridCol w:w="1150"/>
        <w:gridCol w:w="1152"/>
        <w:gridCol w:w="945"/>
        <w:gridCol w:w="210"/>
        <w:gridCol w:w="1155"/>
        <w:gridCol w:w="1152"/>
        <w:gridCol w:w="1152"/>
        <w:gridCol w:w="101"/>
        <w:gridCol w:w="1049"/>
        <w:gridCol w:w="1203"/>
        <w:gridCol w:w="1206"/>
        <w:gridCol w:w="1211"/>
      </w:tblGrid>
      <w:tr>
        <w:tblPrEx>
          <w:tblLayout w:type="fixed"/>
          <w:tblCellMar>
            <w:top w:w="0" w:type="dxa"/>
            <w:left w:w="108" w:type="dxa"/>
            <w:bottom w:w="0" w:type="dxa"/>
            <w:right w:w="108" w:type="dxa"/>
          </w:tblCellMar>
        </w:tblPrEx>
        <w:trPr>
          <w:trHeight w:val="550" w:hRule="atLeast"/>
        </w:trPr>
        <w:tc>
          <w:tcPr>
            <w:tcW w:w="13986" w:type="dxa"/>
            <w:gridSpan w:val="14"/>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Layout w:type="fixed"/>
          <w:tblCellMar>
            <w:top w:w="0" w:type="dxa"/>
            <w:left w:w="108" w:type="dxa"/>
            <w:bottom w:w="0" w:type="dxa"/>
            <w:right w:w="108" w:type="dxa"/>
          </w:tblCellMar>
        </w:tblPrEx>
        <w:trPr>
          <w:trHeight w:val="260" w:hRule="atLeast"/>
        </w:trPr>
        <w:tc>
          <w:tcPr>
            <w:tcW w:w="13986" w:type="dxa"/>
            <w:gridSpan w:val="14"/>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260" w:hRule="atLeast"/>
        </w:trPr>
        <w:tc>
          <w:tcPr>
            <w:tcW w:w="5547" w:type="dxa"/>
            <w:gridSpan w:val="5"/>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编制部门（单位）：石家庄市鹿泉区大河镇人民政府(本级)</w:t>
            </w:r>
          </w:p>
        </w:tc>
        <w:tc>
          <w:tcPr>
            <w:tcW w:w="3770" w:type="dxa"/>
            <w:gridSpan w:val="5"/>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9" w:type="dxa"/>
            <w:gridSpan w:val="4"/>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431" w:hRule="atLeast"/>
        </w:trPr>
        <w:tc>
          <w:tcPr>
            <w:tcW w:w="6912" w:type="dxa"/>
            <w:gridSpan w:val="7"/>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7074" w:type="dxa"/>
            <w:gridSpan w:val="7"/>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Layout w:type="fixed"/>
          <w:tblCellMar>
            <w:top w:w="0" w:type="dxa"/>
            <w:left w:w="108" w:type="dxa"/>
            <w:bottom w:w="0" w:type="dxa"/>
            <w:right w:w="108" w:type="dxa"/>
          </w:tblCellMar>
        </w:tblPrEx>
        <w:trPr>
          <w:trHeight w:val="431" w:hRule="atLeast"/>
        </w:trPr>
        <w:tc>
          <w:tcPr>
            <w:tcW w:w="115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457" w:type="dxa"/>
            <w:gridSpan w:val="4"/>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155"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1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559" w:type="dxa"/>
            <w:gridSpan w:val="4"/>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211"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Layout w:type="fixed"/>
          <w:tblCellMar>
            <w:top w:w="0" w:type="dxa"/>
            <w:left w:w="108" w:type="dxa"/>
            <w:bottom w:w="0" w:type="dxa"/>
            <w:right w:w="108" w:type="dxa"/>
          </w:tblCellMar>
        </w:tblPrEx>
        <w:trPr>
          <w:trHeight w:val="431" w:hRule="atLeast"/>
        </w:trPr>
        <w:tc>
          <w:tcPr>
            <w:tcW w:w="115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15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155"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203"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206"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211"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15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155"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1150"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120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120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1211"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Layout w:type="fixed"/>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11.10</w:t>
            </w:r>
          </w:p>
        </w:tc>
        <w:tc>
          <w:tcPr>
            <w:tcW w:w="1150"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0"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8.10</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5" w:type="dxa"/>
            <w:gridSpan w:val="2"/>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8.10</w:t>
            </w:r>
          </w:p>
        </w:tc>
        <w:tc>
          <w:tcPr>
            <w:tcW w:w="1155"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3.00</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5.07</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0" w:type="dxa"/>
            <w:gridSpan w:val="2"/>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5.07</w:t>
            </w:r>
          </w:p>
        </w:tc>
        <w:tc>
          <w:tcPr>
            <w:tcW w:w="1203"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206"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5.07</w:t>
            </w:r>
          </w:p>
        </w:tc>
        <w:tc>
          <w:tcPr>
            <w:tcW w:w="1211"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r>
      <w:tr>
        <w:tblPrEx>
          <w:tblLayout w:type="fixed"/>
          <w:tblCellMar>
            <w:top w:w="0" w:type="dxa"/>
            <w:left w:w="108" w:type="dxa"/>
            <w:bottom w:w="0" w:type="dxa"/>
            <w:right w:w="108" w:type="dxa"/>
          </w:tblCellMar>
        </w:tblPrEx>
        <w:trPr>
          <w:trHeight w:val="431" w:hRule="atLeast"/>
        </w:trPr>
        <w:tc>
          <w:tcPr>
            <w:tcW w:w="13986" w:type="dxa"/>
            <w:gridSpan w:val="14"/>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rPr>
          <w:rFonts w:hint="eastAsia" w:ascii="仿宋_GB2312" w:hAnsi="宋体" w:eastAsia="仿宋_GB2312"/>
          <w:b/>
          <w:sz w:val="32"/>
          <w:szCs w:val="32"/>
        </w:rPr>
        <w:sectPr>
          <w:headerReference r:id="rId4" w:type="default"/>
          <w:pgSz w:w="16838" w:h="11906" w:orient="landscape"/>
          <w:pgMar w:top="2098" w:right="1531" w:bottom="1984" w:left="1531" w:header="851" w:footer="992" w:gutter="0"/>
          <w:cols w:space="720" w:num="1"/>
          <w:docGrid w:type="lines" w:linePitch="312" w:charSpace="0"/>
        </w:sectPr>
      </w:pPr>
    </w:p>
    <w:p>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2023年度部门决算情况说明</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eastAsia="zh-CN"/>
        </w:rPr>
        <w:t>本部门</w:t>
      </w:r>
      <w:r>
        <w:rPr>
          <w:rFonts w:hint="eastAsia" w:ascii="仿宋_GB2312" w:hAnsi="仿宋_GB2312" w:eastAsia="仿宋_GB2312" w:cs="仿宋_GB2312"/>
          <w:kern w:val="2"/>
          <w:sz w:val="32"/>
          <w:szCs w:val="32"/>
          <w:lang w:val="zh-CN"/>
        </w:rPr>
        <w:t>2023年度收、</w:t>
      </w:r>
      <w:r>
        <w:rPr>
          <w:rFonts w:hint="eastAsia" w:ascii="仿宋_GB2312" w:hAnsi="仿宋_GB2312" w:eastAsia="仿宋_GB2312" w:cs="仿宋_GB2312"/>
          <w:kern w:val="2"/>
          <w:sz w:val="32"/>
          <w:szCs w:val="32"/>
          <w:lang w:val="en-US" w:eastAsia="zh-CN"/>
        </w:rPr>
        <w:t>支</w:t>
      </w:r>
      <w:r>
        <w:rPr>
          <w:rFonts w:hint="eastAsia" w:ascii="仿宋_GB2312" w:hAnsi="仿宋_GB2312" w:eastAsia="仿宋_GB2312" w:cs="仿宋_GB2312"/>
          <w:kern w:val="2"/>
          <w:sz w:val="32"/>
          <w:szCs w:val="32"/>
          <w:lang w:val="zh-CN"/>
        </w:rPr>
        <w:t>总计(含结转和结余)</w:t>
      </w:r>
      <w:r>
        <w:rPr>
          <w:rFonts w:hint="eastAsia" w:ascii="仿宋_GB2312" w:hAnsi="仿宋_GB2312" w:eastAsia="仿宋_GB2312" w:cs="仿宋_GB2312"/>
          <w:kern w:val="2"/>
          <w:sz w:val="32"/>
          <w:szCs w:val="32"/>
          <w:lang w:val="en-US" w:eastAsia="zh-CN"/>
        </w:rPr>
        <w:t>9681.62万</w:t>
      </w:r>
      <w:r>
        <w:rPr>
          <w:rFonts w:hint="eastAsia" w:ascii="仿宋_GB2312" w:hAnsi="仿宋_GB2312" w:eastAsia="仿宋_GB2312" w:cs="仿宋_GB2312"/>
          <w:kern w:val="2"/>
          <w:sz w:val="32"/>
          <w:szCs w:val="32"/>
        </w:rPr>
        <w:t>元，与2022年度决算相比</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rPr>
        <w:t>收支各</w:t>
      </w:r>
      <w:r>
        <w:rPr>
          <w:rFonts w:hint="eastAsia" w:ascii="仿宋_GB2312" w:hAnsi="仿宋_GB2312" w:eastAsia="仿宋_GB2312" w:cs="仿宋_GB2312"/>
          <w:kern w:val="2"/>
          <w:sz w:val="32"/>
          <w:szCs w:val="32"/>
          <w:lang w:val="en-US" w:eastAsia="zh-CN"/>
        </w:rPr>
        <w:t>减少</w:t>
      </w:r>
      <w:r>
        <w:rPr>
          <w:rFonts w:hint="eastAsia" w:ascii="仿宋_GB2312" w:hAnsi="仿宋_GB2312" w:eastAsia="仿宋_GB2312" w:cs="仿宋_GB2312"/>
          <w:sz w:val="32"/>
          <w:szCs w:val="32"/>
          <w:highlight w:val="none"/>
          <w:lang w:val="en-US" w:eastAsia="zh-CN"/>
        </w:rPr>
        <w:t>799.43</w:t>
      </w:r>
      <w:r>
        <w:rPr>
          <w:rFonts w:hint="eastAsia" w:ascii="仿宋_GB2312" w:hAnsi="仿宋_GB2312" w:eastAsia="仿宋_GB2312" w:cs="仿宋_GB2312"/>
          <w:sz w:val="32"/>
          <w:szCs w:val="32"/>
          <w:highlight w:val="none"/>
          <w:lang w:val="zh-CN"/>
        </w:rPr>
        <w:t>万元</w:t>
      </w:r>
      <w:r>
        <w:rPr>
          <w:rFonts w:hint="eastAsia" w:ascii="仿宋_GB2312" w:hAnsi="仿宋_GB2312" w:eastAsia="仿宋_GB2312" w:cs="仿宋_GB2312"/>
          <w:sz w:val="32"/>
          <w:szCs w:val="32"/>
          <w:highlight w:val="none"/>
          <w:lang w:val="en-US" w:eastAsia="zh-CN"/>
        </w:rPr>
        <w:t>,降幅14.17</w:t>
      </w:r>
      <w:r>
        <w:rPr>
          <w:rFonts w:hint="eastAsia" w:ascii="仿宋_GB2312" w:hAnsi="仿宋_GB2312" w:eastAsia="仿宋_GB2312" w:cs="仿宋_GB2312"/>
          <w:sz w:val="32"/>
          <w:szCs w:val="32"/>
          <w:highlight w:val="none"/>
          <w:lang w:val="zh-CN"/>
        </w:rPr>
        <w:t>%，</w:t>
      </w:r>
      <w:r>
        <w:rPr>
          <w:rFonts w:hint="eastAsia" w:ascii="仿宋_GB2312" w:hAnsi="仿宋_GB2312" w:eastAsia="仿宋_GB2312" w:cs="仿宋_GB2312"/>
          <w:kern w:val="2"/>
          <w:sz w:val="32"/>
          <w:szCs w:val="32"/>
        </w:rPr>
        <w:t>主要是</w:t>
      </w:r>
      <w:r>
        <w:rPr>
          <w:rFonts w:hint="eastAsia" w:ascii="仿宋_GB2312" w:hAnsi="仿宋_GB2312" w:eastAsia="仿宋_GB2312" w:cs="仿宋_GB2312"/>
          <w:kern w:val="2"/>
          <w:sz w:val="32"/>
          <w:szCs w:val="32"/>
          <w:lang w:val="en-US" w:eastAsia="zh-CN"/>
        </w:rPr>
        <w:t>由于较2022年减少追加绿化租地相关税费项目。</w:t>
      </w:r>
    </w:p>
    <w:p>
      <w:pPr>
        <w:pStyle w:val="10"/>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pStyle w:val="10"/>
        <w:widowControl/>
        <w:spacing w:beforeAutospacing="0" w:afterAutospacing="0"/>
        <w:jc w:val="both"/>
        <w:outlineLvl w:val="1"/>
        <w:rPr>
          <w:rFonts w:ascii="Times New Roman" w:hAnsi="Times New Roman" w:eastAsia="黑体"/>
          <w:kern w:val="2"/>
          <w:sz w:val="32"/>
          <w:szCs w:val="32"/>
        </w:rPr>
      </w:pP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年度本年收入合计</w:t>
      </w:r>
      <w:r>
        <w:rPr>
          <w:rFonts w:ascii="Times New Roman" w:hAnsi="Times New Roman" w:eastAsia="仿宋_GB2312" w:cs="Times New Roman"/>
          <w:sz w:val="30"/>
          <w:szCs w:val="30"/>
        </w:rPr>
        <w:t>4,022.98</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其中</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财政拨款收入</w:t>
      </w:r>
      <w:r>
        <w:rPr>
          <w:rFonts w:ascii="Times New Roman" w:hAnsi="Times New Roman" w:eastAsia="仿宋_GB2312" w:cs="Times New Roman"/>
          <w:kern w:val="2"/>
          <w:sz w:val="32"/>
          <w:szCs w:val="32"/>
        </w:rPr>
        <w:t>4,022.91</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上级补助收入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事业收入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经营收入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附属单位上缴收入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其他收入</w:t>
      </w:r>
      <w:r>
        <w:rPr>
          <w:rFonts w:ascii="Times New Roman" w:hAnsi="Times New Roman" w:eastAsia="仿宋_GB2312" w:cs="Times New Roman"/>
          <w:kern w:val="2"/>
          <w:sz w:val="32"/>
          <w:szCs w:val="32"/>
        </w:rPr>
        <w:t>0.07</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hint="eastAsia" w:ascii="Times New Roman" w:hAnsi="Times New Roman" w:eastAsia="仿宋_GB2312" w:cs="Times New Roman"/>
          <w:kern w:val="2"/>
          <w:sz w:val="32"/>
          <w:szCs w:val="32"/>
          <w:lang w:val="zh-CN"/>
        </w:rPr>
        <w:t>。</w:t>
      </w:r>
    </w:p>
    <w:p>
      <w:pPr>
        <w:pStyle w:val="10"/>
        <w:widowControl/>
        <w:spacing w:beforeAutospacing="0" w:afterAutospacing="0"/>
        <w:jc w:val="both"/>
        <w:outlineLvl w:val="1"/>
        <w:rPr>
          <w:rFonts w:ascii="Times New Roman" w:hAnsi="Times New Roman" w:eastAsia="黑体"/>
          <w:kern w:val="2"/>
          <w:sz w:val="32"/>
          <w:szCs w:val="32"/>
        </w:rPr>
      </w:pPr>
    </w:p>
    <w:p>
      <w:pPr>
        <w:pStyle w:val="10"/>
        <w:widowControl/>
        <w:spacing w:beforeAutospacing="0" w:afterAutospacing="0"/>
        <w:jc w:val="both"/>
        <w:outlineLvl w:val="1"/>
        <w:rPr>
          <w:rFonts w:ascii="Times New Roman" w:hAnsi="Times New Roman" w:eastAsia="黑体"/>
          <w:kern w:val="2"/>
          <w:sz w:val="32"/>
          <w:szCs w:val="32"/>
        </w:rPr>
      </w:pPr>
    </w:p>
    <w:p>
      <w:pPr>
        <w:pStyle w:val="10"/>
        <w:widowControl/>
        <w:spacing w:beforeAutospacing="0" w:afterAutospacing="0"/>
        <w:jc w:val="both"/>
        <w:outlineLvl w:val="1"/>
        <w:rPr>
          <w:rFonts w:ascii="Times New Roman" w:hAnsi="Times New Roman" w:eastAsia="黑体"/>
          <w:kern w:val="2"/>
          <w:sz w:val="32"/>
          <w:szCs w:val="32"/>
        </w:rPr>
      </w:pPr>
    </w:p>
    <w:p>
      <w:pPr>
        <w:autoSpaceDE w:val="0"/>
        <w:autoSpaceDN w:val="0"/>
        <w:adjustRightInd w:val="0"/>
        <w:jc w:val="center"/>
        <w:rPr>
          <w:rFonts w:hint="eastAsia"/>
          <w:lang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120650</wp:posOffset>
            </wp:positionH>
            <wp:positionV relativeFrom="paragraph">
              <wp:posOffset>81280</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pStyle w:val="10"/>
        <w:widowControl/>
        <w:spacing w:beforeAutospacing="0" w:afterAutospacing="0"/>
        <w:jc w:val="both"/>
        <w:outlineLvl w:val="1"/>
        <w:rPr>
          <w:rFonts w:ascii="Times New Roman" w:hAnsi="Times New Roman" w:eastAsia="黑体"/>
          <w:kern w:val="2"/>
          <w:sz w:val="32"/>
          <w:szCs w:val="32"/>
        </w:rPr>
      </w:pP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hint="eastAsia"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本单位2023年度本年支出合计4,022.98万元，其中：基本支出1,484.6万元，占36.9%；项目支出2,538.38万元，占63.1%；上缴上级支出0万元，占0%；经营支出0万元，占0%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对附属单位补助支出0万元，占0%</w:t>
      </w:r>
      <w:r>
        <w:rPr>
          <w:rFonts w:hint="eastAsia" w:ascii="Times New Roman" w:hAnsi="Times New Roman" w:eastAsia="仿宋_GB2312" w:cs="Times New Roman"/>
          <w:kern w:val="2"/>
          <w:sz w:val="32"/>
          <w:szCs w:val="32"/>
          <w:lang w:val="zh-CN"/>
        </w:rPr>
        <w:t>。</w:t>
      </w:r>
    </w:p>
    <w:p>
      <w:pPr>
        <w:autoSpaceDE w:val="0"/>
        <w:autoSpaceDN w:val="0"/>
        <w:adjustRightInd w:val="0"/>
        <w:spacing w:line="580" w:lineRule="exact"/>
        <w:ind w:firstLine="600"/>
        <w:jc w:val="left"/>
        <w:rPr>
          <w:rFonts w:hint="eastAsia" w:ascii="Times New Roman" w:hAnsi="Times New Roman" w:eastAsia="仿宋_GB2312" w:cs="Times New Roman"/>
          <w:kern w:val="2"/>
          <w:sz w:val="32"/>
          <w:szCs w:val="32"/>
          <w:lang w:val="zh-CN"/>
        </w:rPr>
      </w:pPr>
    </w:p>
    <w:p>
      <w:pPr>
        <w:autoSpaceDE w:val="0"/>
        <w:autoSpaceDN w:val="0"/>
        <w:adjustRightInd w:val="0"/>
        <w:jc w:val="left"/>
        <w:rPr>
          <w:rFonts w:ascii="Times New Roman" w:hAnsi="Times New Roman" w:eastAsia="仿宋_GB2312" w:cs="Times New Roman"/>
          <w:sz w:val="32"/>
          <w:szCs w:val="32"/>
          <w:highlight w:val="yellow"/>
        </w:rPr>
      </w:pPr>
      <w:r>
        <w:rPr>
          <w:rFonts w:ascii="Times New Roman" w:hAnsi="Times New Roman" w:eastAsia="仿宋_GB2312" w:cs="Times New Roman"/>
          <w:sz w:val="32"/>
          <w:szCs w:val="32"/>
          <w:highlight w:val="yellow"/>
        </w:rPr>
        <w:drawing>
          <wp:inline distT="0" distB="0" distL="114300" distR="114300">
            <wp:extent cx="5332095" cy="3329305"/>
            <wp:effectExtent l="4445" t="4445" r="16510" b="1905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utoSpaceDE w:val="0"/>
        <w:autoSpaceDN w:val="0"/>
        <w:adjustRightInd w:val="0"/>
        <w:jc w:val="left"/>
        <w:rPr>
          <w:rFonts w:ascii="Times New Roman" w:hAnsi="Times New Roman" w:eastAsia="仿宋_GB2312" w:cs="Times New Roman"/>
          <w:sz w:val="32"/>
          <w:szCs w:val="32"/>
          <w:highlight w:val="yellow"/>
        </w:rPr>
      </w:pPr>
    </w:p>
    <w:p>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pPr>
        <w:autoSpaceDE w:val="0"/>
        <w:autoSpaceDN w:val="0"/>
        <w:adjustRightInd w:val="0"/>
        <w:spacing w:line="580" w:lineRule="exact"/>
        <w:ind w:firstLine="480" w:firstLineChars="200"/>
        <w:jc w:val="left"/>
        <w:rPr>
          <w:rFonts w:hint="default" w:ascii="Times New Roman" w:hAnsi="Times New Roman" w:eastAsia="仿宋_GB2312" w:cs="Times New Roman"/>
          <w:color w:val="auto"/>
          <w:kern w:val="2"/>
          <w:sz w:val="32"/>
          <w:szCs w:val="32"/>
          <w:lang w:val="zh-CN" w:eastAsia="zh-CN" w:bidi="ar-SA"/>
        </w:rPr>
      </w:pPr>
      <w:r>
        <w:drawing>
          <wp:anchor distT="0" distB="0" distL="114300" distR="114300" simplePos="0" relativeHeight="251668480" behindDoc="0" locked="0" layoutInCell="1" allowOverlap="1">
            <wp:simplePos x="0" y="0"/>
            <wp:positionH relativeFrom="column">
              <wp:posOffset>281305</wp:posOffset>
            </wp:positionH>
            <wp:positionV relativeFrom="paragraph">
              <wp:posOffset>2279650</wp:posOffset>
            </wp:positionV>
            <wp:extent cx="4826000" cy="2743200"/>
            <wp:effectExtent l="4445" t="4445" r="8255" b="14605"/>
            <wp:wrapTopAndBottom/>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年度财政拨款本年收入4,022.91</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en-US" w:eastAsia="zh-CN"/>
        </w:rPr>
        <w:t>减少739.04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en-US" w:eastAsia="zh-CN"/>
        </w:rPr>
        <w:t>降幅为15.52</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rPr>
        <w:t>一般公共预算财政拨款收入</w:t>
      </w:r>
      <w:r>
        <w:rPr>
          <w:rFonts w:hint="eastAsia" w:ascii="仿宋_GB2312" w:hAnsi="Times New Roman" w:eastAsia="仿宋_GB2312" w:cs="仿宋_GB2312"/>
          <w:sz w:val="32"/>
          <w:szCs w:val="32"/>
          <w:lang w:val="en-US" w:eastAsia="zh-CN"/>
        </w:rPr>
        <w:t>及政府性基金预算财政拨款收入减少</w:t>
      </w:r>
      <w:r>
        <w:rPr>
          <w:rFonts w:hint="default" w:ascii="Times New Roman" w:hAnsi="Times New Roman" w:eastAsia="仿宋_GB2312" w:cs="Times New Roman"/>
          <w:color w:val="auto"/>
          <w:kern w:val="2"/>
          <w:sz w:val="32"/>
          <w:szCs w:val="32"/>
          <w:lang w:val="zh-CN" w:eastAsia="zh-CN" w:bidi="ar-SA"/>
        </w:rPr>
        <w:t>；本年支出 4,022.91元，比上年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772.74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en-US" w:eastAsia="zh-CN"/>
        </w:rPr>
        <w:t>降幅为16.11</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_GB2312" w:eastAsia="仿宋_GB2312" w:cs="仿宋_GB2312"/>
          <w:kern w:val="2"/>
          <w:sz w:val="32"/>
          <w:szCs w:val="32"/>
          <w:lang w:val="en-US" w:eastAsia="zh-CN"/>
        </w:rPr>
        <w:t>由于较2022年减少追加绿化租地相关税费项目</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2"/>
          <w:sz w:val="32"/>
          <w:szCs w:val="32"/>
          <w:lang w:val="zh-CN" w:eastAsia="zh-CN" w:bidi="ar-SA"/>
        </w:rPr>
      </w:pPr>
    </w:p>
    <w:p>
      <w:pPr>
        <w:numPr>
          <w:ilvl w:val="0"/>
          <w:numId w:val="2"/>
        </w:num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 xml:space="preserve"> </w:t>
      </w:r>
      <w:r>
        <w:rPr>
          <w:rFonts w:hint="default" w:ascii="Times New Roman" w:hAnsi="Times New Roman" w:eastAsia="仿宋_GB2312" w:cs="Times New Roman"/>
          <w:kern w:val="2"/>
          <w:sz w:val="32"/>
          <w:szCs w:val="32"/>
          <w:lang w:val="zh-CN"/>
        </w:rPr>
        <w:t>一般公共预算财政拨款本年收入4,001.31</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en-US" w:eastAsia="zh-CN"/>
        </w:rPr>
        <w:t>减少674.54</w:t>
      </w:r>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降幅为14.43</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w:t>
      </w:r>
      <w:r>
        <w:rPr>
          <w:rFonts w:hint="eastAsia" w:ascii="仿宋_GB2312" w:hAnsi="仿宋_GB2312" w:eastAsia="仿宋_GB2312" w:cs="仿宋_GB2312"/>
          <w:kern w:val="2"/>
          <w:sz w:val="32"/>
          <w:szCs w:val="32"/>
          <w:lang w:val="en-US" w:eastAsia="zh-CN"/>
        </w:rPr>
        <w:t>较2022年减少追加绿化租地相关税费项目</w:t>
      </w:r>
      <w:r>
        <w:rPr>
          <w:rFonts w:hint="default" w:ascii="Times New Roman" w:hAnsi="Times New Roman" w:eastAsia="仿宋_GB2312" w:cs="Times New Roman"/>
          <w:kern w:val="2"/>
          <w:sz w:val="32"/>
          <w:szCs w:val="32"/>
          <w:lang w:val="zh-CN"/>
        </w:rPr>
        <w:t>；本年支出 4,001.31</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en-US" w:eastAsia="zh-CN"/>
        </w:rPr>
        <w:t>减少708.24</w:t>
      </w:r>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降幅为15.04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w:t>
      </w:r>
      <w:r>
        <w:rPr>
          <w:rFonts w:hint="eastAsia" w:ascii="仿宋_GB2312" w:hAnsi="仿宋_GB2312" w:eastAsia="仿宋_GB2312" w:cs="仿宋_GB2312"/>
          <w:kern w:val="2"/>
          <w:sz w:val="32"/>
          <w:szCs w:val="32"/>
          <w:lang w:val="en-US" w:eastAsia="zh-CN"/>
        </w:rPr>
        <w:t>较2022年减少追加绿化租地相关税费项目</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480" w:firstLineChars="200"/>
        <w:jc w:val="left"/>
        <w:rPr>
          <w:rFonts w:ascii="Times New Roman" w:hAnsi="Times New Roman" w:eastAsia="仿宋_GB2312" w:cs="Times New Roman"/>
          <w:kern w:val="2"/>
          <w:sz w:val="32"/>
          <w:szCs w:val="32"/>
          <w:lang w:val="zh-CN"/>
        </w:rPr>
      </w:pPr>
      <w:r>
        <w:drawing>
          <wp:anchor distT="0" distB="0" distL="114300" distR="114300" simplePos="0" relativeHeight="251669504" behindDoc="0" locked="0" layoutInCell="1" allowOverlap="1">
            <wp:simplePos x="0" y="0"/>
            <wp:positionH relativeFrom="column">
              <wp:posOffset>454025</wp:posOffset>
            </wp:positionH>
            <wp:positionV relativeFrom="paragraph">
              <wp:posOffset>153670</wp:posOffset>
            </wp:positionV>
            <wp:extent cx="4826000" cy="3000375"/>
            <wp:effectExtent l="4445" t="4445" r="8255" b="5080"/>
            <wp:wrapTopAndBottom/>
            <wp:docPr id="1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numPr>
          <w:ilvl w:val="0"/>
          <w:numId w:val="2"/>
        </w:numPr>
        <w:autoSpaceDE w:val="0"/>
        <w:autoSpaceDN w:val="0"/>
        <w:adjustRightInd w:val="0"/>
        <w:spacing w:line="580" w:lineRule="exact"/>
        <w:ind w:left="0" w:leftChars="0"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政府性基金预算财政拨款本年收入21.6</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en-US" w:eastAsia="zh-CN"/>
        </w:rPr>
        <w:t>减少64.5</w:t>
      </w:r>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降幅为74.91</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主要原因是治理国、省干道沿线区域私搭乱建、违建专项经费</w:t>
      </w:r>
      <w:r>
        <w:rPr>
          <w:rFonts w:hint="eastAsia" w:ascii="Times New Roman" w:hAnsi="Times New Roman" w:eastAsia="仿宋_GB2312" w:cs="Times New Roman"/>
          <w:kern w:val="2"/>
          <w:sz w:val="32"/>
          <w:szCs w:val="32"/>
          <w:lang w:val="en-US" w:eastAsia="zh-CN"/>
        </w:rPr>
        <w:t>等政府性基金项目减少</w:t>
      </w:r>
      <w:r>
        <w:rPr>
          <w:rFonts w:hint="default" w:ascii="Times New Roman" w:hAnsi="Times New Roman" w:eastAsia="仿宋_GB2312" w:cs="Times New Roman"/>
          <w:kern w:val="2"/>
          <w:sz w:val="32"/>
          <w:szCs w:val="32"/>
          <w:lang w:val="zh-CN"/>
        </w:rPr>
        <w:t>；本年支出 21.6</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en-US" w:eastAsia="zh-CN"/>
        </w:rPr>
        <w:t>减少64.5</w:t>
      </w:r>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降幅为74.91</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主要是治理国、省干道沿线区域私搭乱建、违建专项经费</w:t>
      </w:r>
      <w:r>
        <w:rPr>
          <w:rFonts w:hint="eastAsia" w:ascii="Times New Roman" w:hAnsi="Times New Roman" w:eastAsia="仿宋_GB2312" w:cs="Times New Roman"/>
          <w:kern w:val="2"/>
          <w:sz w:val="32"/>
          <w:szCs w:val="32"/>
          <w:lang w:val="en-US" w:eastAsia="zh-CN"/>
        </w:rPr>
        <w:t>等政府性基金项目减少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480" w:firstLineChars="200"/>
        <w:jc w:val="left"/>
        <w:rPr>
          <w:rFonts w:hint="default" w:ascii="Times New Roman" w:hAnsi="Times New Roman" w:eastAsia="仿宋_GB2312" w:cs="Times New Roman"/>
          <w:kern w:val="2"/>
          <w:sz w:val="32"/>
          <w:szCs w:val="32"/>
          <w:lang w:val="zh-CN"/>
        </w:rPr>
      </w:pPr>
      <w:r>
        <w:drawing>
          <wp:anchor distT="0" distB="0" distL="114300" distR="114300" simplePos="0" relativeHeight="251670528" behindDoc="0" locked="0" layoutInCell="1" allowOverlap="1">
            <wp:simplePos x="0" y="0"/>
            <wp:positionH relativeFrom="column">
              <wp:posOffset>312420</wp:posOffset>
            </wp:positionH>
            <wp:positionV relativeFrom="page">
              <wp:posOffset>852170</wp:posOffset>
            </wp:positionV>
            <wp:extent cx="4901565" cy="2417445"/>
            <wp:effectExtent l="4445" t="4445" r="8890" b="16510"/>
            <wp:wrapSquare wrapText="bothSides"/>
            <wp:docPr id="1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ascii="Times New Roman" w:hAnsi="Times New Roman" w:eastAsia="仿宋_GB2312" w:cs="Times New Roman"/>
          <w:kern w:val="2"/>
          <w:sz w:val="32"/>
          <w:szCs w:val="32"/>
        </w:rPr>
        <w:t xml:space="preserve">3. </w:t>
      </w:r>
      <w:r>
        <w:rPr>
          <w:rFonts w:hint="default" w:ascii="Times New Roman" w:hAnsi="Times New Roman" w:eastAsia="仿宋_GB2312" w:cs="Times New Roman"/>
          <w:kern w:val="2"/>
          <w:sz w:val="32"/>
          <w:szCs w:val="32"/>
          <w:lang w:val="zh-CN"/>
        </w:rPr>
        <w:t>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仿宋_GB2312" w:hAnsi="Times New Roman" w:eastAsia="仿宋_GB2312" w:cs="仿宋_GB2312"/>
          <w:sz w:val="32"/>
          <w:szCs w:val="32"/>
          <w:lang w:val="en-US"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val="en-US" w:eastAsia="zh-CN"/>
        </w:rPr>
        <w:t>相比无变化</w:t>
      </w:r>
      <w:r>
        <w:rPr>
          <w:rFonts w:hint="eastAsia" w:ascii="仿宋_GB2312" w:hAnsi="Times New Roman" w:eastAsia="仿宋_GB2312" w:cs="仿宋_GB2312"/>
          <w:sz w:val="32"/>
          <w:szCs w:val="32"/>
        </w:rPr>
        <w:t>，主要原因是</w:t>
      </w:r>
      <w:r>
        <w:rPr>
          <w:rFonts w:ascii="仿宋" w:hAnsi="仿宋" w:eastAsia="仿宋" w:cs="仿宋"/>
          <w:spacing w:val="-4"/>
          <w:sz w:val="31"/>
          <w:szCs w:val="31"/>
        </w:rPr>
        <w:t>202</w:t>
      </w:r>
      <w:r>
        <w:rPr>
          <w:rFonts w:hint="eastAsia" w:ascii="仿宋" w:hAnsi="仿宋" w:eastAsia="仿宋" w:cs="仿宋"/>
          <w:spacing w:val="-4"/>
          <w:sz w:val="31"/>
          <w:szCs w:val="31"/>
          <w:lang w:val="en-US" w:eastAsia="zh-CN"/>
        </w:rPr>
        <w:t>1</w:t>
      </w:r>
      <w:r>
        <w:rPr>
          <w:rFonts w:ascii="仿宋" w:hAnsi="仿宋" w:eastAsia="仿宋" w:cs="仿宋"/>
          <w:spacing w:val="-4"/>
          <w:sz w:val="31"/>
          <w:szCs w:val="31"/>
        </w:rPr>
        <w:t>年</w:t>
      </w:r>
      <w:r>
        <w:rPr>
          <w:rFonts w:hint="eastAsia" w:ascii="仿宋" w:hAnsi="仿宋" w:eastAsia="仿宋" w:cs="仿宋"/>
          <w:spacing w:val="-4"/>
          <w:sz w:val="31"/>
          <w:szCs w:val="31"/>
          <w:lang w:val="en-US" w:eastAsia="zh-CN"/>
        </w:rPr>
        <w:t>度</w:t>
      </w:r>
      <w:r>
        <w:rPr>
          <w:rFonts w:ascii="仿宋" w:hAnsi="仿宋" w:eastAsia="仿宋" w:cs="仿宋"/>
          <w:spacing w:val="-4"/>
          <w:sz w:val="31"/>
          <w:szCs w:val="31"/>
        </w:rPr>
        <w:t>、202</w:t>
      </w:r>
      <w:r>
        <w:rPr>
          <w:rFonts w:hint="eastAsia" w:ascii="仿宋" w:hAnsi="仿宋" w:eastAsia="仿宋" w:cs="仿宋"/>
          <w:spacing w:val="-4"/>
          <w:sz w:val="31"/>
          <w:szCs w:val="31"/>
          <w:lang w:val="en-US" w:eastAsia="zh-CN"/>
        </w:rPr>
        <w:t>2</w:t>
      </w:r>
      <w:r>
        <w:rPr>
          <w:rFonts w:ascii="仿宋" w:hAnsi="仿宋" w:eastAsia="仿宋" w:cs="仿宋"/>
          <w:spacing w:val="-4"/>
          <w:sz w:val="31"/>
          <w:szCs w:val="31"/>
        </w:rPr>
        <w:t>年</w:t>
      </w:r>
      <w:r>
        <w:rPr>
          <w:rFonts w:hint="eastAsia" w:ascii="仿宋" w:hAnsi="仿宋" w:eastAsia="仿宋" w:cs="仿宋"/>
          <w:spacing w:val="-4"/>
          <w:sz w:val="31"/>
          <w:szCs w:val="31"/>
          <w:lang w:val="en-US" w:eastAsia="zh-CN"/>
        </w:rPr>
        <w:t>度</w:t>
      </w:r>
      <w:r>
        <w:rPr>
          <w:rFonts w:ascii="仿宋" w:hAnsi="仿宋" w:eastAsia="仿宋" w:cs="仿宋"/>
          <w:spacing w:val="-4"/>
          <w:sz w:val="31"/>
          <w:szCs w:val="31"/>
        </w:rPr>
        <w:t>均无国有资</w:t>
      </w:r>
      <w:r>
        <w:rPr>
          <w:rFonts w:ascii="仿宋" w:hAnsi="仿宋" w:eastAsia="仿宋" w:cs="仿宋"/>
          <w:spacing w:val="-1"/>
          <w:sz w:val="31"/>
          <w:szCs w:val="31"/>
        </w:rPr>
        <w:t>本经营预算财</w:t>
      </w:r>
      <w:r>
        <w:rPr>
          <w:rFonts w:ascii="仿宋" w:hAnsi="仿宋" w:eastAsia="仿宋" w:cs="仿宋"/>
          <w:sz w:val="31"/>
          <w:szCs w:val="31"/>
        </w:rPr>
        <w:t>政拨款收入</w:t>
      </w:r>
      <w:r>
        <w:rPr>
          <w:rFonts w:hint="eastAsia" w:ascii="仿宋_GB2312" w:hAnsi="Times New Roman" w:eastAsia="仿宋_GB2312" w:cs="仿宋_GB2312"/>
          <w:sz w:val="32"/>
          <w:szCs w:val="32"/>
        </w:rPr>
        <w:t>；</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仿宋_GB2312" w:hAnsi="Times New Roman" w:eastAsia="仿宋_GB2312" w:cs="仿宋_GB2312"/>
          <w:sz w:val="32"/>
          <w:szCs w:val="32"/>
          <w:lang w:val="en-US"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val="en-US" w:eastAsia="zh-CN"/>
        </w:rPr>
        <w:t>相比无变化</w:t>
      </w:r>
      <w:r>
        <w:rPr>
          <w:rFonts w:hint="eastAsia" w:ascii="仿宋_GB2312" w:hAnsi="Times New Roman" w:eastAsia="仿宋_GB2312" w:cs="仿宋_GB2312"/>
          <w:sz w:val="32"/>
          <w:szCs w:val="32"/>
        </w:rPr>
        <w:t>，主要原因是</w:t>
      </w:r>
      <w:r>
        <w:rPr>
          <w:rFonts w:ascii="仿宋" w:hAnsi="仿宋" w:eastAsia="仿宋" w:cs="仿宋"/>
          <w:spacing w:val="-4"/>
          <w:sz w:val="31"/>
          <w:szCs w:val="31"/>
        </w:rPr>
        <w:t>202</w:t>
      </w:r>
      <w:r>
        <w:rPr>
          <w:rFonts w:hint="eastAsia" w:ascii="仿宋" w:hAnsi="仿宋" w:eastAsia="仿宋" w:cs="仿宋"/>
          <w:spacing w:val="-4"/>
          <w:sz w:val="31"/>
          <w:szCs w:val="31"/>
          <w:lang w:val="en-US" w:eastAsia="zh-CN"/>
        </w:rPr>
        <w:t>1</w:t>
      </w:r>
      <w:r>
        <w:rPr>
          <w:rFonts w:ascii="仿宋" w:hAnsi="仿宋" w:eastAsia="仿宋" w:cs="仿宋"/>
          <w:spacing w:val="-4"/>
          <w:sz w:val="31"/>
          <w:szCs w:val="31"/>
        </w:rPr>
        <w:t>年</w:t>
      </w:r>
      <w:r>
        <w:rPr>
          <w:rFonts w:hint="eastAsia" w:ascii="仿宋" w:hAnsi="仿宋" w:eastAsia="仿宋" w:cs="仿宋"/>
          <w:spacing w:val="-4"/>
          <w:sz w:val="31"/>
          <w:szCs w:val="31"/>
          <w:lang w:val="en-US" w:eastAsia="zh-CN"/>
        </w:rPr>
        <w:t>度</w:t>
      </w:r>
      <w:r>
        <w:rPr>
          <w:rFonts w:ascii="仿宋" w:hAnsi="仿宋" w:eastAsia="仿宋" w:cs="仿宋"/>
          <w:spacing w:val="-4"/>
          <w:sz w:val="31"/>
          <w:szCs w:val="31"/>
        </w:rPr>
        <w:t>、202</w:t>
      </w:r>
      <w:r>
        <w:rPr>
          <w:rFonts w:hint="eastAsia" w:ascii="仿宋" w:hAnsi="仿宋" w:eastAsia="仿宋" w:cs="仿宋"/>
          <w:spacing w:val="-4"/>
          <w:sz w:val="31"/>
          <w:szCs w:val="31"/>
          <w:lang w:val="en-US" w:eastAsia="zh-CN"/>
        </w:rPr>
        <w:t>2</w:t>
      </w:r>
      <w:r>
        <w:rPr>
          <w:rFonts w:ascii="仿宋" w:hAnsi="仿宋" w:eastAsia="仿宋" w:cs="仿宋"/>
          <w:spacing w:val="-4"/>
          <w:sz w:val="31"/>
          <w:szCs w:val="31"/>
        </w:rPr>
        <w:t>年</w:t>
      </w:r>
      <w:r>
        <w:rPr>
          <w:rFonts w:hint="eastAsia" w:ascii="仿宋" w:hAnsi="仿宋" w:eastAsia="仿宋" w:cs="仿宋"/>
          <w:spacing w:val="-4"/>
          <w:sz w:val="31"/>
          <w:szCs w:val="31"/>
          <w:lang w:val="en-US" w:eastAsia="zh-CN"/>
        </w:rPr>
        <w:t>度</w:t>
      </w:r>
      <w:r>
        <w:rPr>
          <w:rFonts w:ascii="仿宋" w:hAnsi="仿宋" w:eastAsia="仿宋" w:cs="仿宋"/>
          <w:spacing w:val="-4"/>
          <w:sz w:val="31"/>
          <w:szCs w:val="31"/>
        </w:rPr>
        <w:t>均无国有资</w:t>
      </w:r>
      <w:r>
        <w:rPr>
          <w:rFonts w:ascii="仿宋" w:hAnsi="仿宋" w:eastAsia="仿宋" w:cs="仿宋"/>
          <w:spacing w:val="-1"/>
          <w:sz w:val="31"/>
          <w:szCs w:val="31"/>
        </w:rPr>
        <w:t>本经营预算财</w:t>
      </w:r>
      <w:r>
        <w:rPr>
          <w:rFonts w:ascii="仿宋" w:hAnsi="仿宋" w:eastAsia="仿宋" w:cs="仿宋"/>
          <w:sz w:val="31"/>
          <w:szCs w:val="31"/>
        </w:rPr>
        <w:t>政拨款</w:t>
      </w:r>
      <w:r>
        <w:rPr>
          <w:rFonts w:hint="eastAsia" w:ascii="仿宋" w:hAnsi="仿宋" w:eastAsia="仿宋" w:cs="仿宋"/>
          <w:sz w:val="31"/>
          <w:szCs w:val="31"/>
          <w:lang w:val="en-US" w:eastAsia="zh-CN"/>
        </w:rPr>
        <w:t>支出</w:t>
      </w:r>
      <w:r>
        <w:rPr>
          <w:rFonts w:hint="eastAsia" w:ascii="仿宋_GB2312" w:hAnsi="Times New Roman" w:eastAsia="仿宋_GB2312" w:cs="仿宋_GB2312"/>
          <w:sz w:val="32"/>
          <w:szCs w:val="32"/>
        </w:rPr>
        <w:t>。</w:t>
      </w:r>
    </w:p>
    <w:p>
      <w:pPr>
        <w:pStyle w:val="10"/>
        <w:widowControl/>
        <w:spacing w:beforeAutospacing="0" w:afterAutospacing="0"/>
        <w:rPr>
          <w:rFonts w:ascii="Times New Roman" w:hAnsi="Times New Roman" w:eastAsia="仿宋_GB2312"/>
          <w:sz w:val="32"/>
          <w:szCs w:val="32"/>
          <w:highlight w:val="yellow"/>
        </w:rPr>
      </w:pPr>
    </w:p>
    <w:p>
      <w:pPr>
        <w:pStyle w:val="10"/>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5240" b="1714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snapToGrid w:val="0"/>
        <w:spacing w:line="580" w:lineRule="exact"/>
        <w:rPr>
          <w:rFonts w:ascii="Times New Roman" w:hAnsi="Times New Roman" w:eastAsia="楷体_GB2312" w:cs="Times New Roman"/>
          <w:b/>
          <w:bCs/>
          <w:kern w:val="2"/>
          <w:sz w:val="32"/>
          <w:szCs w:val="32"/>
        </w:rPr>
      </w:pPr>
    </w:p>
    <w:p>
      <w:pPr>
        <w:snapToGrid w:val="0"/>
        <w:spacing w:line="580" w:lineRule="exact"/>
        <w:rPr>
          <w:rFonts w:ascii="Times New Roman" w:hAnsi="Times New Roman" w:eastAsia="楷体_GB2312" w:cs="Times New Roman"/>
          <w:b/>
          <w:bCs/>
          <w:kern w:val="2"/>
          <w:sz w:val="32"/>
          <w:szCs w:val="32"/>
        </w:rPr>
      </w:pPr>
    </w:p>
    <w:p>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480" w:firstLineChars="200"/>
        <w:jc w:val="left"/>
        <w:rPr>
          <w:rFonts w:hint="default" w:ascii="Times New Roman" w:hAnsi="Times New Roman" w:eastAsia="仿宋_GB2312" w:cs="Times New Roman"/>
          <w:kern w:val="2"/>
          <w:sz w:val="32"/>
          <w:szCs w:val="32"/>
          <w:lang w:val="zh-CN"/>
        </w:rPr>
      </w:pPr>
      <w:r>
        <w:drawing>
          <wp:anchor distT="0" distB="0" distL="114300" distR="114300" simplePos="0" relativeHeight="251671552" behindDoc="0" locked="0" layoutInCell="1" allowOverlap="1">
            <wp:simplePos x="0" y="0"/>
            <wp:positionH relativeFrom="column">
              <wp:posOffset>255270</wp:posOffset>
            </wp:positionH>
            <wp:positionV relativeFrom="paragraph">
              <wp:posOffset>2705100</wp:posOffset>
            </wp:positionV>
            <wp:extent cx="4826000" cy="2743200"/>
            <wp:effectExtent l="4445" t="4445" r="8255" b="14605"/>
            <wp:wrapTopAndBottom/>
            <wp:docPr id="2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年度财政拨款本年收入4,022.91万元，完成年初预算的108.63%，比年初预算</w:t>
      </w:r>
      <w:r>
        <w:rPr>
          <w:rFonts w:hint="eastAsia" w:ascii="Times New Roman" w:hAnsi="Times New Roman" w:eastAsia="仿宋_GB2312" w:cs="Times New Roman"/>
          <w:sz w:val="30"/>
          <w:szCs w:val="30"/>
          <w:highlight w:val="none"/>
          <w:lang w:val="zh-CN"/>
        </w:rPr>
        <w:t>增加319.46万元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Times New Roman" w:hAnsi="Times New Roman" w:eastAsia="仿宋_GB2312" w:cs="Times New Roman"/>
          <w:color w:val="auto"/>
          <w:kern w:val="2"/>
          <w:sz w:val="32"/>
          <w:szCs w:val="32"/>
          <w:lang w:val="en-US" w:eastAsia="zh-CN" w:bidi="ar-SA"/>
        </w:rPr>
        <w:t>追加</w:t>
      </w:r>
      <w:r>
        <w:rPr>
          <w:rFonts w:hint="default" w:ascii="Times New Roman" w:hAnsi="Times New Roman" w:eastAsia="仿宋_GB2312" w:cs="Times New Roman"/>
          <w:color w:val="auto"/>
          <w:kern w:val="2"/>
          <w:sz w:val="32"/>
          <w:szCs w:val="32"/>
          <w:lang w:val="zh-CN" w:eastAsia="zh-CN" w:bidi="ar-SA"/>
        </w:rPr>
        <w:t>农村生活垃圾清理资金</w:t>
      </w:r>
      <w:r>
        <w:rPr>
          <w:rFonts w:hint="eastAsia" w:ascii="Times New Roman" w:hAnsi="Times New Roman" w:eastAsia="仿宋_GB2312" w:cs="Times New Roman"/>
          <w:color w:val="auto"/>
          <w:kern w:val="2"/>
          <w:sz w:val="32"/>
          <w:szCs w:val="32"/>
          <w:lang w:val="zh-CN" w:eastAsia="zh-CN" w:bidi="ar-SA"/>
        </w:rPr>
        <w:t>、大河物流周边整治提升</w:t>
      </w:r>
      <w:r>
        <w:rPr>
          <w:rFonts w:hint="eastAsia" w:ascii="Times New Roman" w:hAnsi="Times New Roman" w:eastAsia="仿宋_GB2312" w:cs="Times New Roman"/>
          <w:color w:val="auto"/>
          <w:kern w:val="2"/>
          <w:sz w:val="32"/>
          <w:szCs w:val="32"/>
          <w:lang w:val="en-US" w:eastAsia="zh-CN" w:bidi="ar-SA"/>
        </w:rPr>
        <w:t>等项目</w:t>
      </w:r>
      <w:r>
        <w:rPr>
          <w:rFonts w:hint="default" w:ascii="Times New Roman" w:hAnsi="Times New Roman" w:eastAsia="仿宋_GB2312" w:cs="Times New Roman"/>
          <w:color w:val="auto"/>
          <w:kern w:val="2"/>
          <w:sz w:val="32"/>
          <w:szCs w:val="32"/>
          <w:lang w:val="zh-CN" w:eastAsia="zh-CN" w:bidi="ar-SA"/>
        </w:rPr>
        <w:t>；本年支出4,022.91万元，完成年初预算的108.63%，比年初预算</w:t>
      </w:r>
      <w:r>
        <w:rPr>
          <w:rFonts w:hint="eastAsia" w:ascii="Times New Roman" w:hAnsi="Times New Roman" w:eastAsia="仿宋_GB2312" w:cs="Times New Roman"/>
          <w:sz w:val="30"/>
          <w:szCs w:val="30"/>
          <w:highlight w:val="none"/>
          <w:lang w:val="zh-CN"/>
        </w:rPr>
        <w:t>增加319.46万元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Times New Roman" w:hAnsi="Times New Roman" w:eastAsia="仿宋_GB2312" w:cs="Times New Roman"/>
          <w:color w:val="auto"/>
          <w:kern w:val="2"/>
          <w:sz w:val="32"/>
          <w:szCs w:val="32"/>
          <w:lang w:val="en-US" w:eastAsia="zh-CN" w:bidi="ar-SA"/>
        </w:rPr>
        <w:t>追加</w:t>
      </w:r>
      <w:r>
        <w:rPr>
          <w:rFonts w:hint="default" w:ascii="Times New Roman" w:hAnsi="Times New Roman" w:eastAsia="仿宋_GB2312" w:cs="Times New Roman"/>
          <w:color w:val="auto"/>
          <w:kern w:val="2"/>
          <w:sz w:val="32"/>
          <w:szCs w:val="32"/>
          <w:lang w:val="zh-CN" w:eastAsia="zh-CN" w:bidi="ar-SA"/>
        </w:rPr>
        <w:t>农村生活垃圾清理资金</w:t>
      </w:r>
      <w:r>
        <w:rPr>
          <w:rFonts w:hint="eastAsia" w:ascii="Times New Roman" w:hAnsi="Times New Roman" w:eastAsia="仿宋_GB2312" w:cs="Times New Roman"/>
          <w:color w:val="auto"/>
          <w:kern w:val="2"/>
          <w:sz w:val="32"/>
          <w:szCs w:val="32"/>
          <w:lang w:val="zh-CN" w:eastAsia="zh-CN" w:bidi="ar-SA"/>
        </w:rPr>
        <w:t>、大河物流周边整治提升</w:t>
      </w:r>
      <w:r>
        <w:rPr>
          <w:rFonts w:hint="eastAsia" w:ascii="Times New Roman" w:hAnsi="Times New Roman" w:eastAsia="仿宋_GB2312" w:cs="Times New Roman"/>
          <w:color w:val="auto"/>
          <w:kern w:val="2"/>
          <w:sz w:val="32"/>
          <w:szCs w:val="32"/>
          <w:lang w:val="en-US" w:eastAsia="zh-CN" w:bidi="ar-SA"/>
        </w:rPr>
        <w:t>等项目</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p>
    <w:p>
      <w:pPr>
        <w:numPr>
          <w:ilvl w:val="0"/>
          <w:numId w:val="3"/>
        </w:num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收入4,001.31万元，完成年初预算的 114.66%，比年初预算</w:t>
      </w:r>
      <w:r>
        <w:rPr>
          <w:rFonts w:hint="eastAsia" w:ascii="Times New Roman" w:hAnsi="Times New Roman" w:eastAsia="仿宋_GB2312" w:cs="Times New Roman"/>
          <w:sz w:val="30"/>
          <w:szCs w:val="30"/>
          <w:highlight w:val="none"/>
          <w:lang w:val="zh-CN"/>
        </w:rPr>
        <w:t>增加511.61万元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en-US" w:eastAsia="zh-CN" w:bidi="ar-SA"/>
        </w:rPr>
        <w:t>追加</w:t>
      </w:r>
      <w:r>
        <w:rPr>
          <w:rFonts w:hint="default" w:ascii="Times New Roman" w:hAnsi="Times New Roman" w:eastAsia="仿宋_GB2312" w:cs="Times New Roman"/>
          <w:color w:val="auto"/>
          <w:kern w:val="2"/>
          <w:sz w:val="32"/>
          <w:szCs w:val="32"/>
          <w:lang w:val="zh-CN" w:eastAsia="zh-CN" w:bidi="ar-SA"/>
        </w:rPr>
        <w:t>农村生活垃圾清理资金</w:t>
      </w:r>
      <w:r>
        <w:rPr>
          <w:rFonts w:hint="eastAsia" w:ascii="Times New Roman" w:hAnsi="Times New Roman" w:eastAsia="仿宋_GB2312" w:cs="Times New Roman"/>
          <w:color w:val="auto"/>
          <w:kern w:val="2"/>
          <w:sz w:val="32"/>
          <w:szCs w:val="32"/>
          <w:lang w:val="zh-CN" w:eastAsia="zh-CN" w:bidi="ar-SA"/>
        </w:rPr>
        <w:t>、大河物流周边整治提升</w:t>
      </w:r>
      <w:r>
        <w:rPr>
          <w:rFonts w:hint="eastAsia" w:ascii="Times New Roman" w:hAnsi="Times New Roman" w:eastAsia="仿宋_GB2312" w:cs="Times New Roman"/>
          <w:color w:val="auto"/>
          <w:kern w:val="2"/>
          <w:sz w:val="32"/>
          <w:szCs w:val="32"/>
          <w:lang w:val="en-US" w:eastAsia="zh-CN" w:bidi="ar-SA"/>
        </w:rPr>
        <w:t>等项目</w:t>
      </w:r>
      <w:r>
        <w:rPr>
          <w:rFonts w:hint="default" w:ascii="Times New Roman" w:hAnsi="Times New Roman" w:eastAsia="仿宋_GB2312" w:cs="Times New Roman"/>
          <w:kern w:val="2"/>
          <w:sz w:val="32"/>
          <w:szCs w:val="32"/>
          <w:lang w:val="zh-CN"/>
        </w:rPr>
        <w:t>；本年支出4,001.31万元，完成年初预算的114.66%，比年初预算</w:t>
      </w:r>
      <w:r>
        <w:rPr>
          <w:rFonts w:hint="eastAsia" w:ascii="Times New Roman" w:hAnsi="Times New Roman" w:eastAsia="仿宋_GB2312" w:cs="Times New Roman"/>
          <w:sz w:val="30"/>
          <w:szCs w:val="30"/>
          <w:highlight w:val="none"/>
          <w:lang w:val="zh-CN"/>
        </w:rPr>
        <w:t>增加511.61万元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color w:val="auto"/>
          <w:kern w:val="2"/>
          <w:sz w:val="32"/>
          <w:szCs w:val="32"/>
          <w:lang w:val="en-US" w:eastAsia="zh-CN" w:bidi="ar-SA"/>
        </w:rPr>
        <w:t>追加</w:t>
      </w:r>
      <w:r>
        <w:rPr>
          <w:rFonts w:hint="default" w:ascii="Times New Roman" w:hAnsi="Times New Roman" w:eastAsia="仿宋_GB2312" w:cs="Times New Roman"/>
          <w:color w:val="auto"/>
          <w:kern w:val="2"/>
          <w:sz w:val="32"/>
          <w:szCs w:val="32"/>
          <w:lang w:val="zh-CN" w:eastAsia="zh-CN" w:bidi="ar-SA"/>
        </w:rPr>
        <w:t>农村生活垃圾清理资金</w:t>
      </w:r>
      <w:r>
        <w:rPr>
          <w:rFonts w:hint="eastAsia" w:ascii="Times New Roman" w:hAnsi="Times New Roman" w:eastAsia="仿宋_GB2312" w:cs="Times New Roman"/>
          <w:color w:val="auto"/>
          <w:kern w:val="2"/>
          <w:sz w:val="32"/>
          <w:szCs w:val="32"/>
          <w:lang w:val="zh-CN" w:eastAsia="zh-CN" w:bidi="ar-SA"/>
        </w:rPr>
        <w:t>、大河物流周边整治提升</w:t>
      </w:r>
      <w:r>
        <w:rPr>
          <w:rFonts w:hint="eastAsia" w:ascii="Times New Roman" w:hAnsi="Times New Roman" w:eastAsia="仿宋_GB2312" w:cs="Times New Roman"/>
          <w:color w:val="auto"/>
          <w:kern w:val="2"/>
          <w:sz w:val="32"/>
          <w:szCs w:val="32"/>
          <w:lang w:val="en-US" w:eastAsia="zh-CN" w:bidi="ar-SA"/>
        </w:rPr>
        <w:t>等项目</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480" w:firstLineChars="200"/>
        <w:jc w:val="left"/>
        <w:rPr>
          <w:rFonts w:ascii="Times New Roman" w:hAnsi="Times New Roman" w:eastAsia="仿宋_GB2312" w:cs="Times New Roman"/>
          <w:kern w:val="2"/>
          <w:sz w:val="32"/>
          <w:szCs w:val="32"/>
          <w:lang w:val="zh-CN"/>
        </w:rPr>
      </w:pPr>
      <w:r>
        <w:drawing>
          <wp:anchor distT="0" distB="0" distL="114300" distR="114300" simplePos="0" relativeHeight="251672576" behindDoc="0" locked="0" layoutInCell="1" allowOverlap="1">
            <wp:simplePos x="0" y="0"/>
            <wp:positionH relativeFrom="column">
              <wp:posOffset>303530</wp:posOffset>
            </wp:positionH>
            <wp:positionV relativeFrom="page">
              <wp:posOffset>461645</wp:posOffset>
            </wp:positionV>
            <wp:extent cx="4826000" cy="2743200"/>
            <wp:effectExtent l="4445" t="4445" r="8255" b="14605"/>
            <wp:wrapTopAndBottom/>
            <wp:docPr id="2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numPr>
          <w:ilvl w:val="0"/>
          <w:numId w:val="3"/>
        </w:numPr>
        <w:autoSpaceDE w:val="0"/>
        <w:autoSpaceDN w:val="0"/>
        <w:adjustRightInd w:val="0"/>
        <w:spacing w:line="580" w:lineRule="exact"/>
        <w:ind w:left="0" w:leftChars="0" w:firstLine="480" w:firstLineChars="200"/>
        <w:jc w:val="left"/>
        <w:rPr>
          <w:rFonts w:hint="default" w:ascii="Times New Roman" w:hAnsi="Times New Roman" w:eastAsia="仿宋_GB2312" w:cs="Times New Roman"/>
          <w:kern w:val="2"/>
          <w:sz w:val="32"/>
          <w:szCs w:val="32"/>
          <w:lang w:val="zh-CN"/>
        </w:rPr>
      </w:pPr>
      <w:r>
        <w:drawing>
          <wp:anchor distT="0" distB="0" distL="114300" distR="114300" simplePos="0" relativeHeight="251673600" behindDoc="0" locked="0" layoutInCell="1" allowOverlap="1">
            <wp:simplePos x="0" y="0"/>
            <wp:positionH relativeFrom="column">
              <wp:posOffset>325120</wp:posOffset>
            </wp:positionH>
            <wp:positionV relativeFrom="paragraph">
              <wp:posOffset>2892425</wp:posOffset>
            </wp:positionV>
            <wp:extent cx="4826000" cy="2743200"/>
            <wp:effectExtent l="4445" t="4445" r="8255" b="14605"/>
            <wp:wrapTopAndBottom/>
            <wp:docPr id="1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hint="default" w:ascii="Times New Roman" w:hAnsi="Times New Roman" w:eastAsia="仿宋_GB2312" w:cs="Times New Roman"/>
          <w:kern w:val="2"/>
          <w:sz w:val="32"/>
          <w:szCs w:val="32"/>
          <w:lang w:val="zh-CN"/>
        </w:rPr>
        <w:t>政府性基金预算财政拨款本年收入21.6万元，完成年初预算的10.11%，比年初预算</w:t>
      </w:r>
      <w:r>
        <w:rPr>
          <w:rFonts w:hint="eastAsia" w:ascii="Times New Roman" w:hAnsi="Times New Roman" w:eastAsia="仿宋_GB2312" w:cs="Times New Roman"/>
          <w:sz w:val="30"/>
          <w:szCs w:val="30"/>
          <w:highlight w:val="none"/>
          <w:lang w:val="zh-CN"/>
        </w:rPr>
        <w:t>减少192.15万元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减少2023年区级鹿泉大河路照明工程、2023年区级故城旧工业区拆迁评估费等项目</w:t>
      </w:r>
      <w:r>
        <w:rPr>
          <w:rFonts w:hint="default" w:ascii="Times New Roman" w:hAnsi="Times New Roman" w:eastAsia="仿宋_GB2312" w:cs="Times New Roman"/>
          <w:kern w:val="2"/>
          <w:sz w:val="32"/>
          <w:szCs w:val="32"/>
          <w:lang w:val="zh-CN"/>
        </w:rPr>
        <w:t>；本年支出21.6万元，完成年初预算的10.11%，比年初预算</w:t>
      </w:r>
      <w:r>
        <w:rPr>
          <w:rFonts w:hint="eastAsia" w:ascii="Times New Roman" w:hAnsi="Times New Roman" w:eastAsia="仿宋_GB2312" w:cs="Times New Roman"/>
          <w:sz w:val="30"/>
          <w:szCs w:val="30"/>
          <w:highlight w:val="none"/>
          <w:lang w:val="zh-CN"/>
        </w:rPr>
        <w:t>减少192.15万元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减少2023年区级鹿泉大河路照明工程、2023年区级故城旧工业区拆迁评估费等项目</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p>
    <w:p>
      <w:pPr>
        <w:spacing w:before="195" w:line="346" w:lineRule="auto"/>
        <w:ind w:right="87" w:firstLine="640" w:firstLineChars="200"/>
        <w:rPr>
          <w:rFonts w:ascii="仿宋" w:hAnsi="仿宋" w:eastAsia="仿宋" w:cs="仿宋"/>
          <w:sz w:val="31"/>
          <w:szCs w:val="31"/>
        </w:rPr>
      </w:pPr>
      <w:r>
        <w:rPr>
          <w:rFonts w:ascii="Times New Roman" w:hAnsi="Times New Roman" w:eastAsia="仿宋_GB2312" w:cs="Times New Roman"/>
          <w:kern w:val="2"/>
          <w:sz w:val="32"/>
          <w:szCs w:val="32"/>
          <w:lang w:val="zh-CN"/>
        </w:rPr>
        <w:t xml:space="preserve">3. </w:t>
      </w:r>
      <w:r>
        <w:rPr>
          <w:rFonts w:ascii="仿宋" w:hAnsi="仿宋" w:eastAsia="仿宋" w:cs="仿宋"/>
          <w:spacing w:val="-2"/>
          <w:sz w:val="31"/>
          <w:szCs w:val="31"/>
        </w:rPr>
        <w:t>国</w:t>
      </w:r>
      <w:r>
        <w:rPr>
          <w:rFonts w:ascii="仿宋" w:hAnsi="仿宋" w:eastAsia="仿宋" w:cs="仿宋"/>
          <w:spacing w:val="-1"/>
          <w:sz w:val="31"/>
          <w:szCs w:val="31"/>
        </w:rPr>
        <w:t>有资本经营预算财政拨款本年收入 0 万元，完成年初预</w:t>
      </w:r>
      <w:r>
        <w:rPr>
          <w:rFonts w:ascii="仿宋" w:hAnsi="仿宋" w:eastAsia="仿宋" w:cs="仿宋"/>
          <w:sz w:val="31"/>
          <w:szCs w:val="31"/>
        </w:rPr>
        <w:t xml:space="preserve"> </w:t>
      </w:r>
      <w:r>
        <w:rPr>
          <w:rFonts w:ascii="仿宋" w:hAnsi="仿宋" w:eastAsia="仿宋" w:cs="仿宋"/>
          <w:spacing w:val="-1"/>
          <w:sz w:val="31"/>
          <w:szCs w:val="31"/>
        </w:rPr>
        <w:t>算 0%， 比年初预算增加 0</w:t>
      </w:r>
      <w:r>
        <w:rPr>
          <w:rFonts w:ascii="仿宋" w:hAnsi="仿宋" w:eastAsia="仿宋" w:cs="仿宋"/>
          <w:sz w:val="31"/>
          <w:szCs w:val="31"/>
        </w:rPr>
        <w:t xml:space="preserve"> 万元，主要原因是本年没有国有资本 </w:t>
      </w:r>
      <w:r>
        <w:rPr>
          <w:rFonts w:ascii="仿宋" w:hAnsi="仿宋" w:eastAsia="仿宋" w:cs="仿宋"/>
          <w:spacing w:val="8"/>
          <w:sz w:val="31"/>
          <w:szCs w:val="31"/>
        </w:rPr>
        <w:t>经营预算</w:t>
      </w:r>
      <w:r>
        <w:rPr>
          <w:rFonts w:ascii="仿宋" w:hAnsi="仿宋" w:eastAsia="仿宋" w:cs="仿宋"/>
          <w:spacing w:val="6"/>
          <w:sz w:val="31"/>
          <w:szCs w:val="31"/>
        </w:rPr>
        <w:t>财</w:t>
      </w:r>
      <w:r>
        <w:rPr>
          <w:rFonts w:ascii="仿宋" w:hAnsi="仿宋" w:eastAsia="仿宋" w:cs="仿宋"/>
          <w:spacing w:val="4"/>
          <w:sz w:val="31"/>
          <w:szCs w:val="31"/>
        </w:rPr>
        <w:t>政拨款收入；本年支出 0 万元，完成年初预算 0%，</w:t>
      </w:r>
      <w:r>
        <w:rPr>
          <w:rFonts w:ascii="仿宋" w:hAnsi="仿宋" w:eastAsia="仿宋" w:cs="仿宋"/>
          <w:sz w:val="31"/>
          <w:szCs w:val="31"/>
        </w:rPr>
        <w:t xml:space="preserve"> </w:t>
      </w:r>
      <w:r>
        <w:rPr>
          <w:rFonts w:ascii="仿宋" w:hAnsi="仿宋" w:eastAsia="仿宋" w:cs="仿宋"/>
          <w:spacing w:val="-1"/>
          <w:sz w:val="31"/>
          <w:szCs w:val="31"/>
        </w:rPr>
        <w:t>比年初预算增加 0 万元，</w:t>
      </w:r>
      <w:r>
        <w:rPr>
          <w:rFonts w:ascii="仿宋" w:hAnsi="仿宋" w:eastAsia="仿宋" w:cs="仿宋"/>
          <w:sz w:val="31"/>
          <w:szCs w:val="31"/>
        </w:rPr>
        <w:t xml:space="preserve">主要原因是本年没有国有资本经营预算 </w:t>
      </w:r>
      <w:r>
        <w:rPr>
          <w:rFonts w:ascii="仿宋" w:hAnsi="仿宋" w:eastAsia="仿宋" w:cs="仿宋"/>
          <w:spacing w:val="8"/>
          <w:sz w:val="31"/>
          <w:szCs w:val="31"/>
        </w:rPr>
        <w:t>财</w:t>
      </w:r>
      <w:r>
        <w:rPr>
          <w:rFonts w:ascii="仿宋" w:hAnsi="仿宋" w:eastAsia="仿宋" w:cs="仿宋"/>
          <w:spacing w:val="5"/>
          <w:sz w:val="31"/>
          <w:szCs w:val="31"/>
        </w:rPr>
        <w:t>政拨款支出。</w:t>
      </w:r>
    </w:p>
    <w:p>
      <w:pPr>
        <w:pStyle w:val="10"/>
        <w:widowControl/>
        <w:spacing w:beforeAutospacing="0" w:afterAutospacing="0"/>
        <w:rPr>
          <w:rFonts w:ascii="Times New Roman" w:hAnsi="Times New Roman" w:eastAsia="仿宋_GB2312"/>
          <w:sz w:val="32"/>
          <w:szCs w:val="32"/>
          <w:highlight w:val="yellow"/>
        </w:rPr>
      </w:pP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10"/>
        <w:widowControl/>
        <w:numPr>
          <w:ilvl w:val="0"/>
          <w:numId w:val="4"/>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财政拨款支出决算结构情况</w:t>
      </w:r>
    </w:p>
    <w:p>
      <w:pPr>
        <w:pStyle w:val="10"/>
        <w:widowControl/>
        <w:spacing w:beforeAutospacing="0" w:afterAutospacing="0"/>
        <w:rPr>
          <w:rFonts w:ascii="仿宋" w:hAnsi="仿宋" w:eastAsia="仿宋" w:cs="仿宋"/>
          <w:spacing w:val="8"/>
          <w:sz w:val="31"/>
          <w:szCs w:val="31"/>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w:t>
      </w:r>
      <w:r>
        <w:rPr>
          <w:rFonts w:hint="eastAsia" w:ascii="Times New Roman" w:hAnsi="Times New Roman" w:eastAsia="仿宋_GB2312" w:cs="Times New Roman"/>
          <w:kern w:val="2"/>
          <w:sz w:val="32"/>
          <w:szCs w:val="32"/>
          <w:lang w:val="en-US" w:eastAsia="zh-CN"/>
        </w:rPr>
        <w:tab/>
      </w:r>
      <w:r>
        <w:rPr>
          <w:rFonts w:hint="default" w:ascii="Times New Roman" w:hAnsi="Times New Roman" w:eastAsia="仿宋_GB2312" w:cs="Times New Roman"/>
          <w:kern w:val="2"/>
          <w:sz w:val="32"/>
          <w:szCs w:val="32"/>
          <w:lang w:val="zh-CN"/>
        </w:rPr>
        <w:t>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年度财政拨款支出4,022.91万元，主要用于以下方面：</w:t>
      </w:r>
      <w:r>
        <w:rPr>
          <w:rFonts w:hint="default" w:ascii="Times New Roman" w:hAnsi="Times New Roman" w:eastAsia="仿宋_GB2312" w:cs="Times New Roman"/>
          <w:color w:val="auto"/>
          <w:kern w:val="2"/>
          <w:sz w:val="32"/>
          <w:szCs w:val="32"/>
          <w:lang w:val="zh-CN" w:eastAsia="zh-CN" w:bidi="ar-SA"/>
        </w:rPr>
        <w:t>一般公共服务（类）支出1,617.05万元，占40.2%</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1"/>
          <w:sz w:val="31"/>
          <w:szCs w:val="31"/>
        </w:rPr>
        <w:t>主要用于机</w:t>
      </w:r>
      <w:r>
        <w:rPr>
          <w:rFonts w:ascii="仿宋" w:hAnsi="仿宋" w:eastAsia="仿宋" w:cs="仿宋"/>
          <w:sz w:val="31"/>
          <w:szCs w:val="31"/>
        </w:rPr>
        <w:t xml:space="preserve"> </w:t>
      </w:r>
      <w:r>
        <w:rPr>
          <w:rFonts w:ascii="仿宋" w:hAnsi="仿宋" w:eastAsia="仿宋" w:cs="仿宋"/>
          <w:spacing w:val="5"/>
          <w:sz w:val="31"/>
          <w:szCs w:val="31"/>
        </w:rPr>
        <w:t>关人员工资、社保经费，机关公用经费及信访事务等支出</w:t>
      </w:r>
      <w:r>
        <w:rPr>
          <w:rFonts w:hint="default" w:ascii="Times New Roman" w:hAnsi="Times New Roman" w:eastAsia="仿宋_GB2312" w:cs="Times New Roman"/>
          <w:color w:val="auto"/>
          <w:kern w:val="2"/>
          <w:sz w:val="32"/>
          <w:szCs w:val="32"/>
          <w:lang w:val="zh-CN" w:eastAsia="zh-CN" w:bidi="ar-SA"/>
        </w:rPr>
        <w:t>；教育（类）支出261.91万元，占6.51%</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4"/>
          <w:sz w:val="31"/>
          <w:szCs w:val="31"/>
        </w:rPr>
        <w:t>主要用于学</w:t>
      </w:r>
      <w:r>
        <w:rPr>
          <w:rFonts w:ascii="仿宋" w:hAnsi="仿宋" w:eastAsia="仿宋" w:cs="仿宋"/>
          <w:spacing w:val="-11"/>
          <w:sz w:val="31"/>
          <w:szCs w:val="31"/>
        </w:rPr>
        <w:t>校</w:t>
      </w:r>
      <w:r>
        <w:rPr>
          <w:rFonts w:ascii="仿宋" w:hAnsi="仿宋" w:eastAsia="仿宋" w:cs="仿宋"/>
          <w:spacing w:val="-7"/>
          <w:sz w:val="31"/>
          <w:szCs w:val="31"/>
        </w:rPr>
        <w:t>幼儿教师、代课教师劳务费等支出</w:t>
      </w:r>
      <w:r>
        <w:rPr>
          <w:rFonts w:hint="default" w:ascii="Times New Roman" w:hAnsi="Times New Roman" w:eastAsia="仿宋_GB2312" w:cs="Times New Roman"/>
          <w:color w:val="auto"/>
          <w:kern w:val="2"/>
          <w:sz w:val="32"/>
          <w:szCs w:val="32"/>
          <w:lang w:val="zh-CN" w:eastAsia="zh-CN" w:bidi="ar-SA"/>
        </w:rPr>
        <w:t>；文化旅游体育与传媒（类）支出40万元，占0.99%</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主要用于</w:t>
      </w:r>
      <w:r>
        <w:rPr>
          <w:rFonts w:ascii="仿宋" w:hAnsi="仿宋" w:eastAsia="仿宋" w:cs="仿宋"/>
          <w:spacing w:val="3"/>
          <w:sz w:val="31"/>
          <w:szCs w:val="31"/>
        </w:rPr>
        <w:t>群众文化宣传资料及条幅、展牌等支出</w:t>
      </w:r>
      <w:r>
        <w:rPr>
          <w:rFonts w:hint="default" w:ascii="Times New Roman" w:hAnsi="Times New Roman" w:eastAsia="仿宋_GB2312" w:cs="Times New Roman"/>
          <w:color w:val="auto"/>
          <w:kern w:val="2"/>
          <w:sz w:val="32"/>
          <w:szCs w:val="32"/>
          <w:lang w:val="zh-CN" w:eastAsia="zh-CN" w:bidi="ar-SA"/>
        </w:rPr>
        <w:t>；社会保障和就业 （类）支出335.84万元，占8.35%</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4"/>
          <w:sz w:val="31"/>
          <w:szCs w:val="31"/>
        </w:rPr>
        <w:t>主要用于农村救济及</w:t>
      </w:r>
      <w:r>
        <w:rPr>
          <w:rFonts w:ascii="仿宋" w:hAnsi="仿宋" w:eastAsia="仿宋" w:cs="仿宋"/>
          <w:spacing w:val="1"/>
          <w:sz w:val="31"/>
          <w:szCs w:val="31"/>
        </w:rPr>
        <w:t>退役军人安置等支出</w:t>
      </w:r>
      <w:r>
        <w:rPr>
          <w:rFonts w:hint="default" w:ascii="Times New Roman" w:hAnsi="Times New Roman" w:eastAsia="仿宋_GB2312" w:cs="Times New Roman"/>
          <w:color w:val="auto"/>
          <w:kern w:val="2"/>
          <w:sz w:val="32"/>
          <w:szCs w:val="32"/>
          <w:lang w:val="zh-CN" w:eastAsia="zh-CN" w:bidi="ar-SA"/>
        </w:rPr>
        <w:t>；卫生健康（类）支出128.51万元，占3.19%</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5"/>
          <w:sz w:val="31"/>
          <w:szCs w:val="31"/>
        </w:rPr>
        <w:t>主要用于计划生育机构及重大公共卫生服务等支出</w:t>
      </w:r>
      <w:r>
        <w:rPr>
          <w:rFonts w:hint="default" w:ascii="Times New Roman" w:hAnsi="Times New Roman" w:eastAsia="仿宋_GB2312" w:cs="Times New Roman"/>
          <w:color w:val="auto"/>
          <w:kern w:val="2"/>
          <w:sz w:val="32"/>
          <w:szCs w:val="32"/>
          <w:lang w:val="zh-CN" w:eastAsia="zh-CN" w:bidi="ar-SA"/>
        </w:rPr>
        <w:t>；节能环保（类）支出20万元，占0.5%</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主要</w:t>
      </w:r>
      <w:r>
        <w:rPr>
          <w:rFonts w:ascii="仿宋" w:hAnsi="仿宋" w:eastAsia="仿宋" w:cs="仿宋"/>
          <w:sz w:val="31"/>
          <w:szCs w:val="31"/>
        </w:rPr>
        <w:t>用于大气污染防治道路洒水等</w:t>
      </w:r>
      <w:r>
        <w:rPr>
          <w:rFonts w:ascii="仿宋" w:hAnsi="仿宋" w:eastAsia="仿宋" w:cs="仿宋"/>
          <w:spacing w:val="-8"/>
          <w:sz w:val="31"/>
          <w:szCs w:val="31"/>
        </w:rPr>
        <w:t>支出</w:t>
      </w:r>
      <w:r>
        <w:rPr>
          <w:rFonts w:hint="default" w:ascii="Times New Roman" w:hAnsi="Times New Roman" w:eastAsia="仿宋_GB2312" w:cs="Times New Roman"/>
          <w:color w:val="auto"/>
          <w:kern w:val="2"/>
          <w:sz w:val="32"/>
          <w:szCs w:val="32"/>
          <w:lang w:val="zh-CN" w:eastAsia="zh-CN" w:bidi="ar-SA"/>
        </w:rPr>
        <w:t>；城乡社区（类）支出1,022.15万元，占25.41%</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4"/>
          <w:sz w:val="31"/>
          <w:szCs w:val="31"/>
        </w:rPr>
        <w:t>主要用于城乡社</w:t>
      </w:r>
      <w:r>
        <w:rPr>
          <w:rFonts w:ascii="仿宋" w:hAnsi="仿宋" w:eastAsia="仿宋" w:cs="仿宋"/>
          <w:spacing w:val="-1"/>
          <w:sz w:val="31"/>
          <w:szCs w:val="31"/>
        </w:rPr>
        <w:t>区公共设施维护及环境卫生清</w:t>
      </w:r>
      <w:r>
        <w:rPr>
          <w:rFonts w:ascii="仿宋" w:hAnsi="仿宋" w:eastAsia="仿宋" w:cs="仿宋"/>
          <w:sz w:val="31"/>
          <w:szCs w:val="31"/>
        </w:rPr>
        <w:t>理等支出</w:t>
      </w:r>
      <w:r>
        <w:rPr>
          <w:rFonts w:hint="default" w:ascii="Times New Roman" w:hAnsi="Times New Roman" w:eastAsia="仿宋_GB2312" w:cs="Times New Roman"/>
          <w:color w:val="auto"/>
          <w:kern w:val="2"/>
          <w:sz w:val="32"/>
          <w:szCs w:val="32"/>
          <w:lang w:val="zh-CN" w:eastAsia="zh-CN" w:bidi="ar-SA"/>
        </w:rPr>
        <w:t>；农林水（类）支出460.11万元，占11.44%</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4"/>
          <w:sz w:val="31"/>
          <w:szCs w:val="31"/>
        </w:rPr>
        <w:t>主要用于对村集体经济的补助</w:t>
      </w:r>
      <w:r>
        <w:rPr>
          <w:rFonts w:ascii="仿宋" w:hAnsi="仿宋" w:eastAsia="仿宋" w:cs="仿宋"/>
          <w:spacing w:val="-8"/>
          <w:sz w:val="31"/>
          <w:szCs w:val="31"/>
        </w:rPr>
        <w:t>等支出</w:t>
      </w:r>
      <w:r>
        <w:rPr>
          <w:rFonts w:hint="default" w:ascii="Times New Roman" w:hAnsi="Times New Roman" w:eastAsia="仿宋_GB2312" w:cs="Times New Roman"/>
          <w:color w:val="auto"/>
          <w:kern w:val="2"/>
          <w:sz w:val="32"/>
          <w:szCs w:val="32"/>
          <w:lang w:val="zh-CN" w:eastAsia="zh-CN" w:bidi="ar-SA"/>
        </w:rPr>
        <w:t>；住房保障（类）支出112.32万元，占2.79%</w:t>
      </w:r>
      <w:r>
        <w:rPr>
          <w:rFonts w:hint="eastAsia" w:ascii="Times New Roman" w:hAnsi="Times New Roman" w:eastAsia="仿宋_GB2312" w:cs="Times New Roman"/>
          <w:color w:val="auto"/>
          <w:kern w:val="2"/>
          <w:sz w:val="32"/>
          <w:szCs w:val="32"/>
          <w:lang w:val="zh-CN" w:eastAsia="zh-CN" w:bidi="ar-SA"/>
        </w:rPr>
        <w:t>，</w:t>
      </w:r>
      <w:r>
        <w:rPr>
          <w:rFonts w:hint="eastAsia" w:ascii="仿宋" w:hAnsi="仿宋" w:eastAsia="仿宋" w:cs="仿宋"/>
          <w:spacing w:val="-8"/>
          <w:sz w:val="31"/>
          <w:szCs w:val="31"/>
          <w:highlight w:val="none"/>
          <w:lang w:val="en-US" w:eastAsia="zh-CN"/>
        </w:rPr>
        <w:t>主要是</w:t>
      </w:r>
      <w:r>
        <w:rPr>
          <w:rFonts w:ascii="仿宋" w:hAnsi="仿宋" w:eastAsia="仿宋" w:cs="仿宋"/>
          <w:spacing w:val="8"/>
          <w:sz w:val="31"/>
          <w:szCs w:val="31"/>
        </w:rPr>
        <w:t>用于</w:t>
      </w:r>
      <w:r>
        <w:rPr>
          <w:rFonts w:hint="eastAsia" w:ascii="仿宋" w:hAnsi="仿宋" w:eastAsia="仿宋" w:cs="仿宋"/>
          <w:spacing w:val="-8"/>
          <w:sz w:val="31"/>
          <w:szCs w:val="31"/>
          <w:highlight w:val="none"/>
          <w:lang w:val="en-US" w:eastAsia="zh-CN"/>
        </w:rPr>
        <w:t>机关人员住房公积金</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灾</w:t>
      </w:r>
      <w:r>
        <w:rPr>
          <w:rFonts w:hint="default" w:ascii="Times New Roman" w:hAnsi="Times New Roman" w:eastAsia="仿宋_GB2312" w:cs="Times New Roman"/>
          <w:color w:val="auto"/>
          <w:kern w:val="2"/>
          <w:sz w:val="32"/>
          <w:szCs w:val="32"/>
          <w:lang w:val="zh-CN" w:eastAsia="zh-CN" w:bidi="ar-SA"/>
        </w:rPr>
        <w:t>害防治及应急管理（类）支出25万元，占0.62%</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8"/>
          <w:sz w:val="31"/>
          <w:szCs w:val="31"/>
        </w:rPr>
        <w:t>主要用于企业安全生产监管等支出。</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drawing>
          <wp:inline distT="0" distB="0" distL="114300" distR="114300">
            <wp:extent cx="5256530" cy="2988310"/>
            <wp:effectExtent l="0" t="0" r="1270" b="254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pStyle w:val="10"/>
        <w:widowControl/>
        <w:numPr>
          <w:ilvl w:val="0"/>
          <w:numId w:val="5"/>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年度财政拨款基本支出1,484.53万元，其中：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人员经费1,356.02万元，主要包括基本工资</w:t>
      </w:r>
      <w:r>
        <w:rPr>
          <w:rFonts w:hint="eastAsia" w:ascii="Times New Roman" w:hAnsi="Times New Roman" w:eastAsia="仿宋_GB2312" w:cs="Times New Roman"/>
          <w:color w:val="auto"/>
          <w:kern w:val="2"/>
          <w:sz w:val="32"/>
          <w:szCs w:val="32"/>
          <w:lang w:val="en-US" w:eastAsia="zh-CN" w:bidi="ar-SA"/>
        </w:rPr>
        <w:t>273.1万元</w:t>
      </w:r>
      <w:r>
        <w:rPr>
          <w:rFonts w:hint="default" w:ascii="Times New Roman" w:hAnsi="Times New Roman" w:eastAsia="仿宋_GB2312" w:cs="Times New Roman"/>
          <w:color w:val="auto"/>
          <w:kern w:val="2"/>
          <w:sz w:val="32"/>
          <w:szCs w:val="32"/>
          <w:lang w:val="zh-CN" w:eastAsia="zh-CN" w:bidi="ar-SA"/>
        </w:rPr>
        <w:t>、津贴补贴</w:t>
      </w:r>
      <w:r>
        <w:rPr>
          <w:rFonts w:hint="eastAsia" w:ascii="Times New Roman" w:hAnsi="Times New Roman" w:eastAsia="仿宋_GB2312" w:cs="Times New Roman"/>
          <w:color w:val="auto"/>
          <w:kern w:val="2"/>
          <w:sz w:val="32"/>
          <w:szCs w:val="32"/>
          <w:lang w:val="en-US" w:eastAsia="zh-CN" w:bidi="ar-SA"/>
        </w:rPr>
        <w:t>205.34万元</w:t>
      </w:r>
      <w:r>
        <w:rPr>
          <w:rFonts w:hint="default" w:ascii="Times New Roman" w:hAnsi="Times New Roman" w:eastAsia="仿宋_GB2312" w:cs="Times New Roman"/>
          <w:color w:val="auto"/>
          <w:kern w:val="2"/>
          <w:sz w:val="32"/>
          <w:szCs w:val="32"/>
          <w:lang w:val="zh-CN" w:eastAsia="zh-CN" w:bidi="ar-SA"/>
        </w:rPr>
        <w:t>、绩效工资</w:t>
      </w:r>
      <w:r>
        <w:rPr>
          <w:rFonts w:hint="eastAsia" w:ascii="Times New Roman" w:hAnsi="Times New Roman" w:eastAsia="仿宋_GB2312" w:cs="Times New Roman"/>
          <w:color w:val="auto"/>
          <w:kern w:val="2"/>
          <w:sz w:val="32"/>
          <w:szCs w:val="32"/>
          <w:lang w:val="en-US" w:eastAsia="zh-CN" w:bidi="ar-SA"/>
        </w:rPr>
        <w:t>384.61万元</w:t>
      </w:r>
      <w:r>
        <w:rPr>
          <w:rFonts w:hint="default" w:ascii="Times New Roman" w:hAnsi="Times New Roman" w:eastAsia="仿宋_GB2312" w:cs="Times New Roman"/>
          <w:color w:val="auto"/>
          <w:kern w:val="2"/>
          <w:sz w:val="32"/>
          <w:szCs w:val="32"/>
          <w:lang w:val="zh-CN" w:eastAsia="zh-CN" w:bidi="ar-SA"/>
        </w:rPr>
        <w:t>、机关事业部门基本养老保险缴费</w:t>
      </w:r>
      <w:r>
        <w:rPr>
          <w:rFonts w:hint="eastAsia" w:ascii="Times New Roman" w:hAnsi="Times New Roman" w:eastAsia="仿宋_GB2312" w:cs="Times New Roman"/>
          <w:color w:val="auto"/>
          <w:kern w:val="2"/>
          <w:sz w:val="32"/>
          <w:szCs w:val="32"/>
          <w:lang w:val="en-US" w:eastAsia="zh-CN" w:bidi="ar-SA"/>
        </w:rPr>
        <w:t>110.27万元</w:t>
      </w:r>
      <w:r>
        <w:rPr>
          <w:rFonts w:hint="default" w:ascii="Times New Roman" w:hAnsi="Times New Roman" w:eastAsia="仿宋_GB2312" w:cs="Times New Roman"/>
          <w:color w:val="auto"/>
          <w:kern w:val="2"/>
          <w:sz w:val="32"/>
          <w:szCs w:val="32"/>
          <w:lang w:val="zh-CN" w:eastAsia="zh-CN" w:bidi="ar-SA"/>
        </w:rPr>
        <w:t>、职工基本医疗保险缴费</w:t>
      </w:r>
      <w:r>
        <w:rPr>
          <w:rFonts w:hint="eastAsia" w:ascii="Times New Roman" w:hAnsi="Times New Roman" w:eastAsia="仿宋_GB2312" w:cs="Times New Roman"/>
          <w:color w:val="auto"/>
          <w:kern w:val="2"/>
          <w:sz w:val="32"/>
          <w:szCs w:val="32"/>
          <w:lang w:val="en-US" w:eastAsia="zh-CN" w:bidi="ar-SA"/>
        </w:rPr>
        <w:t>81.19万元</w:t>
      </w:r>
      <w:r>
        <w:rPr>
          <w:rFonts w:hint="default" w:ascii="Times New Roman" w:hAnsi="Times New Roman" w:eastAsia="仿宋_GB2312" w:cs="Times New Roman"/>
          <w:color w:val="auto"/>
          <w:kern w:val="2"/>
          <w:sz w:val="32"/>
          <w:szCs w:val="32"/>
          <w:lang w:val="zh-CN" w:eastAsia="zh-CN" w:bidi="ar-SA"/>
        </w:rPr>
        <w:t>、住房公积金</w:t>
      </w:r>
      <w:r>
        <w:rPr>
          <w:rFonts w:hint="eastAsia" w:ascii="Times New Roman" w:hAnsi="Times New Roman" w:eastAsia="仿宋_GB2312" w:cs="Times New Roman"/>
          <w:color w:val="auto"/>
          <w:kern w:val="2"/>
          <w:sz w:val="32"/>
          <w:szCs w:val="32"/>
          <w:lang w:val="en-US" w:eastAsia="zh-CN" w:bidi="ar-SA"/>
        </w:rPr>
        <w:t>115.64万元</w:t>
      </w:r>
      <w:r>
        <w:rPr>
          <w:rFonts w:hint="default" w:ascii="Times New Roman" w:hAnsi="Times New Roman" w:eastAsia="仿宋_GB2312" w:cs="Times New Roman"/>
          <w:color w:val="auto"/>
          <w:kern w:val="2"/>
          <w:sz w:val="32"/>
          <w:szCs w:val="32"/>
          <w:lang w:val="zh-CN" w:eastAsia="zh-CN" w:bidi="ar-SA"/>
        </w:rPr>
        <w:t>、其他社会保障缴费</w:t>
      </w:r>
      <w:r>
        <w:rPr>
          <w:rFonts w:hint="eastAsia" w:ascii="Times New Roman" w:hAnsi="Times New Roman" w:eastAsia="仿宋_GB2312" w:cs="Times New Roman"/>
          <w:color w:val="auto"/>
          <w:kern w:val="2"/>
          <w:sz w:val="32"/>
          <w:szCs w:val="32"/>
          <w:lang w:val="en-US" w:eastAsia="zh-CN" w:bidi="ar-SA"/>
        </w:rPr>
        <w:t>4.3万元</w:t>
      </w:r>
      <w:r>
        <w:rPr>
          <w:rFonts w:hint="default" w:ascii="Times New Roman" w:hAnsi="Times New Roman" w:eastAsia="仿宋_GB2312" w:cs="Times New Roman"/>
          <w:color w:val="auto"/>
          <w:kern w:val="2"/>
          <w:sz w:val="32"/>
          <w:szCs w:val="32"/>
          <w:lang w:val="zh-CN" w:eastAsia="zh-CN" w:bidi="ar-SA"/>
        </w:rPr>
        <w:t>、离休费</w:t>
      </w:r>
      <w:r>
        <w:rPr>
          <w:rFonts w:hint="eastAsia" w:ascii="Times New Roman" w:hAnsi="Times New Roman" w:eastAsia="仿宋_GB2312" w:cs="Times New Roman"/>
          <w:color w:val="auto"/>
          <w:kern w:val="2"/>
          <w:sz w:val="32"/>
          <w:szCs w:val="32"/>
          <w:lang w:val="en-US" w:eastAsia="zh-CN" w:bidi="ar-SA"/>
        </w:rPr>
        <w:t>19.96万元</w:t>
      </w:r>
      <w:r>
        <w:rPr>
          <w:rFonts w:hint="default" w:ascii="Times New Roman" w:hAnsi="Times New Roman" w:eastAsia="仿宋_GB2312" w:cs="Times New Roman"/>
          <w:color w:val="auto"/>
          <w:kern w:val="2"/>
          <w:sz w:val="32"/>
          <w:szCs w:val="32"/>
          <w:lang w:val="zh-CN" w:eastAsia="zh-CN" w:bidi="ar-SA"/>
        </w:rPr>
        <w:t>、退休费</w:t>
      </w:r>
      <w:r>
        <w:rPr>
          <w:rFonts w:hint="eastAsia" w:ascii="Times New Roman" w:hAnsi="Times New Roman" w:eastAsia="仿宋_GB2312" w:cs="Times New Roman"/>
          <w:color w:val="auto"/>
          <w:kern w:val="2"/>
          <w:sz w:val="32"/>
          <w:szCs w:val="32"/>
          <w:lang w:val="en-US" w:eastAsia="zh-CN" w:bidi="ar-SA"/>
        </w:rPr>
        <w:t>107.25万元</w:t>
      </w:r>
      <w:r>
        <w:rPr>
          <w:rFonts w:hint="default" w:ascii="Times New Roman" w:hAnsi="Times New Roman" w:eastAsia="仿宋_GB2312" w:cs="Times New Roman"/>
          <w:color w:val="auto"/>
          <w:kern w:val="2"/>
          <w:sz w:val="32"/>
          <w:szCs w:val="32"/>
          <w:lang w:val="zh-CN" w:eastAsia="zh-CN" w:bidi="ar-SA"/>
        </w:rPr>
        <w:t>、生活补助</w:t>
      </w:r>
      <w:r>
        <w:rPr>
          <w:rFonts w:hint="eastAsia" w:ascii="Times New Roman" w:hAnsi="Times New Roman" w:eastAsia="仿宋_GB2312" w:cs="Times New Roman"/>
          <w:color w:val="auto"/>
          <w:kern w:val="2"/>
          <w:sz w:val="32"/>
          <w:szCs w:val="32"/>
          <w:lang w:val="en-US" w:eastAsia="zh-CN" w:bidi="ar-SA"/>
        </w:rPr>
        <w:t>54.35万元</w:t>
      </w:r>
      <w:r>
        <w:rPr>
          <w:rFonts w:hint="default" w:ascii="Times New Roman" w:hAnsi="Times New Roman" w:eastAsia="仿宋_GB2312" w:cs="Times New Roman"/>
          <w:color w:val="auto"/>
          <w:kern w:val="2"/>
          <w:sz w:val="32"/>
          <w:szCs w:val="32"/>
          <w:lang w:val="zh-CN" w:eastAsia="zh-CN" w:bidi="ar-SA"/>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公用经费128.52万元，主要包括办公费</w:t>
      </w:r>
      <w:r>
        <w:rPr>
          <w:rFonts w:hint="eastAsia" w:ascii="Times New Roman" w:hAnsi="Times New Roman" w:eastAsia="仿宋_GB2312" w:cs="Times New Roman"/>
          <w:color w:val="auto"/>
          <w:kern w:val="2"/>
          <w:sz w:val="32"/>
          <w:szCs w:val="32"/>
          <w:lang w:val="en-US" w:eastAsia="zh-CN" w:bidi="ar-SA"/>
        </w:rPr>
        <w:t>20.43万元</w:t>
      </w:r>
      <w:r>
        <w:rPr>
          <w:rFonts w:hint="default" w:ascii="Times New Roman" w:hAnsi="Times New Roman" w:eastAsia="仿宋_GB2312" w:cs="Times New Roman"/>
          <w:color w:val="auto"/>
          <w:kern w:val="2"/>
          <w:sz w:val="32"/>
          <w:szCs w:val="32"/>
          <w:lang w:val="zh-CN" w:eastAsia="zh-CN" w:bidi="ar-SA"/>
        </w:rPr>
        <w:t>、邮电费</w:t>
      </w:r>
      <w:r>
        <w:rPr>
          <w:rFonts w:hint="eastAsia" w:ascii="Times New Roman" w:hAnsi="Times New Roman" w:eastAsia="仿宋_GB2312" w:cs="Times New Roman"/>
          <w:color w:val="auto"/>
          <w:kern w:val="2"/>
          <w:sz w:val="32"/>
          <w:szCs w:val="32"/>
          <w:lang w:val="en-US" w:eastAsia="zh-CN" w:bidi="ar-SA"/>
        </w:rPr>
        <w:t>23.54万元</w:t>
      </w:r>
      <w:r>
        <w:rPr>
          <w:rFonts w:hint="default" w:ascii="Times New Roman" w:hAnsi="Times New Roman" w:eastAsia="仿宋_GB2312" w:cs="Times New Roman"/>
          <w:color w:val="auto"/>
          <w:kern w:val="2"/>
          <w:sz w:val="32"/>
          <w:szCs w:val="32"/>
          <w:lang w:val="zh-CN" w:eastAsia="zh-CN" w:bidi="ar-SA"/>
        </w:rPr>
        <w:t>、取暖费</w:t>
      </w:r>
      <w:r>
        <w:rPr>
          <w:rFonts w:hint="eastAsia" w:ascii="Times New Roman" w:hAnsi="Times New Roman" w:eastAsia="仿宋_GB2312" w:cs="Times New Roman"/>
          <w:color w:val="auto"/>
          <w:kern w:val="2"/>
          <w:sz w:val="32"/>
          <w:szCs w:val="32"/>
          <w:lang w:val="en-US" w:eastAsia="zh-CN" w:bidi="ar-SA"/>
        </w:rPr>
        <w:t>20.68万元</w:t>
      </w:r>
      <w:r>
        <w:rPr>
          <w:rFonts w:hint="default" w:ascii="Times New Roman" w:hAnsi="Times New Roman" w:eastAsia="仿宋_GB2312" w:cs="Times New Roman"/>
          <w:color w:val="auto"/>
          <w:kern w:val="2"/>
          <w:sz w:val="32"/>
          <w:szCs w:val="32"/>
          <w:lang w:val="zh-CN" w:eastAsia="zh-CN" w:bidi="ar-SA"/>
        </w:rPr>
        <w:t>、工会经费</w:t>
      </w:r>
      <w:r>
        <w:rPr>
          <w:rFonts w:hint="eastAsia" w:ascii="Times New Roman" w:hAnsi="Times New Roman" w:eastAsia="仿宋_GB2312" w:cs="Times New Roman"/>
          <w:color w:val="auto"/>
          <w:kern w:val="2"/>
          <w:sz w:val="32"/>
          <w:szCs w:val="32"/>
          <w:lang w:val="en-US" w:eastAsia="zh-CN" w:bidi="ar-SA"/>
        </w:rPr>
        <w:t>5.43万元</w:t>
      </w:r>
      <w:r>
        <w:rPr>
          <w:rFonts w:hint="default" w:ascii="Times New Roman" w:hAnsi="Times New Roman" w:eastAsia="仿宋_GB2312" w:cs="Times New Roman"/>
          <w:color w:val="auto"/>
          <w:kern w:val="2"/>
          <w:sz w:val="32"/>
          <w:szCs w:val="32"/>
          <w:lang w:val="zh-CN" w:eastAsia="zh-CN" w:bidi="ar-SA"/>
        </w:rPr>
        <w:t>、福利费</w:t>
      </w:r>
      <w:r>
        <w:rPr>
          <w:rFonts w:hint="eastAsia" w:ascii="Times New Roman" w:hAnsi="Times New Roman" w:eastAsia="仿宋_GB2312" w:cs="Times New Roman"/>
          <w:color w:val="auto"/>
          <w:kern w:val="2"/>
          <w:sz w:val="32"/>
          <w:szCs w:val="32"/>
          <w:lang w:val="en-US" w:eastAsia="zh-CN" w:bidi="ar-SA"/>
        </w:rPr>
        <w:t>6.23万元</w:t>
      </w:r>
      <w:r>
        <w:rPr>
          <w:rFonts w:hint="default" w:ascii="Times New Roman" w:hAnsi="Times New Roman" w:eastAsia="仿宋_GB2312" w:cs="Times New Roman"/>
          <w:color w:val="auto"/>
          <w:kern w:val="2"/>
          <w:sz w:val="32"/>
          <w:szCs w:val="32"/>
          <w:lang w:val="zh-CN" w:eastAsia="zh-CN" w:bidi="ar-SA"/>
        </w:rPr>
        <w:t>、公务用车运行维护费</w:t>
      </w:r>
      <w:r>
        <w:rPr>
          <w:rFonts w:hint="eastAsia" w:ascii="Times New Roman" w:hAnsi="Times New Roman" w:eastAsia="仿宋_GB2312" w:cs="Times New Roman"/>
          <w:color w:val="auto"/>
          <w:kern w:val="2"/>
          <w:sz w:val="32"/>
          <w:szCs w:val="32"/>
          <w:lang w:val="en-US" w:eastAsia="zh-CN" w:bidi="ar-SA"/>
        </w:rPr>
        <w:t>5.07万元</w:t>
      </w:r>
      <w:r>
        <w:rPr>
          <w:rFonts w:hint="default" w:ascii="Times New Roman" w:hAnsi="Times New Roman" w:eastAsia="仿宋_GB2312" w:cs="Times New Roman"/>
          <w:color w:val="auto"/>
          <w:kern w:val="2"/>
          <w:sz w:val="32"/>
          <w:szCs w:val="32"/>
          <w:lang w:val="zh-CN" w:eastAsia="zh-CN" w:bidi="ar-SA"/>
        </w:rPr>
        <w:t>、其他交通费用</w:t>
      </w:r>
      <w:r>
        <w:rPr>
          <w:rFonts w:hint="eastAsia" w:ascii="Times New Roman" w:hAnsi="Times New Roman" w:eastAsia="仿宋_GB2312" w:cs="Times New Roman"/>
          <w:color w:val="auto"/>
          <w:kern w:val="2"/>
          <w:sz w:val="32"/>
          <w:szCs w:val="32"/>
          <w:lang w:val="en-US" w:eastAsia="zh-CN" w:bidi="ar-SA"/>
        </w:rPr>
        <w:t>39.03万元</w:t>
      </w:r>
      <w:r>
        <w:rPr>
          <w:rFonts w:hint="default" w:ascii="Times New Roman" w:hAnsi="Times New Roman" w:eastAsia="仿宋_GB2312" w:cs="Times New Roman"/>
          <w:color w:val="auto"/>
          <w:kern w:val="2"/>
          <w:sz w:val="32"/>
          <w:szCs w:val="32"/>
          <w:lang w:val="zh-CN" w:eastAsia="zh-CN" w:bidi="ar-SA"/>
        </w:rPr>
        <w:t>、税金及附加费用</w:t>
      </w:r>
      <w:r>
        <w:rPr>
          <w:rFonts w:hint="eastAsia" w:ascii="Times New Roman" w:hAnsi="Times New Roman" w:eastAsia="仿宋_GB2312" w:cs="Times New Roman"/>
          <w:color w:val="auto"/>
          <w:kern w:val="2"/>
          <w:sz w:val="32"/>
          <w:szCs w:val="32"/>
          <w:lang w:val="en-US" w:eastAsia="zh-CN" w:bidi="ar-SA"/>
        </w:rPr>
        <w:t>6.88万元</w:t>
      </w:r>
      <w:r>
        <w:rPr>
          <w:rFonts w:hint="default" w:ascii="Times New Roman" w:hAnsi="Times New Roman" w:eastAsia="仿宋_GB2312" w:cs="Times New Roman"/>
          <w:color w:val="auto"/>
          <w:kern w:val="2"/>
          <w:sz w:val="32"/>
          <w:szCs w:val="32"/>
          <w:lang w:val="zh-CN" w:eastAsia="zh-CN" w:bidi="ar-SA"/>
        </w:rPr>
        <w:t>、其他商品和服务支出</w:t>
      </w:r>
      <w:r>
        <w:rPr>
          <w:rFonts w:hint="eastAsia" w:ascii="Times New Roman" w:hAnsi="Times New Roman" w:eastAsia="仿宋_GB2312" w:cs="Times New Roman"/>
          <w:color w:val="auto"/>
          <w:kern w:val="2"/>
          <w:sz w:val="32"/>
          <w:szCs w:val="32"/>
          <w:lang w:val="en-US" w:eastAsia="zh-CN" w:bidi="ar-SA"/>
        </w:rPr>
        <w:t>1.23万元</w:t>
      </w:r>
      <w:r>
        <w:rPr>
          <w:rFonts w:hint="eastAsia" w:ascii="Times New Roman" w:hAnsi="Times New Roman" w:eastAsia="仿宋_GB2312" w:cs="Times New Roman"/>
          <w:color w:val="auto"/>
          <w:kern w:val="2"/>
          <w:sz w:val="32"/>
          <w:szCs w:val="32"/>
          <w:lang w:val="zh-CN" w:eastAsia="zh-CN" w:bidi="ar-SA"/>
        </w:rPr>
        <w:t>。</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年度“三公”经费财政拨款支出预算为11.1万元，支出决算为 5.07万元，完成预算的 45.68%，较预算</w:t>
      </w:r>
      <w:r>
        <w:rPr>
          <w:rFonts w:hint="eastAsia" w:ascii="Times New Roman" w:hAnsi="Times New Roman" w:eastAsia="仿宋_GB2312" w:cs="Times New Roman"/>
          <w:color w:val="auto"/>
          <w:kern w:val="2"/>
          <w:sz w:val="32"/>
          <w:szCs w:val="32"/>
          <w:lang w:val="zh-CN" w:eastAsia="zh-CN" w:bidi="ar-SA"/>
        </w:rPr>
        <w:t>减少6.03万元，降低54.33%，</w:t>
      </w:r>
      <w:r>
        <w:rPr>
          <w:rFonts w:hint="default" w:ascii="Times New Roman" w:hAnsi="Times New Roman" w:eastAsia="仿宋_GB2312" w:cs="Times New Roman"/>
          <w:color w:val="auto"/>
          <w:kern w:val="2"/>
          <w:sz w:val="32"/>
          <w:szCs w:val="32"/>
          <w:lang w:val="zh-CN" w:eastAsia="zh-CN" w:bidi="ar-SA"/>
        </w:rPr>
        <w:t>主要是主要是认真贯彻落实中央八项规定精神和厉行节约要求，从严控制“三公”经费开支，全年实际支出比预算有所节约；较2022年度决算</w:t>
      </w:r>
      <w:r>
        <w:rPr>
          <w:rFonts w:hint="eastAsia" w:ascii="Times New Roman" w:hAnsi="Times New Roman" w:eastAsia="仿宋_GB2312" w:cs="Times New Roman"/>
          <w:color w:val="auto"/>
          <w:kern w:val="2"/>
          <w:sz w:val="32"/>
          <w:szCs w:val="32"/>
          <w:lang w:val="en-US" w:eastAsia="zh-CN" w:bidi="ar-SA"/>
        </w:rPr>
        <w:t>减少0.01</w:t>
      </w:r>
      <w:r>
        <w:rPr>
          <w:rFonts w:hint="eastAsia" w:ascii="Times New Roman" w:hAnsi="Times New Roman" w:eastAsia="仿宋_GB2312" w:cs="Times New Roman"/>
          <w:color w:val="auto"/>
          <w:kern w:val="2"/>
          <w:sz w:val="32"/>
          <w:szCs w:val="32"/>
          <w:lang w:val="zh-CN" w:eastAsia="zh-CN" w:bidi="ar-SA"/>
        </w:rPr>
        <w:t>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增长0</w:t>
      </w:r>
      <w:r>
        <w:rPr>
          <w:rFonts w:hint="eastAsia" w:ascii="Times New Roman" w:hAnsi="Times New Roman" w:eastAsia="仿宋_GB2312" w:cs="Times New Roman"/>
          <w:color w:val="auto"/>
          <w:kern w:val="2"/>
          <w:sz w:val="32"/>
          <w:szCs w:val="32"/>
          <w:lang w:val="en-US" w:eastAsia="zh-CN" w:bidi="ar-SA"/>
        </w:rPr>
        <w:t>.2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由于节约开支</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en-US" w:eastAsia="zh-CN" w:bidi="ar-SA"/>
        </w:rPr>
        <w:t>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年度公务用车购置及运行维护费预算为8.1万元，支出决算 5.07万元，完成预算的62.59%,较预算</w:t>
      </w:r>
      <w:r>
        <w:rPr>
          <w:rFonts w:hint="eastAsia" w:ascii="Times New Roman" w:hAnsi="Times New Roman" w:eastAsia="仿宋_GB2312" w:cs="Times New Roman"/>
          <w:color w:val="auto"/>
          <w:kern w:val="2"/>
          <w:sz w:val="32"/>
          <w:szCs w:val="32"/>
          <w:lang w:val="zh-CN" w:eastAsia="zh-CN" w:bidi="ar-SA"/>
        </w:rPr>
        <w:t>减少3.03万元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降低37.41%，</w:t>
      </w:r>
      <w:r>
        <w:rPr>
          <w:rFonts w:hint="default" w:ascii="Times New Roman" w:hAnsi="Times New Roman" w:eastAsia="仿宋_GB2312" w:cs="Times New Roman"/>
          <w:color w:val="auto"/>
          <w:kern w:val="2"/>
          <w:sz w:val="32"/>
          <w:szCs w:val="32"/>
          <w:lang w:val="zh-CN" w:eastAsia="zh-CN" w:bidi="ar-SA"/>
        </w:rPr>
        <w:t>主要</w:t>
      </w:r>
      <w:r>
        <w:rPr>
          <w:rFonts w:ascii="仿宋" w:hAnsi="仿宋" w:eastAsia="仿宋" w:cs="仿宋"/>
          <w:spacing w:val="5"/>
          <w:sz w:val="31"/>
          <w:szCs w:val="31"/>
        </w:rPr>
        <w:t>是加强对公务车辆的管理</w:t>
      </w:r>
      <w:r>
        <w:rPr>
          <w:rFonts w:hint="eastAsia" w:ascii="仿宋" w:hAnsi="仿宋" w:eastAsia="仿宋" w:cs="仿宋"/>
          <w:spacing w:val="5"/>
          <w:sz w:val="31"/>
          <w:szCs w:val="31"/>
          <w:lang w:eastAsia="zh-CN"/>
        </w:rPr>
        <w:t>，</w:t>
      </w:r>
      <w:r>
        <w:rPr>
          <w:rFonts w:ascii="仿宋" w:hAnsi="仿宋" w:eastAsia="仿宋" w:cs="仿宋"/>
          <w:spacing w:val="5"/>
          <w:sz w:val="31"/>
          <w:szCs w:val="31"/>
        </w:rPr>
        <w:t>规范和控制公务用车修理、用</w:t>
      </w:r>
      <w:r>
        <w:rPr>
          <w:rFonts w:ascii="仿宋" w:hAnsi="仿宋" w:eastAsia="仿宋" w:cs="仿宋"/>
          <w:spacing w:val="1"/>
          <w:sz w:val="31"/>
          <w:szCs w:val="31"/>
        </w:rPr>
        <w:t>油</w:t>
      </w:r>
      <w:r>
        <w:rPr>
          <w:rFonts w:ascii="仿宋" w:hAnsi="仿宋" w:eastAsia="仿宋" w:cs="仿宋"/>
          <w:spacing w:val="18"/>
          <w:sz w:val="31"/>
          <w:szCs w:val="31"/>
        </w:rPr>
        <w:t>等</w:t>
      </w:r>
      <w:r>
        <w:rPr>
          <w:rFonts w:ascii="仿宋" w:hAnsi="仿宋" w:eastAsia="仿宋" w:cs="仿宋"/>
          <w:spacing w:val="13"/>
          <w:sz w:val="31"/>
          <w:szCs w:val="31"/>
        </w:rPr>
        <w:t>行</w:t>
      </w:r>
      <w:r>
        <w:rPr>
          <w:rFonts w:ascii="仿宋" w:hAnsi="仿宋" w:eastAsia="仿宋" w:cs="仿宋"/>
          <w:spacing w:val="9"/>
          <w:sz w:val="31"/>
          <w:szCs w:val="31"/>
        </w:rPr>
        <w:t>为，最大限度提高单车使用效率</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en-US" w:eastAsia="zh-CN" w:bidi="ar-SA"/>
        </w:rPr>
        <w:t>决算</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0.01</w:t>
      </w:r>
      <w:r>
        <w:rPr>
          <w:rFonts w:hint="eastAsia" w:ascii="Times New Roman" w:hAnsi="Times New Roman" w:eastAsia="仿宋_GB2312" w:cs="Times New Roman"/>
          <w:color w:val="auto"/>
          <w:kern w:val="2"/>
          <w:sz w:val="32"/>
          <w:szCs w:val="32"/>
          <w:lang w:val="zh-CN" w:eastAsia="zh-CN" w:bidi="ar-SA"/>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0.2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由于节约开支</w:t>
      </w:r>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ascii="仿宋_GB2312" w:hAnsi="Times New Roman" w:eastAsia="仿宋_GB2312" w:cs="Times New Roman"/>
          <w:sz w:val="32"/>
          <w:szCs w:val="32"/>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年度公务用车购置量</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辆，发生“公务用车购置”经费支出</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万元</w:t>
      </w:r>
      <w:r>
        <w:rPr>
          <w:rFonts w:hint="default" w:ascii="仿宋_GB2312" w:hAnsi="Times New Roman" w:eastAsia="仿宋_GB2312" w:cs="仿宋_GB2312"/>
          <w:sz w:val="32"/>
          <w:szCs w:val="32"/>
        </w:rPr>
        <w:t>，未发生‘公务用车购置’经费支出</w:t>
      </w:r>
      <w:r>
        <w:rPr>
          <w:rFonts w:hint="eastAsia" w:ascii="仿宋_GB2312" w:hAnsi="Times New Roman" w:eastAsia="仿宋_GB2312" w:cs="仿宋_GB2312"/>
          <w:sz w:val="32"/>
          <w:szCs w:val="32"/>
        </w:rPr>
        <w:t>。公务用车购置费支出</w:t>
      </w:r>
      <w:r>
        <w:rPr>
          <w:rFonts w:hint="eastAsia" w:ascii="仿宋_GB2312" w:hAnsi="Times New Roman" w:eastAsia="仿宋_GB2312" w:cs="仿宋_GB2312"/>
          <w:sz w:val="32"/>
          <w:szCs w:val="32"/>
          <w:lang w:val="en-US" w:eastAsia="zh-CN"/>
        </w:rPr>
        <w:t>与</w:t>
      </w:r>
      <w:r>
        <w:rPr>
          <w:rFonts w:hint="eastAsia" w:ascii="仿宋_GB2312" w:hAnsi="Times New Roman" w:eastAsia="仿宋_GB2312" w:cs="仿宋_GB2312"/>
          <w:sz w:val="32"/>
          <w:szCs w:val="32"/>
        </w:rPr>
        <w:t>预算</w:t>
      </w:r>
      <w:r>
        <w:rPr>
          <w:rFonts w:hint="default" w:ascii="仿宋_GB2312" w:hAnsi="Times New Roman" w:eastAsia="仿宋_GB2312" w:cs="仿宋_GB2312"/>
          <w:sz w:val="32"/>
          <w:szCs w:val="32"/>
        </w:rPr>
        <w:t>持平</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与2022年度决算支出持平</w:t>
      </w:r>
      <w:r>
        <w:rPr>
          <w:rFonts w:hint="eastAsia" w:ascii="仿宋_GB2312"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5.07</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年度单位公务用车保有量2辆，发生运行维护费支出5.07万元。公车运行维护费支出较预算</w:t>
      </w:r>
      <w:r>
        <w:rPr>
          <w:rFonts w:hint="eastAsia" w:ascii="Times New Roman" w:hAnsi="Times New Roman" w:eastAsia="仿宋_GB2312" w:cs="Times New Roman"/>
          <w:color w:val="auto"/>
          <w:kern w:val="2"/>
          <w:sz w:val="32"/>
          <w:szCs w:val="32"/>
          <w:lang w:val="zh-CN" w:eastAsia="zh-CN" w:bidi="ar-SA"/>
        </w:rPr>
        <w:t>减少3.03万元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降低37.41%，</w:t>
      </w:r>
      <w:r>
        <w:rPr>
          <w:rFonts w:ascii="仿宋" w:hAnsi="仿宋" w:eastAsia="仿宋" w:cs="仿宋"/>
          <w:spacing w:val="5"/>
          <w:sz w:val="31"/>
          <w:szCs w:val="31"/>
        </w:rPr>
        <w:t>主要是加强对公务车辆的管理。规范和控制公务用车修理、用</w:t>
      </w:r>
      <w:r>
        <w:rPr>
          <w:rFonts w:ascii="仿宋" w:hAnsi="仿宋" w:eastAsia="仿宋" w:cs="仿宋"/>
          <w:spacing w:val="1"/>
          <w:sz w:val="31"/>
          <w:szCs w:val="31"/>
        </w:rPr>
        <w:t>油</w:t>
      </w:r>
      <w:r>
        <w:rPr>
          <w:rFonts w:ascii="仿宋" w:hAnsi="仿宋" w:eastAsia="仿宋" w:cs="仿宋"/>
          <w:spacing w:val="18"/>
          <w:sz w:val="31"/>
          <w:szCs w:val="31"/>
        </w:rPr>
        <w:t>等</w:t>
      </w:r>
      <w:r>
        <w:rPr>
          <w:rFonts w:ascii="仿宋" w:hAnsi="仿宋" w:eastAsia="仿宋" w:cs="仿宋"/>
          <w:spacing w:val="13"/>
          <w:sz w:val="31"/>
          <w:szCs w:val="31"/>
        </w:rPr>
        <w:t>行</w:t>
      </w:r>
      <w:r>
        <w:rPr>
          <w:rFonts w:ascii="仿宋" w:hAnsi="仿宋" w:eastAsia="仿宋" w:cs="仿宋"/>
          <w:spacing w:val="9"/>
          <w:sz w:val="31"/>
          <w:szCs w:val="31"/>
        </w:rPr>
        <w:t>为，最大限度提高单车使用效率</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0.01</w:t>
      </w:r>
      <w:r>
        <w:rPr>
          <w:rFonts w:hint="eastAsia" w:ascii="Times New Roman" w:hAnsi="Times New Roman" w:eastAsia="仿宋_GB2312" w:cs="Times New Roman"/>
          <w:color w:val="auto"/>
          <w:kern w:val="2"/>
          <w:sz w:val="32"/>
          <w:szCs w:val="32"/>
          <w:lang w:val="zh-CN" w:eastAsia="zh-CN" w:bidi="ar-SA"/>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增长0</w:t>
      </w:r>
      <w:r>
        <w:rPr>
          <w:rFonts w:hint="eastAsia" w:ascii="Times New Roman" w:hAnsi="Times New Roman" w:eastAsia="仿宋_GB2312" w:cs="Times New Roman"/>
          <w:color w:val="auto"/>
          <w:kern w:val="2"/>
          <w:sz w:val="32"/>
          <w:szCs w:val="32"/>
          <w:lang w:val="en-US" w:eastAsia="zh-CN" w:bidi="ar-SA"/>
        </w:rPr>
        <w:t>.2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由于节约开支</w:t>
      </w:r>
      <w:r>
        <w:rPr>
          <w:rFonts w:hint="default" w:ascii="Times New Roman" w:hAnsi="Times New Roman" w:eastAsia="仿宋_GB2312" w:cs="Times New Roman"/>
          <w:color w:val="auto"/>
          <w:kern w:val="2"/>
          <w:sz w:val="32"/>
          <w:szCs w:val="32"/>
          <w:lang w:val="zh-CN" w:eastAsia="zh-CN" w:bidi="ar-SA"/>
        </w:rPr>
        <w:t>。</w:t>
      </w:r>
    </w:p>
    <w:p>
      <w:pPr>
        <w:pStyle w:val="10"/>
        <w:widowControl/>
        <w:numPr>
          <w:ilvl w:val="0"/>
          <w:numId w:val="3"/>
        </w:numPr>
        <w:spacing w:beforeAutospacing="0" w:afterAutospacing="0"/>
        <w:ind w:left="0" w:leftChars="0" w:firstLine="643" w:firstLineChars="200"/>
        <w:jc w:val="both"/>
        <w:outlineLvl w:val="1"/>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年度公务接待费支出预算为3万元，支出决算0万元，完成预算的0%。公务接待费支出较预算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减少3万元，降低100%，</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rPr>
        <w:t>主要是</w:t>
      </w:r>
      <w:r>
        <w:rPr>
          <w:rFonts w:ascii="仿宋" w:hAnsi="仿宋" w:eastAsia="仿宋" w:cs="仿宋"/>
          <w:sz w:val="31"/>
          <w:szCs w:val="31"/>
        </w:rPr>
        <w:t>认</w:t>
      </w:r>
      <w:r>
        <w:rPr>
          <w:rFonts w:ascii="仿宋" w:hAnsi="仿宋" w:eastAsia="仿宋" w:cs="仿宋"/>
          <w:spacing w:val="-10"/>
          <w:sz w:val="31"/>
          <w:szCs w:val="31"/>
        </w:rPr>
        <w:t>真贯彻落</w:t>
      </w:r>
      <w:r>
        <w:rPr>
          <w:rFonts w:ascii="仿宋" w:hAnsi="仿宋" w:eastAsia="仿宋" w:cs="仿宋"/>
          <w:spacing w:val="-8"/>
          <w:sz w:val="31"/>
          <w:szCs w:val="31"/>
        </w:rPr>
        <w:t>实</w:t>
      </w:r>
      <w:r>
        <w:rPr>
          <w:rFonts w:ascii="仿宋" w:hAnsi="仿宋" w:eastAsia="仿宋" w:cs="仿宋"/>
          <w:spacing w:val="-5"/>
          <w:sz w:val="31"/>
          <w:szCs w:val="31"/>
        </w:rPr>
        <w:t>中央八项规定精神和厉行节约要求，从严控制“</w:t>
      </w:r>
      <w:r>
        <w:rPr>
          <w:rFonts w:hint="eastAsia" w:ascii="仿宋" w:hAnsi="仿宋" w:eastAsia="仿宋" w:cs="仿宋"/>
          <w:spacing w:val="-5"/>
          <w:sz w:val="31"/>
          <w:szCs w:val="31"/>
          <w:lang w:val="en-US" w:eastAsia="zh-CN"/>
        </w:rPr>
        <w:t>三公</w:t>
      </w:r>
      <w:r>
        <w:rPr>
          <w:rFonts w:ascii="仿宋" w:hAnsi="仿宋" w:eastAsia="仿宋" w:cs="仿宋"/>
          <w:spacing w:val="2"/>
          <w:sz w:val="31"/>
          <w:szCs w:val="31"/>
        </w:rPr>
        <w:t>”经费</w:t>
      </w:r>
      <w:r>
        <w:rPr>
          <w:rFonts w:ascii="仿宋" w:hAnsi="仿宋" w:eastAsia="仿宋" w:cs="仿宋"/>
          <w:spacing w:val="1"/>
          <w:sz w:val="31"/>
          <w:szCs w:val="31"/>
        </w:rPr>
        <w:t>开支</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万元，增长0%，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未发生公务接待</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0"/>
        <w:widowControl/>
        <w:numPr>
          <w:ilvl w:val="0"/>
          <w:numId w:val="0"/>
        </w:numPr>
        <w:spacing w:beforeAutospacing="0" w:afterAutospacing="0"/>
        <w:ind w:leftChars="200"/>
        <w:jc w:val="both"/>
        <w:outlineLvl w:val="1"/>
        <w:rPr>
          <w:rFonts w:ascii="Times New Roman" w:hAnsi="Times New Roman" w:eastAsia="黑体"/>
          <w:color w:val="333333"/>
          <w:sz w:val="33"/>
          <w:szCs w:val="33"/>
          <w:shd w:val="clear" w:color="auto" w:fill="FFFFFF"/>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Arial"/>
          <w:color w:val="333333"/>
          <w:sz w:val="19"/>
          <w:szCs w:val="19"/>
          <w:shd w:val="clear" w:color="auto" w:fill="FFFFFF"/>
        </w:rPr>
        <w:t> </w:t>
      </w:r>
      <w:r>
        <w:rPr>
          <w:rFonts w:ascii="Times New Roman" w:hAnsi="Times New Roman" w:eastAsia="宋体"/>
          <w:color w:val="333333"/>
          <w:sz w:val="19"/>
          <w:szCs w:val="19"/>
          <w:shd w:val="clear" w:color="auto" w:fill="FFFFFF"/>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年度机关运行经费支出128.52万元，较2022年度</w:t>
      </w:r>
      <w:r>
        <w:rPr>
          <w:rFonts w:hint="eastAsia" w:ascii="Times New Roman" w:hAnsi="Times New Roman" w:eastAsia="仿宋_GB2312" w:cs="Times New Roman"/>
          <w:color w:val="auto"/>
          <w:kern w:val="2"/>
          <w:sz w:val="32"/>
          <w:szCs w:val="32"/>
          <w:lang w:val="en-US" w:eastAsia="zh-CN" w:bidi="ar-SA"/>
        </w:rPr>
        <w:t>减少1265.26</w:t>
      </w:r>
      <w:r>
        <w:rPr>
          <w:rFonts w:hint="eastAsia" w:ascii="Times New Roman" w:hAnsi="Times New Roman" w:eastAsia="仿宋_GB2312" w:cs="Times New Roman"/>
          <w:color w:val="auto"/>
          <w:kern w:val="2"/>
          <w:sz w:val="32"/>
          <w:szCs w:val="32"/>
          <w:lang w:val="zh-CN" w:eastAsia="zh-CN" w:bidi="ar-SA"/>
        </w:rPr>
        <w:t>万元，</w:t>
      </w:r>
      <w:r>
        <w:rPr>
          <w:rFonts w:hint="eastAsia" w:ascii="Times New Roman" w:hAnsi="Times New Roman" w:eastAsia="仿宋_GB2312" w:cs="Times New Roman"/>
          <w:color w:val="auto"/>
          <w:kern w:val="2"/>
          <w:sz w:val="32"/>
          <w:szCs w:val="32"/>
          <w:lang w:val="en-US" w:eastAsia="zh-CN" w:bidi="ar-SA"/>
        </w:rPr>
        <w:t>减少74.7</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主要原因是</w:t>
      </w:r>
      <w:r>
        <w:rPr>
          <w:rFonts w:hint="eastAsia" w:ascii="仿宋_GB2312" w:hAnsi="Times New Roman" w:eastAsia="仿宋_GB2312" w:cs="仿宋_GB2312"/>
          <w:sz w:val="32"/>
          <w:szCs w:val="32"/>
          <w:lang w:val="en-US" w:eastAsia="zh-CN"/>
        </w:rPr>
        <w:t>减少了追加绿化租地相关税费等支出</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420" w:firstLineChars="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年度政府采购支出总额9.15万元，从采购类型来看，政府采购货物支出2.82万元、政府采购工程支出0万元、政府采购服务支出6.33万元。授予中小企业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8.62万元，占政府采购支出总额的94.21%，其中授予小微企业合同金额8.62万元，占政府采购支出总额的94.21%。</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年12月31日，本部门共有车辆11辆，比上年</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调整固定资产分类</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用车0辆，机要通信用车0辆，应急保障用车2辆，执法执勤用车0辆，特种专业技术用车4辆，离退休干部用车0辆，其他用车5辆，其他用车主要是</w:t>
      </w:r>
      <w:r>
        <w:rPr>
          <w:rFonts w:hint="eastAsia" w:ascii="Times New Roman" w:hAnsi="Times New Roman" w:eastAsia="仿宋_GB2312" w:cs="Times New Roman"/>
          <w:color w:val="auto"/>
          <w:kern w:val="2"/>
          <w:sz w:val="32"/>
          <w:szCs w:val="32"/>
          <w:lang w:val="en-US" w:eastAsia="zh-CN" w:bidi="ar-SA"/>
        </w:rPr>
        <w:t>村内抽粪三轮罐车</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0"/>
        <w:widowControl/>
        <w:spacing w:beforeAutospacing="0" w:afterAutospacing="0"/>
        <w:ind w:left="420" w:leftChars="0" w:firstLine="420" w:firstLineChars="0"/>
        <w:jc w:val="both"/>
        <w:outlineLvl w:val="1"/>
        <w:rPr>
          <w:rFonts w:ascii="Times New Roman" w:hAnsi="Times New Roman" w:eastAsia="黑体"/>
          <w:kern w:val="2"/>
          <w:sz w:val="32"/>
          <w:szCs w:val="40"/>
        </w:rPr>
      </w:pPr>
    </w:p>
    <w:p>
      <w:pPr>
        <w:pStyle w:val="10"/>
        <w:widowControl/>
        <w:spacing w:beforeAutospacing="0" w:afterAutospacing="0"/>
        <w:ind w:left="420" w:leftChars="0" w:firstLine="420" w:firstLineChars="0"/>
        <w:jc w:val="both"/>
        <w:outlineLvl w:val="1"/>
        <w:rPr>
          <w:rFonts w:ascii="Times New Roman" w:hAnsi="Times New Roman" w:eastAsia="黑体"/>
          <w:kern w:val="2"/>
          <w:sz w:val="32"/>
          <w:szCs w:val="40"/>
        </w:rPr>
      </w:pPr>
    </w:p>
    <w:p>
      <w:pPr>
        <w:pStyle w:val="10"/>
        <w:widowControl/>
        <w:spacing w:beforeAutospacing="0" w:afterAutospacing="0"/>
        <w:ind w:left="420" w:leftChars="0" w:firstLine="420" w:firstLineChars="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根据预算绩效管理要求，本部门组织对2023年度一般公共预算项目支出全面开展绩效自评，其中，一级项目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23</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2538.37</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63.43</w:t>
      </w:r>
      <w:r>
        <w:rPr>
          <w:rFonts w:hint="default" w:ascii="Times New Roman" w:hAnsi="Times New Roman" w:eastAsia="仿宋_GB2312" w:cs="Times New Roman"/>
          <w:color w:val="auto"/>
          <w:kern w:val="2"/>
          <w:sz w:val="32"/>
          <w:szCs w:val="32"/>
          <w:lang w:val="zh-CN" w:eastAsia="zh-CN" w:bidi="ar-SA"/>
        </w:rPr>
        <w:t>%。组织对2023年度提前下达2022年省级农村综合改革转移支付资金（2022年大河镇一事一议项目）、2023年区级鹿泉大河路照明工程等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eastAsia" w:ascii="Times New Roman" w:hAnsi="Times New Roman" w:eastAsia="仿宋_GB2312" w:cs="Times New Roman"/>
          <w:color w:val="auto"/>
          <w:kern w:val="2"/>
          <w:sz w:val="32"/>
          <w:szCs w:val="32"/>
          <w:lang w:val="en-US" w:eastAsia="zh-CN" w:bidi="ar-SA"/>
        </w:rPr>
        <w:t>21.6</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0" w:firstLineChars="200"/>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color w:val="auto"/>
          <w:kern w:val="2"/>
          <w:sz w:val="32"/>
          <w:szCs w:val="32"/>
          <w:lang w:val="zh-CN" w:eastAsia="zh-CN" w:bidi="ar-SA"/>
        </w:rPr>
        <w:t>组织对“2023年区级鹿泉大河路照明工程”“2023镇级机关运转经费”等</w:t>
      </w:r>
      <w:r>
        <w:rPr>
          <w:rFonts w:hint="eastAsia" w:ascii="Times New Roman" w:hAnsi="Times New Roman" w:eastAsia="仿宋_GB2312" w:cs="Times New Roman"/>
          <w:color w:val="auto"/>
          <w:kern w:val="2"/>
          <w:sz w:val="32"/>
          <w:szCs w:val="32"/>
          <w:lang w:val="en-US" w:eastAsia="zh-CN" w:bidi="ar-SA"/>
        </w:rPr>
        <w:t>24</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2537.37</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21.6</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仿宋_GB2312" w:hAnsi="仿宋_GB2312" w:eastAsia="仿宋_GB2312" w:cs="仿宋_GB2312"/>
          <w:sz w:val="32"/>
          <w:szCs w:val="32"/>
          <w:lang w:val="en-US" w:eastAsia="zh-CN"/>
        </w:rPr>
        <w:t>共23个项目评价为优，1个项目评价为良。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（二）部门决算中项目绩效自评结果（如有）</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本部门在今年部门决算公开中反映</w:t>
      </w:r>
      <w:r>
        <w:rPr>
          <w:rFonts w:hint="eastAsia" w:ascii="仿宋_GB2312" w:hAnsi="仿宋_GB2312" w:eastAsia="仿宋_GB2312" w:cs="仿宋_GB2312"/>
          <w:sz w:val="32"/>
          <w:szCs w:val="32"/>
          <w:lang w:val="en-US" w:eastAsia="zh-CN"/>
        </w:rPr>
        <w:t>农村生活垃圾清理资金项目</w:t>
      </w:r>
      <w:r>
        <w:rPr>
          <w:rFonts w:hint="default" w:ascii="Times New Roman" w:hAnsi="Times New Roman" w:eastAsia="仿宋_GB2312" w:cs="Times New Roman"/>
          <w:color w:val="auto"/>
          <w:kern w:val="2"/>
          <w:sz w:val="32"/>
          <w:szCs w:val="32"/>
          <w:lang w:val="zh-CN" w:eastAsia="zh-CN" w:bidi="ar-SA"/>
        </w:rPr>
        <w:t xml:space="preserve">及 </w:t>
      </w:r>
      <w:r>
        <w:rPr>
          <w:rFonts w:hint="eastAsia" w:ascii="仿宋_GB2312" w:hAnsi="仿宋_GB2312" w:eastAsia="仿宋_GB2312" w:cs="仿宋_GB2312"/>
          <w:sz w:val="32"/>
          <w:szCs w:val="32"/>
          <w:lang w:val="en-US" w:eastAsia="zh-CN"/>
        </w:rPr>
        <w:t>2023区级退役公益岗位、派遣人员工资、社保项目</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firstLine="880" w:firstLineChars="275"/>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1、2023镇级幼儿教师及代课教师劳务费支出</w:t>
      </w:r>
      <w:r>
        <w:rPr>
          <w:rFonts w:hint="default" w:ascii="Times New Roman" w:hAnsi="Times New Roman" w:eastAsia="仿宋_GB2312" w:cs="Times New Roman"/>
          <w:color w:val="auto"/>
          <w:kern w:val="2"/>
          <w:sz w:val="32"/>
          <w:szCs w:val="32"/>
          <w:lang w:val="zh-CN" w:eastAsia="zh-CN" w:bidi="ar-SA"/>
        </w:rPr>
        <w:t>项目绩效自评情况</w:t>
      </w:r>
      <w:r>
        <w:rPr>
          <w:rFonts w:hint="eastAsia" w:ascii="仿宋_GB2312" w:hAnsi="仿宋_GB2312" w:eastAsia="仿宋_GB2312" w:cs="仿宋_GB2312"/>
          <w:sz w:val="32"/>
          <w:szCs w:val="32"/>
          <w:lang w:val="en-US" w:eastAsia="zh-CN"/>
        </w:rPr>
        <w:t>。</w:t>
      </w:r>
      <w:r>
        <w:rPr>
          <w:rFonts w:hint="default" w:ascii="Times New Roman" w:hAnsi="Times New Roman" w:eastAsia="仿宋_GB2312" w:cs="Times New Roman"/>
          <w:color w:val="auto"/>
          <w:kern w:val="2"/>
          <w:sz w:val="32"/>
          <w:szCs w:val="32"/>
          <w:lang w:val="zh-CN" w:eastAsia="zh-CN" w:bidi="ar-SA"/>
        </w:rPr>
        <w:t>根据年初设定的绩效目标，2023镇级幼儿教师及代课教师劳务费支出项目绩效自评得分为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229</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229</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w:t>
      </w:r>
      <w:r>
        <w:rPr>
          <w:rFonts w:hint="eastAsia" w:ascii="Times New Roman" w:hAnsi="Times New Roman" w:eastAsia="仿宋_GB2312" w:cs="Times New Roman"/>
          <w:color w:val="auto"/>
          <w:kern w:val="2"/>
          <w:sz w:val="32"/>
          <w:szCs w:val="32"/>
          <w:lang w:val="en-US" w:eastAsia="zh-CN" w:bidi="ar-SA"/>
        </w:rPr>
        <w:t>我镇共有临时教师98名，其中幼儿教师26名，每人每月劳务费1960元，临时代课教师72名，每人每月劳务费1950元，已全部发放到位</w:t>
      </w:r>
      <w:r>
        <w:rPr>
          <w:rFonts w:hint="default" w:ascii="Times New Roman" w:hAnsi="Times New Roman" w:eastAsia="仿宋_GB2312" w:cs="Times New Roman"/>
          <w:color w:val="auto"/>
          <w:kern w:val="2"/>
          <w:sz w:val="32"/>
          <w:szCs w:val="32"/>
          <w:lang w:val="zh-CN" w:eastAsia="zh-CN" w:bidi="ar-SA"/>
        </w:rPr>
        <w:t>；二是通过对临时教师的劳务费支出可保障了临时代课人员的基本生活开支，提升幸福指数。未发现问题。</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2、2023区级退役公益岗位、派遣人员工资、社保</w:t>
      </w:r>
      <w:r>
        <w:rPr>
          <w:rFonts w:hint="default" w:ascii="Times New Roman" w:hAnsi="Times New Roman" w:eastAsia="仿宋_GB2312" w:cs="Times New Roman"/>
          <w:color w:val="auto"/>
          <w:kern w:val="2"/>
          <w:sz w:val="32"/>
          <w:szCs w:val="32"/>
          <w:lang w:val="zh-CN" w:eastAsia="zh-CN" w:bidi="ar-SA"/>
        </w:rPr>
        <w:t>项目绩效自评情况</w:t>
      </w:r>
      <w:r>
        <w:rPr>
          <w:rFonts w:hint="eastAsia" w:ascii="仿宋_GB2312" w:hAnsi="仿宋_GB2312" w:eastAsia="仿宋_GB2312" w:cs="仿宋_GB2312"/>
          <w:sz w:val="32"/>
          <w:szCs w:val="32"/>
          <w:lang w:val="en-US" w:eastAsia="zh-CN"/>
        </w:rPr>
        <w:t>。</w:t>
      </w:r>
      <w:r>
        <w:rPr>
          <w:rFonts w:hint="default" w:ascii="Times New Roman" w:hAnsi="Times New Roman" w:eastAsia="仿宋_GB2312" w:cs="Times New Roman"/>
          <w:color w:val="auto"/>
          <w:kern w:val="2"/>
          <w:sz w:val="32"/>
          <w:szCs w:val="32"/>
          <w:lang w:val="zh-CN" w:eastAsia="zh-CN" w:bidi="ar-SA"/>
        </w:rPr>
        <w:t>根据年初设定的绩效目标，</w:t>
      </w:r>
      <w:r>
        <w:rPr>
          <w:rFonts w:hint="eastAsia" w:ascii="仿宋_GB2312" w:hAnsi="仿宋_GB2312" w:eastAsia="仿宋_GB2312" w:cs="仿宋_GB2312"/>
          <w:sz w:val="32"/>
          <w:szCs w:val="32"/>
          <w:lang w:val="en-US" w:eastAsia="zh-CN"/>
        </w:rPr>
        <w:t>2023区级退役公益岗位、派遣人员工资、社保</w:t>
      </w:r>
      <w:r>
        <w:rPr>
          <w:rFonts w:hint="default" w:ascii="Times New Roman" w:hAnsi="Times New Roman" w:eastAsia="仿宋_GB2312" w:cs="Times New Roman"/>
          <w:color w:val="auto"/>
          <w:kern w:val="2"/>
          <w:sz w:val="32"/>
          <w:szCs w:val="32"/>
          <w:lang w:val="zh-CN" w:eastAsia="zh-CN" w:bidi="ar-SA"/>
        </w:rPr>
        <w:t>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80.32</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80.32</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%。项目绩效目标完成情况：一是我单位对符合就业困难条件部队退役人员15名，实行公益岗位托管安置，</w:t>
      </w:r>
      <w:r>
        <w:rPr>
          <w:rFonts w:hint="eastAsia" w:ascii="Times New Roman" w:hAnsi="Times New Roman" w:eastAsia="仿宋_GB2312" w:cs="Times New Roman"/>
          <w:color w:val="auto"/>
          <w:kern w:val="2"/>
          <w:sz w:val="32"/>
          <w:szCs w:val="32"/>
          <w:lang w:val="en-US" w:eastAsia="zh-CN" w:bidi="ar-SA"/>
        </w:rPr>
        <w:t>工资已发放到位</w:t>
      </w:r>
      <w:r>
        <w:rPr>
          <w:rFonts w:hint="default" w:ascii="Times New Roman" w:hAnsi="Times New Roman" w:eastAsia="仿宋_GB2312" w:cs="Times New Roman"/>
          <w:color w:val="auto"/>
          <w:kern w:val="2"/>
          <w:sz w:val="32"/>
          <w:szCs w:val="32"/>
          <w:lang w:val="zh-CN" w:eastAsia="zh-CN" w:bidi="ar-SA"/>
        </w:rPr>
        <w:t>；二是帮扶救助到位，加大就业援助工作，实现就业。未发现问题。</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eastAsia" w:ascii="仿宋_GB2312" w:hAnsi="仿宋_GB2312" w:eastAsia="仿宋_GB2312" w:cs="仿宋_GB2312"/>
          <w:sz w:val="32"/>
          <w:szCs w:val="32"/>
          <w:lang w:val="en-US" w:eastAsia="zh-CN"/>
        </w:rPr>
        <w:t>3、</w:t>
      </w:r>
      <w:r>
        <w:rPr>
          <w:rFonts w:hint="default" w:ascii="Times New Roman" w:hAnsi="Times New Roman" w:eastAsia="仿宋_GB2312" w:cs="Times New Roman"/>
          <w:color w:val="auto"/>
          <w:kern w:val="2"/>
          <w:sz w:val="32"/>
          <w:szCs w:val="32"/>
          <w:lang w:val="zh-CN" w:eastAsia="zh-CN" w:bidi="ar-SA"/>
        </w:rPr>
        <w:t>2023镇级各村村级补助支出项目绩效自评情况：根据年初设定的绩效目标，2023镇级各村村级补助支出项目绩效自评得分为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200</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200</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w:t>
      </w:r>
      <w:r>
        <w:rPr>
          <w:rFonts w:hint="eastAsia" w:ascii="Times New Roman" w:hAnsi="Times New Roman" w:eastAsia="仿宋_GB2312" w:cs="Times New Roman"/>
          <w:color w:val="auto"/>
          <w:kern w:val="2"/>
          <w:sz w:val="32"/>
          <w:szCs w:val="32"/>
          <w:lang w:val="en-US" w:eastAsia="zh-CN" w:bidi="ar-SA"/>
        </w:rPr>
        <w:t>对各村美丽乡村建设进行补助</w:t>
      </w:r>
      <w:r>
        <w:rPr>
          <w:rFonts w:hint="default" w:ascii="Times New Roman" w:hAnsi="Times New Roman" w:eastAsia="仿宋_GB2312" w:cs="Times New Roman"/>
          <w:color w:val="auto"/>
          <w:kern w:val="2"/>
          <w:sz w:val="32"/>
          <w:szCs w:val="32"/>
          <w:lang w:val="zh-CN" w:eastAsia="zh-CN" w:bidi="ar-SA"/>
        </w:rPr>
        <w:t>；二是进行人居环境整治，创建适合宜居的美丽新乡村。</w:t>
      </w:r>
      <w:r>
        <w:rPr>
          <w:rFonts w:hint="default" w:ascii="Times New Roman" w:hAnsi="Times New Roman" w:eastAsia="仿宋_GB2312" w:cs="Times New Roman"/>
          <w:color w:val="auto"/>
          <w:kern w:val="0"/>
          <w:sz w:val="32"/>
          <w:szCs w:val="32"/>
          <w:highlight w:val="none"/>
          <w:lang w:val="en-US" w:eastAsia="zh-CN" w:bidi="ar-SA"/>
        </w:rPr>
        <w:t>未发现问题</w:t>
      </w:r>
      <w:r>
        <w:rPr>
          <w:rFonts w:hint="eastAsia" w:ascii="Times New Roman" w:hAnsi="Times New Roman" w:eastAsia="仿宋_GB2312" w:cs="Times New Roman"/>
          <w:color w:val="auto"/>
          <w:kern w:val="0"/>
          <w:sz w:val="32"/>
          <w:szCs w:val="32"/>
          <w:highlight w:val="none"/>
          <w:lang w:val="en-US" w:eastAsia="zh-CN" w:bidi="ar-SA"/>
        </w:rPr>
        <w:t>。</w:t>
      </w:r>
    </w:p>
    <w:p>
      <w:pPr>
        <w:ind w:firstLine="420" w:firstLineChars="0"/>
        <w:rPr>
          <w:rFonts w:hint="eastAsia"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附项目支出绩效自评表</w:t>
      </w:r>
      <w:r>
        <w:rPr>
          <w:rFonts w:hint="eastAsia" w:ascii="Times New Roman" w:hAnsi="Times New Roman" w:eastAsia="仿宋_GB2312" w:cs="Times New Roman"/>
          <w:sz w:val="32"/>
          <w:szCs w:val="32"/>
          <w:highlight w:val="none"/>
          <w:lang w:eastAsia="zh-CN"/>
        </w:rPr>
        <w:t>：</w:t>
      </w:r>
    </w:p>
    <w:p>
      <w:pPr>
        <w:ind w:firstLine="420" w:firstLineChars="0"/>
        <w:rPr>
          <w:rFonts w:hint="eastAsia" w:ascii="Times New Roman" w:hAnsi="Times New Roman" w:eastAsia="仿宋_GB2312" w:cs="Times New Roman"/>
          <w:sz w:val="32"/>
          <w:szCs w:val="32"/>
          <w:highlight w:val="none"/>
          <w:lang w:eastAsia="zh-CN"/>
        </w:rPr>
      </w:pPr>
    </w:p>
    <w:p>
      <w:pPr>
        <w:ind w:firstLine="420" w:firstLineChars="0"/>
        <w:rPr>
          <w:rFonts w:hint="eastAsia" w:ascii="Times New Roman" w:hAnsi="Times New Roman" w:eastAsia="仿宋_GB2312" w:cs="Times New Roman"/>
          <w:sz w:val="32"/>
          <w:szCs w:val="32"/>
          <w:highlight w:val="none"/>
          <w:lang w:eastAsia="zh-CN"/>
        </w:rPr>
      </w:pPr>
    </w:p>
    <w:p>
      <w:pPr>
        <w:ind w:firstLine="420" w:firstLineChars="0"/>
        <w:rPr>
          <w:rFonts w:hint="eastAsia" w:ascii="Times New Roman" w:hAnsi="Times New Roman" w:eastAsia="仿宋_GB2312" w:cs="Times New Roman"/>
          <w:sz w:val="32"/>
          <w:szCs w:val="32"/>
          <w:highlight w:val="none"/>
          <w:lang w:eastAsia="zh-CN"/>
        </w:rPr>
      </w:pPr>
    </w:p>
    <w:tbl>
      <w:tblPr>
        <w:tblStyle w:val="13"/>
        <w:tblW w:w="85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6"/>
        <w:gridCol w:w="5396"/>
        <w:gridCol w:w="1193"/>
        <w:gridCol w:w="1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40" w:hRule="atLeast"/>
        </w:trPr>
        <w:tc>
          <w:tcPr>
            <w:tcW w:w="8522" w:type="dxa"/>
            <w:gridSpan w:val="4"/>
            <w:tcBorders>
              <w:top w:val="nil"/>
              <w:left w:val="nil"/>
              <w:bottom w:val="nil"/>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b/>
                <w:bCs/>
                <w:i w:val="0"/>
                <w:iCs w:val="0"/>
                <w:color w:val="000000"/>
                <w:sz w:val="44"/>
                <w:szCs w:val="44"/>
                <w:u w:val="none"/>
              </w:rPr>
            </w:pPr>
            <w:r>
              <w:rPr>
                <w:rFonts w:hint="eastAsia" w:ascii="黑体" w:hAnsi="黑体" w:eastAsia="黑体" w:cs="黑体"/>
                <w:b/>
                <w:bCs/>
                <w:i w:val="0"/>
                <w:iCs w:val="0"/>
                <w:color w:val="000000"/>
                <w:kern w:val="0"/>
                <w:sz w:val="32"/>
                <w:szCs w:val="32"/>
                <w:u w:val="none"/>
                <w:lang w:val="en-US" w:eastAsia="zh-CN" w:bidi="ar"/>
              </w:rPr>
              <w:t>部门绩效自评结果公开汇总表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6132" w:type="dxa"/>
            <w:gridSpan w:val="2"/>
            <w:tcBorders>
              <w:top w:val="nil"/>
              <w:left w:val="nil"/>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主管部门：大河镇人民政府</w:t>
            </w:r>
          </w:p>
        </w:tc>
        <w:tc>
          <w:tcPr>
            <w:tcW w:w="2390" w:type="dxa"/>
            <w:gridSpan w:val="2"/>
            <w:tcBorders>
              <w:top w:val="nil"/>
              <w:left w:val="nil"/>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5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1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11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5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11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11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农村生活垃圾清理资金</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2023区级退役公益岗位、派遣人员工资、社保</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提前下达2022年省级农村综合改革转移支付资金（2022年大河镇一事一议项目）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提前下达2022年省级农村综合改革转移支付资金（2022年大河镇一事一议项目）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提前下达2023年省级农村综合改革转移支付资金（2023年大河镇一事一议项目）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提前下达2023年省级农村综合改革转移支付资金（2023年大河镇一事一议项目）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2023区级双庙营房污水管道项目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2023年区级宇缘纸品公司拆迁补偿（南故城村灵堂搬迁）</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2023年区级鹿泉大河路照明工程</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2023年区级故城旧工业区拆迁评估费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良好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大河物流周边整治提升</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公共文化设施免费开放（乡镇文化站）</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2023镇级幼儿教师及代课教师劳务费支出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2023年镇级幼儿教师及代课教师补发劳务费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2023镇级应急管理事务支出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2023镇级卫生及计划生育事物支出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2023镇级社会保障农村救济支出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2023镇级群众文化宣传资料及条幅、展牌等支出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2023镇级绿化、防汛等事务支出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2023镇级节能环保大气污染防治支出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2023镇级机关运转经费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2023镇级各村村级补助支出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2023镇级城乡社区其他事务支出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2023年镇级城乡社区其他事物支出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bl>
    <w:p>
      <w:pPr>
        <w:ind w:firstLine="420" w:firstLineChars="0"/>
        <w:rPr>
          <w:rFonts w:hint="eastAsia" w:ascii="Times New Roman" w:hAnsi="Times New Roman" w:eastAsia="仿宋_GB2312" w:cs="Times New Roman"/>
          <w:sz w:val="32"/>
          <w:szCs w:val="32"/>
          <w:highlight w:val="none"/>
          <w:lang w:eastAsia="zh-CN"/>
        </w:rPr>
      </w:pPr>
    </w:p>
    <w:p>
      <w:pPr>
        <w:numPr>
          <w:ilvl w:val="0"/>
          <w:numId w:val="6"/>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tbl>
      <w:tblPr>
        <w:tblStyle w:val="13"/>
        <w:tblW w:w="85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6"/>
        <w:gridCol w:w="5396"/>
        <w:gridCol w:w="1193"/>
        <w:gridCol w:w="1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40" w:hRule="atLeast"/>
        </w:trPr>
        <w:tc>
          <w:tcPr>
            <w:tcW w:w="8522" w:type="dxa"/>
            <w:gridSpan w:val="4"/>
            <w:tcBorders>
              <w:top w:val="nil"/>
              <w:left w:val="nil"/>
              <w:bottom w:val="nil"/>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b/>
                <w:bCs/>
                <w:i w:val="0"/>
                <w:iCs w:val="0"/>
                <w:color w:val="000000"/>
                <w:sz w:val="44"/>
                <w:szCs w:val="44"/>
                <w:u w:val="none"/>
              </w:rPr>
            </w:pPr>
            <w:r>
              <w:rPr>
                <w:rFonts w:hint="eastAsia" w:ascii="黑体" w:hAnsi="黑体" w:eastAsia="黑体" w:cs="黑体"/>
                <w:b/>
                <w:bCs/>
                <w:i w:val="0"/>
                <w:iCs w:val="0"/>
                <w:color w:val="000000"/>
                <w:kern w:val="0"/>
                <w:sz w:val="32"/>
                <w:szCs w:val="32"/>
                <w:u w:val="none"/>
                <w:lang w:val="en-US" w:eastAsia="zh-CN" w:bidi="ar"/>
              </w:rPr>
              <w:t>部门绩效自评结果公开汇总表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6132" w:type="dxa"/>
            <w:gridSpan w:val="2"/>
            <w:tcBorders>
              <w:top w:val="nil"/>
              <w:left w:val="nil"/>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主管部门：大河镇人民政府</w:t>
            </w:r>
          </w:p>
        </w:tc>
        <w:tc>
          <w:tcPr>
            <w:tcW w:w="2390" w:type="dxa"/>
            <w:gridSpan w:val="2"/>
            <w:tcBorders>
              <w:top w:val="nil"/>
              <w:left w:val="nil"/>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5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1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11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5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11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11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农村生活垃圾清理资金</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2023区级退役公益岗位、派遣人员工资、社保</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提前下达2022年省级农村综合改革转移支付资金（2022年大河镇一事一议项目）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提前下达2022年省级农村综合改革转移支付资金（2022年大河镇一事一议项目）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提前下达2023年省级农村综合改革转移支付资金（2023年大河镇一事一议项目）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提前下达2023年省级农村综合改革转移支付资金（2023年大河镇一事一议项目）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2023区级双庙营房污水管道项目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2023年区级宇缘纸品公司拆迁补偿（南故城村灵堂搬迁）</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2023年区级鹿泉大河路照明工程</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2023年区级故城旧工业区拆迁评估费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良好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大河物流周边整治提升</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公共文化设施免费开放（乡镇文化站）</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2023镇级幼儿教师及代课教师劳务费支出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2023年镇级幼儿教师及代课教师补发劳务费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2023镇级应急管理事务支出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2023镇级卫生及计划生育事物支出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2023镇级社会保障农村救济支出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2023镇级群众文化宣传资料及条幅、展牌等支出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2023镇级绿化、防汛等事务支出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2023镇级节能环保大气污染防治支出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2023镇级机关运转经费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2023镇级各村村级补助支出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2023镇级城乡社区其他事务支出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2023年镇级城乡社区其他事物支出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bl>
    <w:p>
      <w:pPr>
        <w:adjustRightInd w:val="0"/>
        <w:snapToGrid w:val="0"/>
        <w:spacing w:line="580" w:lineRule="exact"/>
        <w:ind w:left="480" w:leftChars="200" w:firstLine="321" w:firstLineChars="100"/>
        <w:rPr>
          <w:rFonts w:ascii="Times New Roman" w:hAnsi="Times New Roman" w:eastAsia="仿宋_GB2312" w:cs="Times New Roman"/>
          <w:b/>
          <w:bCs/>
          <w:sz w:val="32"/>
          <w:szCs w:val="32"/>
        </w:rPr>
      </w:pP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Times New Roman" w:hAnsi="Times New Roman" w:eastAsia="仿宋_GB2312" w:cs="Times New Roman"/>
          <w:sz w:val="32"/>
          <w:szCs w:val="32"/>
        </w:rPr>
        <w:t xml:space="preserve">1. </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年度未发生国有资本经营预算收支及结转结余情况，故国有资本经营预算支出表 (0</w:t>
      </w:r>
      <w:r>
        <w:rPr>
          <w:rFonts w:hint="eastAsia" w:ascii="仿宋_GB2312" w:hAnsi="Times New Roman" w:eastAsia="仿宋_GB2312" w:cs="仿宋_GB2312"/>
          <w:sz w:val="32"/>
          <w:szCs w:val="32"/>
          <w:lang w:val="en-US" w:eastAsia="zh-CN"/>
        </w:rPr>
        <w:t>8</w:t>
      </w:r>
      <w:r>
        <w:rPr>
          <w:rFonts w:hint="eastAsia" w:ascii="仿宋_GB2312" w:hAnsi="Times New Roman" w:eastAsia="仿宋_GB2312" w:cs="仿宋_GB2312"/>
          <w:sz w:val="32"/>
          <w:szCs w:val="32"/>
        </w:rPr>
        <w:t xml:space="preserve"> 表) 以空表列示。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仿宋_GB2312" w:cs="Times New Roman"/>
          <w:sz w:val="32"/>
          <w:szCs w:val="32"/>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p>
    <w:p>
      <w:pPr>
        <w:rPr>
          <w:rFonts w:ascii="Times New Roman" w:hAnsi="Times New Roman" w:cs="Times New Roman"/>
        </w:rPr>
      </w:pPr>
    </w:p>
    <w:p>
      <w:pPr>
        <w:pStyle w:val="10"/>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E6963EB8-7842-4CEA-B839-D0EC573C6C0F}"/>
  </w:font>
  <w:font w:name="黑体">
    <w:panose1 w:val="02010609060101010101"/>
    <w:charset w:val="86"/>
    <w:family w:val="auto"/>
    <w:pitch w:val="default"/>
    <w:sig w:usb0="800002BF" w:usb1="38CF7CFA" w:usb2="00000016" w:usb3="00000000" w:csb0="00040001" w:csb1="00000000"/>
    <w:embedRegular r:id="rId2" w:fontKey="{193EA4F5-5208-4775-ABE1-57F6296601B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6FFA59CB-96B0-469B-AAFE-3BBE0B4E735F}"/>
  </w:font>
  <w:font w:name="仿宋">
    <w:panose1 w:val="02010609060101010101"/>
    <w:charset w:val="86"/>
    <w:family w:val="modern"/>
    <w:pitch w:val="default"/>
    <w:sig w:usb0="800002BF" w:usb1="38CF7CFA" w:usb2="00000016" w:usb3="00000000" w:csb0="00040001" w:csb1="00000000"/>
    <w:embedRegular r:id="rId4" w:fontKey="{C2EEAEA2-5C7A-4173-B6D4-33F383E98D61}"/>
  </w:font>
  <w:font w:name="Calibri Light">
    <w:panose1 w:val="020F0302020204030204"/>
    <w:charset w:val="00"/>
    <w:family w:val="swiss"/>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方正魏碑简体">
    <w:altName w:val="微软雅黑"/>
    <w:panose1 w:val="00000000000000000000"/>
    <w:charset w:val="86"/>
    <w:family w:val="auto"/>
    <w:pitch w:val="default"/>
    <w:sig w:usb0="00000000" w:usb1="00000000" w:usb2="00000010" w:usb3="00000000" w:csb0="00040000" w:csb1="00000000"/>
    <w:embedRegular r:id="rId5" w:fontKey="{FE03A12D-1A3B-436B-B2D0-401272523902}"/>
  </w:font>
  <w:font w:name="思源黑体 CN Heavy">
    <w:altName w:val="黑体"/>
    <w:panose1 w:val="00000000000000000000"/>
    <w:charset w:val="86"/>
    <w:family w:val="swiss"/>
    <w:pitch w:val="default"/>
    <w:sig w:usb0="00000000" w:usb1="00000000" w:usb2="00000016" w:usb3="00000000" w:csb0="00060107" w:csb1="00000000"/>
    <w:embedRegular r:id="rId6" w:fontKey="{1F365A5A-8651-498B-9766-F2C60B03B971}"/>
  </w:font>
  <w:font w:name="楷体_GB2312">
    <w:altName w:val="楷体"/>
    <w:panose1 w:val="00000000000000000000"/>
    <w:charset w:val="86"/>
    <w:family w:val="auto"/>
    <w:pitch w:val="default"/>
    <w:sig w:usb0="00000000" w:usb1="00000000" w:usb2="00000000" w:usb3="00000000" w:csb0="00040000" w:csb1="00000000"/>
    <w:embedRegular r:id="rId7" w:fontKey="{33CA9633-6FC2-48BA-96E6-9F3A32B662C2}"/>
  </w:font>
  <w:font w:name="仿宋_GB2312">
    <w:panose1 w:val="02010609030101010101"/>
    <w:charset w:val="86"/>
    <w:family w:val="modern"/>
    <w:pitch w:val="default"/>
    <w:sig w:usb0="00000000" w:usb1="00000000" w:usb2="00000000" w:usb3="00000000" w:csb0="00000000" w:csb1="00000000"/>
    <w:embedRegular r:id="rId8" w:fontKey="{69D9D913-F0FE-4661-B283-289FF873CFA9}"/>
  </w:font>
  <w:font w:name="ArialUnicodeMS">
    <w:altName w:val="Malgun Gothic"/>
    <w:panose1 w:val="00000000000000000000"/>
    <w:charset w:val="81"/>
    <w:family w:val="auto"/>
    <w:pitch w:val="default"/>
    <w:sig w:usb0="00000000" w:usb1="00000000" w:usb2="00000010" w:usb3="00000000" w:csb0="00080001" w:csb1="00000000"/>
    <w:embedRegular r:id="rId9" w:fontKey="{F6320BE8-631C-4810-8940-A243E460894B}"/>
  </w:font>
  <w:font w:name="方正仿宋_GB2312">
    <w:panose1 w:val="02000000000000000000"/>
    <w:charset w:val="86"/>
    <w:family w:val="auto"/>
    <w:pitch w:val="default"/>
    <w:sig w:usb0="00000000" w:usb1="00000000" w:usb2="00000000" w:usb3="00000000" w:csb0="00000000" w:csb1="00000000"/>
    <w:embedRegular r:id="rId10" w:fontKey="{EF81F966-5585-499E-A023-2B980A50A602}"/>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287A6"/>
    <w:multiLevelType w:val="singleLevel"/>
    <w:tmpl w:val="9A6287A6"/>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F6EFC8EB"/>
    <w:multiLevelType w:val="singleLevel"/>
    <w:tmpl w:val="F6EFC8EB"/>
    <w:lvl w:ilvl="0" w:tentative="0">
      <w:start w:val="3"/>
      <w:numFmt w:val="chineseCounting"/>
      <w:suff w:val="nothing"/>
      <w:lvlText w:val="（%1）"/>
      <w:lvlJc w:val="left"/>
      <w:rPr>
        <w:rFonts w:hint="eastAsia"/>
      </w:rPr>
    </w:lvl>
  </w:abstractNum>
  <w:abstractNum w:abstractNumId="3">
    <w:nsid w:val="F9C35759"/>
    <w:multiLevelType w:val="singleLevel"/>
    <w:tmpl w:val="F9C35759"/>
    <w:lvl w:ilvl="0" w:tentative="0">
      <w:start w:val="1"/>
      <w:numFmt w:val="decimal"/>
      <w:suff w:val="space"/>
      <w:lvlText w:val="%1."/>
      <w:lvlJc w:val="left"/>
    </w:lvl>
  </w:abstractNum>
  <w:abstractNum w:abstractNumId="4">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5">
    <w:nsid w:val="7B8D2173"/>
    <w:multiLevelType w:val="singleLevel"/>
    <w:tmpl w:val="7B8D2173"/>
    <w:lvl w:ilvl="0" w:tentative="0">
      <w:start w:val="1"/>
      <w:numFmt w:val="decimal"/>
      <w:lvlText w:val="%1."/>
      <w:lvlJc w:val="left"/>
      <w:pPr>
        <w:tabs>
          <w:tab w:val="left" w:pos="312"/>
        </w:tabs>
      </w:pPr>
    </w:lvl>
  </w:abstractNum>
  <w:num w:numId="1">
    <w:abstractNumId w:val="4"/>
  </w:num>
  <w:num w:numId="2">
    <w:abstractNumId w:val="3"/>
  </w:num>
  <w:num w:numId="3">
    <w:abstractNumId w:val="5"/>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AsImhkaWQiOiI1YjIzZmJlNDY2OTI4MzlhMzk2MjE4YTY1Zjc4OThjYyIsInVzZXJDb3VudCI6Mn0="/>
  </w:docVars>
  <w:rsids>
    <w:rsidRoot w:val="00144C07"/>
    <w:rsid w:val="00086151"/>
    <w:rsid w:val="00144C07"/>
    <w:rsid w:val="00236F8C"/>
    <w:rsid w:val="0064383A"/>
    <w:rsid w:val="007F638C"/>
    <w:rsid w:val="008B271F"/>
    <w:rsid w:val="008E6AAF"/>
    <w:rsid w:val="00AD3588"/>
    <w:rsid w:val="00B151A5"/>
    <w:rsid w:val="00C65689"/>
    <w:rsid w:val="00CA6AE0"/>
    <w:rsid w:val="00CC2C8E"/>
    <w:rsid w:val="016E52B5"/>
    <w:rsid w:val="01900E19"/>
    <w:rsid w:val="01A03C5A"/>
    <w:rsid w:val="01A5267D"/>
    <w:rsid w:val="02363AF1"/>
    <w:rsid w:val="024808A2"/>
    <w:rsid w:val="025C3821"/>
    <w:rsid w:val="02DA3B1B"/>
    <w:rsid w:val="02E57B4D"/>
    <w:rsid w:val="037B12D4"/>
    <w:rsid w:val="03804D63"/>
    <w:rsid w:val="03FB73B0"/>
    <w:rsid w:val="04BD008C"/>
    <w:rsid w:val="04C55939"/>
    <w:rsid w:val="04DA28BB"/>
    <w:rsid w:val="04F419D9"/>
    <w:rsid w:val="04F528BE"/>
    <w:rsid w:val="05991C82"/>
    <w:rsid w:val="061416A9"/>
    <w:rsid w:val="06236884"/>
    <w:rsid w:val="067E788A"/>
    <w:rsid w:val="06FC7C2A"/>
    <w:rsid w:val="07533AFE"/>
    <w:rsid w:val="07B3657A"/>
    <w:rsid w:val="07C703AC"/>
    <w:rsid w:val="07C857D0"/>
    <w:rsid w:val="08333D3D"/>
    <w:rsid w:val="08AB5AAF"/>
    <w:rsid w:val="08BD7780"/>
    <w:rsid w:val="09012C64"/>
    <w:rsid w:val="093B2E99"/>
    <w:rsid w:val="095D7943"/>
    <w:rsid w:val="09C006C6"/>
    <w:rsid w:val="0A10621F"/>
    <w:rsid w:val="0A464C4F"/>
    <w:rsid w:val="0A6729A3"/>
    <w:rsid w:val="0A694877"/>
    <w:rsid w:val="0AA954BE"/>
    <w:rsid w:val="0AE0030A"/>
    <w:rsid w:val="0AE70639"/>
    <w:rsid w:val="0B4F5E6D"/>
    <w:rsid w:val="0B753AE2"/>
    <w:rsid w:val="0BB67D0A"/>
    <w:rsid w:val="0BC56230"/>
    <w:rsid w:val="0BCF21BD"/>
    <w:rsid w:val="0C4E53E8"/>
    <w:rsid w:val="0C9F7900"/>
    <w:rsid w:val="0CB23317"/>
    <w:rsid w:val="0CBE297A"/>
    <w:rsid w:val="0D101068"/>
    <w:rsid w:val="0D49470D"/>
    <w:rsid w:val="0D7557DF"/>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1F57951"/>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935485"/>
    <w:rsid w:val="18946C52"/>
    <w:rsid w:val="18A34206"/>
    <w:rsid w:val="18DE3B2C"/>
    <w:rsid w:val="1906685D"/>
    <w:rsid w:val="19111683"/>
    <w:rsid w:val="19353916"/>
    <w:rsid w:val="19B07C1B"/>
    <w:rsid w:val="19C10AF1"/>
    <w:rsid w:val="1A077661"/>
    <w:rsid w:val="1A2672DE"/>
    <w:rsid w:val="1AA81D42"/>
    <w:rsid w:val="1AB433D9"/>
    <w:rsid w:val="1B1B11EE"/>
    <w:rsid w:val="1B3719E0"/>
    <w:rsid w:val="1B6261C3"/>
    <w:rsid w:val="1B731730"/>
    <w:rsid w:val="1B882BB5"/>
    <w:rsid w:val="1B906310"/>
    <w:rsid w:val="1B9B33C7"/>
    <w:rsid w:val="1B9D7FEC"/>
    <w:rsid w:val="1BA55461"/>
    <w:rsid w:val="1BC872C4"/>
    <w:rsid w:val="1BE74496"/>
    <w:rsid w:val="1C35495A"/>
    <w:rsid w:val="1C3D67D1"/>
    <w:rsid w:val="1C40731A"/>
    <w:rsid w:val="1C560392"/>
    <w:rsid w:val="1C581532"/>
    <w:rsid w:val="1CA15E03"/>
    <w:rsid w:val="1CA24F0C"/>
    <w:rsid w:val="1CF8716C"/>
    <w:rsid w:val="1D230EBD"/>
    <w:rsid w:val="1D4B1F5B"/>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20451AB"/>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D50E55"/>
    <w:rsid w:val="270763D6"/>
    <w:rsid w:val="271A539C"/>
    <w:rsid w:val="274972D4"/>
    <w:rsid w:val="2787204F"/>
    <w:rsid w:val="27AA3D97"/>
    <w:rsid w:val="289057C5"/>
    <w:rsid w:val="289724F8"/>
    <w:rsid w:val="28A67C7A"/>
    <w:rsid w:val="28D1057E"/>
    <w:rsid w:val="28D458A4"/>
    <w:rsid w:val="28D7372A"/>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BD223E"/>
    <w:rsid w:val="2EC10AD1"/>
    <w:rsid w:val="2ECB6A5A"/>
    <w:rsid w:val="2EFC0112"/>
    <w:rsid w:val="2F2B730D"/>
    <w:rsid w:val="2F8169E4"/>
    <w:rsid w:val="2F9F3DC1"/>
    <w:rsid w:val="2FFC7AC2"/>
    <w:rsid w:val="301430AF"/>
    <w:rsid w:val="30630612"/>
    <w:rsid w:val="308E59B0"/>
    <w:rsid w:val="30B10568"/>
    <w:rsid w:val="30E55DD3"/>
    <w:rsid w:val="30E60399"/>
    <w:rsid w:val="31356AA5"/>
    <w:rsid w:val="313E22F0"/>
    <w:rsid w:val="31A37D5F"/>
    <w:rsid w:val="31B0194C"/>
    <w:rsid w:val="31BC4D7D"/>
    <w:rsid w:val="31CE17D1"/>
    <w:rsid w:val="31CE3CA3"/>
    <w:rsid w:val="31F35617"/>
    <w:rsid w:val="323E4515"/>
    <w:rsid w:val="324E00CB"/>
    <w:rsid w:val="3286389B"/>
    <w:rsid w:val="32CE6A40"/>
    <w:rsid w:val="32CF5C94"/>
    <w:rsid w:val="32D337C7"/>
    <w:rsid w:val="32E200EC"/>
    <w:rsid w:val="32E5408B"/>
    <w:rsid w:val="32EB0D70"/>
    <w:rsid w:val="332868BB"/>
    <w:rsid w:val="333211F3"/>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5277FF8"/>
    <w:rsid w:val="3558300F"/>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B1DFC"/>
    <w:rsid w:val="3AA6422C"/>
    <w:rsid w:val="3AAF46D5"/>
    <w:rsid w:val="3B135A0E"/>
    <w:rsid w:val="3B272BBC"/>
    <w:rsid w:val="3B2C4F14"/>
    <w:rsid w:val="3B374FEE"/>
    <w:rsid w:val="3B3D2A8B"/>
    <w:rsid w:val="3B4410EE"/>
    <w:rsid w:val="3B56159C"/>
    <w:rsid w:val="3B7D732B"/>
    <w:rsid w:val="3BA7084C"/>
    <w:rsid w:val="3BD30423"/>
    <w:rsid w:val="3C3A1750"/>
    <w:rsid w:val="3C6147F2"/>
    <w:rsid w:val="3C6C0B58"/>
    <w:rsid w:val="3CBE41D5"/>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5C3C90"/>
    <w:rsid w:val="43676E20"/>
    <w:rsid w:val="43A31040"/>
    <w:rsid w:val="43BF774E"/>
    <w:rsid w:val="43CD062F"/>
    <w:rsid w:val="43E214F9"/>
    <w:rsid w:val="43F06264"/>
    <w:rsid w:val="44404C8E"/>
    <w:rsid w:val="447537F1"/>
    <w:rsid w:val="44870D07"/>
    <w:rsid w:val="45513D03"/>
    <w:rsid w:val="45541E1C"/>
    <w:rsid w:val="458931B6"/>
    <w:rsid w:val="45F657C2"/>
    <w:rsid w:val="46107AB9"/>
    <w:rsid w:val="461F0A8B"/>
    <w:rsid w:val="4648721E"/>
    <w:rsid w:val="46663E71"/>
    <w:rsid w:val="466A37AC"/>
    <w:rsid w:val="46CA117D"/>
    <w:rsid w:val="46CB071B"/>
    <w:rsid w:val="46DE140B"/>
    <w:rsid w:val="46E77334"/>
    <w:rsid w:val="46F22E29"/>
    <w:rsid w:val="46F7142F"/>
    <w:rsid w:val="47107AE3"/>
    <w:rsid w:val="473C62ED"/>
    <w:rsid w:val="47617242"/>
    <w:rsid w:val="47731896"/>
    <w:rsid w:val="4783216D"/>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A06B93"/>
    <w:rsid w:val="4ACC6C2B"/>
    <w:rsid w:val="4ADB18EB"/>
    <w:rsid w:val="4B0371D8"/>
    <w:rsid w:val="4B6D2F19"/>
    <w:rsid w:val="4B96118E"/>
    <w:rsid w:val="4BAE1B66"/>
    <w:rsid w:val="4BED4708"/>
    <w:rsid w:val="4BF133DC"/>
    <w:rsid w:val="4C507D4A"/>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DB463D"/>
    <w:rsid w:val="4EEC2ED3"/>
    <w:rsid w:val="4F037DB0"/>
    <w:rsid w:val="4F0B74A3"/>
    <w:rsid w:val="4F0E56EA"/>
    <w:rsid w:val="4F1863F5"/>
    <w:rsid w:val="4F2E11BC"/>
    <w:rsid w:val="4F3C4343"/>
    <w:rsid w:val="4F416688"/>
    <w:rsid w:val="4F5620B0"/>
    <w:rsid w:val="4F6654EE"/>
    <w:rsid w:val="4F7379C6"/>
    <w:rsid w:val="4F872183"/>
    <w:rsid w:val="4F872BDB"/>
    <w:rsid w:val="4F9111A0"/>
    <w:rsid w:val="4F9F566B"/>
    <w:rsid w:val="4FA033E9"/>
    <w:rsid w:val="4FA743DA"/>
    <w:rsid w:val="4FB3565A"/>
    <w:rsid w:val="4FCB76FB"/>
    <w:rsid w:val="4FED77BF"/>
    <w:rsid w:val="503D1C79"/>
    <w:rsid w:val="507A6406"/>
    <w:rsid w:val="50853863"/>
    <w:rsid w:val="508A4590"/>
    <w:rsid w:val="50F1461D"/>
    <w:rsid w:val="50FE5411"/>
    <w:rsid w:val="510B072E"/>
    <w:rsid w:val="511B0BF4"/>
    <w:rsid w:val="51264306"/>
    <w:rsid w:val="516123CE"/>
    <w:rsid w:val="51B177A9"/>
    <w:rsid w:val="51C4760A"/>
    <w:rsid w:val="51CF0D81"/>
    <w:rsid w:val="51E066EB"/>
    <w:rsid w:val="5267570A"/>
    <w:rsid w:val="52707792"/>
    <w:rsid w:val="52A12CDC"/>
    <w:rsid w:val="52DF0C92"/>
    <w:rsid w:val="52E1159C"/>
    <w:rsid w:val="52E34D6A"/>
    <w:rsid w:val="531E524E"/>
    <w:rsid w:val="534072EB"/>
    <w:rsid w:val="537F4776"/>
    <w:rsid w:val="538E2D0B"/>
    <w:rsid w:val="53922782"/>
    <w:rsid w:val="539C1424"/>
    <w:rsid w:val="53A639C0"/>
    <w:rsid w:val="53F00A24"/>
    <w:rsid w:val="53F63DBA"/>
    <w:rsid w:val="5448624E"/>
    <w:rsid w:val="546E2B1A"/>
    <w:rsid w:val="5482555F"/>
    <w:rsid w:val="551452C2"/>
    <w:rsid w:val="55363E67"/>
    <w:rsid w:val="555C4981"/>
    <w:rsid w:val="556E6DF7"/>
    <w:rsid w:val="559D47CE"/>
    <w:rsid w:val="55BE1959"/>
    <w:rsid w:val="56232437"/>
    <w:rsid w:val="56541A75"/>
    <w:rsid w:val="568832FC"/>
    <w:rsid w:val="568C4181"/>
    <w:rsid w:val="56B73A15"/>
    <w:rsid w:val="570725A9"/>
    <w:rsid w:val="5714693E"/>
    <w:rsid w:val="571D0C9C"/>
    <w:rsid w:val="573A16CE"/>
    <w:rsid w:val="579C7F80"/>
    <w:rsid w:val="57B30D7C"/>
    <w:rsid w:val="57D80EB0"/>
    <w:rsid w:val="58166B03"/>
    <w:rsid w:val="583E3C94"/>
    <w:rsid w:val="58721734"/>
    <w:rsid w:val="58900246"/>
    <w:rsid w:val="58977358"/>
    <w:rsid w:val="58D53944"/>
    <w:rsid w:val="58D65478"/>
    <w:rsid w:val="58F52487"/>
    <w:rsid w:val="58F778BC"/>
    <w:rsid w:val="590422E6"/>
    <w:rsid w:val="592257E5"/>
    <w:rsid w:val="59655E33"/>
    <w:rsid w:val="596655D3"/>
    <w:rsid w:val="59CF5BD9"/>
    <w:rsid w:val="59E20C3C"/>
    <w:rsid w:val="5A1D5B0A"/>
    <w:rsid w:val="5A3B4B4E"/>
    <w:rsid w:val="5A4804CA"/>
    <w:rsid w:val="5A594C85"/>
    <w:rsid w:val="5A7A11AE"/>
    <w:rsid w:val="5AEB1E3C"/>
    <w:rsid w:val="5B2507CA"/>
    <w:rsid w:val="5B2A474A"/>
    <w:rsid w:val="5B830730"/>
    <w:rsid w:val="5B871C49"/>
    <w:rsid w:val="5BBB2DD6"/>
    <w:rsid w:val="5BE065C4"/>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1072DA5"/>
    <w:rsid w:val="611C0817"/>
    <w:rsid w:val="61224A52"/>
    <w:rsid w:val="61520CCB"/>
    <w:rsid w:val="61614E76"/>
    <w:rsid w:val="61851A29"/>
    <w:rsid w:val="622D1522"/>
    <w:rsid w:val="622E0574"/>
    <w:rsid w:val="62683B6B"/>
    <w:rsid w:val="62AC5944"/>
    <w:rsid w:val="632731DA"/>
    <w:rsid w:val="637279B4"/>
    <w:rsid w:val="63817D2B"/>
    <w:rsid w:val="63BD1FA9"/>
    <w:rsid w:val="63D27965"/>
    <w:rsid w:val="64095516"/>
    <w:rsid w:val="641A2468"/>
    <w:rsid w:val="64372F20"/>
    <w:rsid w:val="64DC72D7"/>
    <w:rsid w:val="653619A6"/>
    <w:rsid w:val="65610A02"/>
    <w:rsid w:val="65A11EA3"/>
    <w:rsid w:val="65AC3D66"/>
    <w:rsid w:val="65BB5334"/>
    <w:rsid w:val="663E1DBA"/>
    <w:rsid w:val="665D0213"/>
    <w:rsid w:val="669E59F1"/>
    <w:rsid w:val="66A2024B"/>
    <w:rsid w:val="66EA4BA0"/>
    <w:rsid w:val="6704732B"/>
    <w:rsid w:val="670F6731"/>
    <w:rsid w:val="67127C7D"/>
    <w:rsid w:val="67280F62"/>
    <w:rsid w:val="67585CB0"/>
    <w:rsid w:val="67770F0C"/>
    <w:rsid w:val="67B03535"/>
    <w:rsid w:val="6801775B"/>
    <w:rsid w:val="68174F69"/>
    <w:rsid w:val="682C436A"/>
    <w:rsid w:val="68382778"/>
    <w:rsid w:val="68391F41"/>
    <w:rsid w:val="68436B8C"/>
    <w:rsid w:val="684C37A9"/>
    <w:rsid w:val="68797358"/>
    <w:rsid w:val="6884624F"/>
    <w:rsid w:val="68A519DF"/>
    <w:rsid w:val="68C4160B"/>
    <w:rsid w:val="68C41C30"/>
    <w:rsid w:val="68CF3BA4"/>
    <w:rsid w:val="69257FA7"/>
    <w:rsid w:val="693711B0"/>
    <w:rsid w:val="693B5419"/>
    <w:rsid w:val="693F26C7"/>
    <w:rsid w:val="697E12B2"/>
    <w:rsid w:val="69C8706D"/>
    <w:rsid w:val="6A0E3FB4"/>
    <w:rsid w:val="6A292754"/>
    <w:rsid w:val="6A5E3B28"/>
    <w:rsid w:val="6A6B1EBE"/>
    <w:rsid w:val="6A8F43F7"/>
    <w:rsid w:val="6ABF79B7"/>
    <w:rsid w:val="6AD625F3"/>
    <w:rsid w:val="6B750BA9"/>
    <w:rsid w:val="6BB93285"/>
    <w:rsid w:val="6C0C698C"/>
    <w:rsid w:val="6C222401"/>
    <w:rsid w:val="6C56267F"/>
    <w:rsid w:val="6C826EF9"/>
    <w:rsid w:val="6CAE4C93"/>
    <w:rsid w:val="6D0B1869"/>
    <w:rsid w:val="6D61214D"/>
    <w:rsid w:val="6D65402D"/>
    <w:rsid w:val="6D683822"/>
    <w:rsid w:val="6D8D136C"/>
    <w:rsid w:val="6DBF2759"/>
    <w:rsid w:val="6DC96F36"/>
    <w:rsid w:val="6DE36C13"/>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21708A"/>
    <w:rsid w:val="713C4ED8"/>
    <w:rsid w:val="71407642"/>
    <w:rsid w:val="71641210"/>
    <w:rsid w:val="71D95B7C"/>
    <w:rsid w:val="71EA6A50"/>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272BC6"/>
    <w:rsid w:val="76C23B43"/>
    <w:rsid w:val="76FD6F97"/>
    <w:rsid w:val="770218E8"/>
    <w:rsid w:val="77C875A5"/>
    <w:rsid w:val="78A27DF6"/>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B93996"/>
    <w:rsid w:val="7CBE0F99"/>
    <w:rsid w:val="7D4E45F1"/>
    <w:rsid w:val="7D733448"/>
    <w:rsid w:val="7DFB6D82"/>
    <w:rsid w:val="7E1D71D1"/>
    <w:rsid w:val="7E246254"/>
    <w:rsid w:val="7E6D090F"/>
    <w:rsid w:val="7ECC66B2"/>
    <w:rsid w:val="7EF015E4"/>
    <w:rsid w:val="7F087006"/>
    <w:rsid w:val="7FA837EF"/>
    <w:rsid w:val="7FC36955"/>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1">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character" w:styleId="12">
    <w:name w:val="Strong"/>
    <w:basedOn w:val="11"/>
    <w:qFormat/>
    <w:uiPriority w:val="22"/>
    <w:rPr>
      <w:b/>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5">
    <w:name w:val="标题 2 字符"/>
    <w:link w:val="3"/>
    <w:qFormat/>
    <w:uiPriority w:val="0"/>
    <w:rPr>
      <w:rFonts w:ascii="Calibri Light" w:hAnsi="Calibri Light" w:eastAsia="宋体" w:cs="Times New Roman"/>
      <w:b/>
      <w:bCs/>
      <w:sz w:val="28"/>
      <w:szCs w:val="32"/>
    </w:rPr>
  </w:style>
  <w:style w:type="character" w:customStyle="1" w:styleId="16">
    <w:name w:val="页脚 字符"/>
    <w:basedOn w:val="11"/>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字符"/>
    <w:basedOn w:val="11"/>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1"/>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1"/>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1"/>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1"/>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字符"/>
    <w:basedOn w:val="11"/>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chart" Target="charts/chart12.xml"/><Relationship Id="rId21" Type="http://schemas.openxmlformats.org/officeDocument/2006/relationships/chart" Target="charts/chart11.xml"/><Relationship Id="rId20" Type="http://schemas.openxmlformats.org/officeDocument/2006/relationships/chart" Target="charts/chart10.xml"/><Relationship Id="rId2" Type="http://schemas.openxmlformats.org/officeDocument/2006/relationships/settings" Target="settings.xml"/><Relationship Id="rId19" Type="http://schemas.openxmlformats.org/officeDocument/2006/relationships/chart" Target="charts/chart9.xml"/><Relationship Id="rId18" Type="http://schemas.openxmlformats.org/officeDocument/2006/relationships/chart" Target="charts/chart8.xml"/><Relationship Id="rId17" Type="http://schemas.openxmlformats.org/officeDocument/2006/relationships/chart" Target="charts/chart7.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5.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1.xlsx"/></Relationships>
</file>

<file path=word/charts/_rels/chart10.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oleObject" Target="file:///F:\ysn\&#39044;&#20915;&#31639;\&#39044;&#20915;&#31639;\&#20915;&#31639;&#26609;&#29366;&#22270;.xls" TargetMode="External"/></Relationships>
</file>

<file path=word/charts/_rels/chart11.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package" Target="../embeddings/Workbook6.xlsx"/></Relationships>
</file>

<file path=word/charts/_rels/chart1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file:///F:\ysn\&#39044;&#20915;&#31639;\&#39044;&#20915;&#31639;\&#20915;&#31639;&#26609;&#29366;&#2227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11.xml"/><Relationship Id="rId2" Type="http://schemas.microsoft.com/office/2011/relationships/chartStyle" Target="style11.xml"/><Relationship Id="rId1" Type="http://schemas.openxmlformats.org/officeDocument/2006/relationships/oleObject" Target="file:///F:\ysn\&#39044;&#20915;&#31639;\&#39044;&#20915;&#31639;\&#20915;&#31639;&#26609;&#29366;&#22270;.xls"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F:\ysn\&#39044;&#20915;&#31639;\&#39044;&#20915;&#31639;\&#20915;&#31639;&#26609;&#29366;&#22270;.xls" TargetMode="External"/></Relationships>
</file>

<file path=word/charts/_rels/chart7.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5.xlsx"/></Relationships>
</file>

<file path=word/charts/_rels/chart8.xml.rels><?xml version="1.0" encoding="UTF-8" standalone="yes"?>
<Relationships xmlns="http://schemas.openxmlformats.org/package/2006/relationships"><Relationship Id="rId3" Type="http://schemas.microsoft.com/office/2011/relationships/chartColorStyle" Target="colors12.xml"/><Relationship Id="rId2" Type="http://schemas.microsoft.com/office/2011/relationships/chartStyle" Target="style12.xml"/><Relationship Id="rId1" Type="http://schemas.openxmlformats.org/officeDocument/2006/relationships/oleObject" Target="file:///F:\ysn\&#39044;&#20915;&#31639;\&#39044;&#20915;&#31639;\&#20915;&#31639;&#26609;&#29366;&#22270;.xls" TargetMode="External"/></Relationships>
</file>

<file path=word/charts/_rels/chart9.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oleObject" Target="file:///F:\ysn\&#39044;&#20915;&#31639;\&#39044;&#20915;&#31639;\&#20915;&#31639;&#26609;&#29366;&#2227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5640.24</c:v>
                </c:pt>
                <c:pt idx="1">
                  <c:v>4840.81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图</a:t>
            </a:r>
            <a:r>
              <a:rPr lang="en-US" altLang="zh-CN"/>
              <a:t>10</a:t>
            </a:r>
            <a:r>
              <a:rPr altLang="en-US"/>
              <a:t>：</a:t>
            </a:r>
            <a:r>
              <a:t>政府性基金预算财政拨款收支决算与年初预算对比</a:t>
            </a:r>
          </a:p>
        </c:rich>
      </c:tx>
      <c:layout>
        <c:manualLayout>
          <c:xMode val="edge"/>
          <c:yMode val="edge"/>
          <c:x val="0.106447368421053"/>
          <c:y val="0.0486111111111111"/>
        </c:manualLayout>
      </c:layout>
      <c:overlay val="0"/>
      <c:spPr>
        <a:noFill/>
        <a:ln>
          <a:noFill/>
        </a:ln>
        <a:effectLst/>
      </c:spPr>
    </c:title>
    <c:autoTitleDeleted val="0"/>
    <c:plotArea>
      <c:layout>
        <c:manualLayout>
          <c:layoutTarget val="inner"/>
          <c:xMode val="edge"/>
          <c:yMode val="edge"/>
          <c:x val="0.0289473684210526"/>
          <c:y val="0.345833333333334"/>
          <c:w val="0.942105263157895"/>
          <c:h val="0.528333333333333"/>
        </c:manualLayout>
      </c:layout>
      <c:barChart>
        <c:barDir val="col"/>
        <c:grouping val="clustered"/>
        <c:varyColors val="0"/>
        <c:ser>
          <c:idx val="0"/>
          <c:order val="0"/>
          <c:tx>
            <c:strRef>
              <c:f>[决算柱状图.xls]Sheet1!$A$177</c:f>
              <c:strCache>
                <c:ptCount val="1"/>
                <c:pt idx="0">
                  <c:v>政府性基金预算财政拨款收入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[决算柱状图.xls]Sheet1!$B$177:$C$177</c:f>
              <c:numCache>
                <c:formatCode>General</c:formatCode>
                <c:ptCount val="2"/>
                <c:pt idx="0">
                  <c:v>213.75</c:v>
                </c:pt>
                <c:pt idx="1">
                  <c:v>21.6</c:v>
                </c:pt>
              </c:numCache>
            </c:numRef>
          </c:val>
        </c:ser>
        <c:ser>
          <c:idx val="1"/>
          <c:order val="1"/>
          <c:tx>
            <c:strRef>
              <c:f>[决算柱状图.xls]Sheet1!$A$178</c:f>
              <c:strCache>
                <c:ptCount val="1"/>
                <c:pt idx="0">
                  <c:v>政府性基金预算财政拨款收入</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[决算柱状图.xls]Sheet1!$B$178:$C$178</c:f>
              <c:numCache>
                <c:formatCode>General</c:formatCode>
                <c:ptCount val="2"/>
                <c:pt idx="0">
                  <c:v>213.75</c:v>
                </c:pt>
                <c:pt idx="1">
                  <c:v>21.6</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11 :</a:t>
            </a:r>
            <a:r>
              <a:rPr lang="zh-CN" altLang="en-US"/>
              <a:t>财政拨款收支预算对比图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3703.45</c:v>
                </c:pt>
                <c:pt idx="1">
                  <c:v>3703.45</c:v>
                </c:pt>
                <c:pt idx="2">
                  <c:v>3489.7</c:v>
                </c:pt>
                <c:pt idx="3">
                  <c:v>3489.7</c:v>
                </c:pt>
                <c:pt idx="4">
                  <c:v>213.75</c:v>
                </c:pt>
                <c:pt idx="5">
                  <c:v>213.75</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4022.91</c:v>
                </c:pt>
                <c:pt idx="1">
                  <c:v>4022.91</c:v>
                </c:pt>
                <c:pt idx="2">
                  <c:v>4001.31</c:v>
                </c:pt>
                <c:pt idx="3">
                  <c:v>4001.31</c:v>
                </c:pt>
                <c:pt idx="4">
                  <c:v>21.6</c:v>
                </c:pt>
                <c:pt idx="5">
                  <c:v>21.6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12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1617.05</c:v>
                </c:pt>
                <c:pt idx="1">
                  <c:v>0</c:v>
                </c:pt>
                <c:pt idx="2">
                  <c:v>0</c:v>
                </c:pt>
                <c:pt idx="3">
                  <c:v>261.91</c:v>
                </c:pt>
                <c:pt idx="4">
                  <c:v>0</c:v>
                </c:pt>
                <c:pt idx="5">
                  <c:v>40</c:v>
                </c:pt>
                <c:pt idx="6">
                  <c:v>335.84</c:v>
                </c:pt>
                <c:pt idx="7">
                  <c:v>128.51</c:v>
                </c:pt>
                <c:pt idx="8">
                  <c:v>20</c:v>
                </c:pt>
                <c:pt idx="9">
                  <c:v>1022.15</c:v>
                </c:pt>
                <c:pt idx="10">
                  <c:v>460.11</c:v>
                </c:pt>
                <c:pt idx="11">
                  <c:v>0</c:v>
                </c:pt>
                <c:pt idx="12">
                  <c:v>0</c:v>
                </c:pt>
                <c:pt idx="13">
                  <c:v>0</c:v>
                </c:pt>
                <c:pt idx="14">
                  <c:v>0</c:v>
                </c:pt>
                <c:pt idx="15">
                  <c:v>0</c:v>
                </c:pt>
                <c:pt idx="16">
                  <c:v>112.32</c:v>
                </c:pt>
                <c:pt idx="17">
                  <c:v>0</c:v>
                </c:pt>
                <c:pt idx="18">
                  <c:v>0</c:v>
                </c:pt>
                <c:pt idx="19">
                  <c:v>25</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1"/>
        <c:delete val="1"/>
      </c:legendEntry>
      <c:legendEntry>
        <c:idx val="2"/>
        <c:delete val="1"/>
      </c:legendEntry>
      <c:legendEntry>
        <c:idx val="4"/>
        <c:delete val="1"/>
      </c:legendEntry>
      <c:legendEntry>
        <c:idx val="11"/>
        <c:delete val="1"/>
      </c:legendEntry>
      <c:legendEntry>
        <c:idx val="12"/>
        <c:delete val="1"/>
      </c:legendEntry>
      <c:legendEntry>
        <c:idx val="13"/>
        <c:delete val="1"/>
      </c:legendEntry>
      <c:legendEntry>
        <c:idx val="14"/>
        <c:delete val="1"/>
      </c:legendEntry>
      <c:legendEntry>
        <c:idx val="15"/>
        <c:delete val="1"/>
      </c:legendEntry>
      <c:legendEntry>
        <c:idx val="17"/>
        <c:delete val="1"/>
      </c:legendEntry>
      <c:legendEntry>
        <c:idx val="18"/>
        <c:delete val="1"/>
      </c:legendEntry>
      <c:legendEntry>
        <c:idx val="20"/>
        <c:delete val="1"/>
      </c:legendEntry>
      <c:legendEntry>
        <c:idx val="21"/>
        <c:delete val="1"/>
      </c:legendEntry>
      <c:layout>
        <c:manualLayout>
          <c:xMode val="edge"/>
          <c:yMode val="edge"/>
          <c:x val="0.689417733752114"/>
          <c:y val="0.242243943901402"/>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304904566320367"/>
          <c:y val="0.0254993625159371"/>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delete val="1"/>
            </c:dLbl>
            <c:dLbl>
              <c:idx val="2"/>
              <c:delete val="1"/>
            </c:dLbl>
            <c:dLbl>
              <c:idx val="3"/>
              <c:delete val="1"/>
            </c:dLbl>
            <c:dLbl>
              <c:idx val="4"/>
              <c:delete val="1"/>
            </c:dLbl>
            <c:dLbl>
              <c:idx val="5"/>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40229073.71</c:v>
                </c:pt>
                <c:pt idx="1">
                  <c:v>0</c:v>
                </c:pt>
                <c:pt idx="2">
                  <c:v>0</c:v>
                </c:pt>
                <c:pt idx="3">
                  <c:v>0</c:v>
                </c:pt>
                <c:pt idx="4">
                  <c:v>0</c:v>
                </c:pt>
                <c:pt idx="5">
                  <c:v>701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manualLayout>
          <c:xMode val="edge"/>
          <c:yMode val="edge"/>
          <c:x val="0.295522210313207"/>
          <c:y val="0.0228876597367919"/>
        </c:manualLayout>
      </c:layout>
      <c:overlay val="0"/>
      <c:spPr>
        <a:noFill/>
        <a:ln>
          <a:noFill/>
        </a:ln>
        <a:effectLst/>
      </c:spPr>
    </c:title>
    <c:autoTitleDeleted val="0"/>
    <c:plotArea>
      <c:layout>
        <c:manualLayout>
          <c:layoutTarget val="inner"/>
          <c:xMode val="edge"/>
          <c:yMode val="edge"/>
          <c:x val="0.155694612225175"/>
          <c:y val="0.190897207367796"/>
          <c:w val="0.43202705967625"/>
          <c:h val="0.708322440087146"/>
        </c:manualLayout>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delete val="1"/>
            </c:dLbl>
            <c:dLbl>
              <c:idx val="3"/>
              <c:delete val="1"/>
            </c:dLbl>
            <c:dLbl>
              <c:idx val="4"/>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14846017.9</c:v>
                </c:pt>
                <c:pt idx="1">
                  <c:v>25383756.81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b="1"/>
              <a:t>图</a:t>
            </a:r>
            <a:r>
              <a:rPr lang="en-US" altLang="zh-CN" b="1"/>
              <a:t>4</a:t>
            </a:r>
            <a:r>
              <a:rPr altLang="en-US" b="1"/>
              <a:t>：</a:t>
            </a:r>
            <a:r>
              <a:rPr b="1"/>
              <a:t>2022年、2023年财政拨款收支对比情况</a:t>
            </a:r>
            <a:endParaRPr b="1"/>
          </a:p>
        </c:rich>
      </c:tx>
      <c:layout>
        <c:manualLayout>
          <c:xMode val="edge"/>
          <c:yMode val="edge"/>
          <c:x val="0.176842105263158"/>
          <c:y val="0.030787037037037"/>
        </c:manualLayout>
      </c:layout>
      <c:overlay val="0"/>
      <c:spPr>
        <a:noFill/>
        <a:ln>
          <a:noFill/>
        </a:ln>
        <a:effectLst/>
      </c:spPr>
    </c:title>
    <c:autoTitleDeleted val="0"/>
    <c:plotArea>
      <c:layout/>
      <c:barChart>
        <c:barDir val="col"/>
        <c:grouping val="clustered"/>
        <c:varyColors val="0"/>
        <c:ser>
          <c:idx val="0"/>
          <c:order val="0"/>
          <c:tx>
            <c:strRef>
              <c:f>[决算柱状图.xls]Sheet1!$A$177</c:f>
              <c:strCache>
                <c:ptCount val="1"/>
                <c:pt idx="0">
                  <c:v>财政拨款收入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[决算柱状图.xls]Sheet1!$B$177:$C$177</c:f>
              <c:numCache>
                <c:formatCode>General</c:formatCode>
                <c:ptCount val="2"/>
                <c:pt idx="0">
                  <c:v>4675.85</c:v>
                </c:pt>
                <c:pt idx="1">
                  <c:v>4022.91</c:v>
                </c:pt>
              </c:numCache>
            </c:numRef>
          </c:val>
        </c:ser>
        <c:ser>
          <c:idx val="1"/>
          <c:order val="1"/>
          <c:tx>
            <c:strRef>
              <c:f>[决算柱状图.xls]Sheet1!$A$178</c:f>
              <c:strCache>
                <c:ptCount val="1"/>
                <c:pt idx="0">
                  <c:v>财政拨款支出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[决算柱状图.xls]Sheet1!$B$178:$C$178</c:f>
              <c:numCache>
                <c:formatCode>General</c:formatCode>
                <c:ptCount val="2"/>
                <c:pt idx="0">
                  <c:v>4795.65</c:v>
                </c:pt>
                <c:pt idx="1">
                  <c:v>4022.91</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b="1"/>
              <a:t>图</a:t>
            </a:r>
            <a:r>
              <a:rPr lang="en-US" altLang="zh-CN" b="1"/>
              <a:t>5</a:t>
            </a:r>
            <a:r>
              <a:rPr altLang="en-US" b="1"/>
              <a:t>：</a:t>
            </a:r>
            <a:r>
              <a:rPr b="1"/>
              <a:t>2022年、2023年财政拨款收支对比情况</a:t>
            </a:r>
            <a:endParaRPr b="1"/>
          </a:p>
        </c:rich>
      </c:tx>
      <c:layout>
        <c:manualLayout>
          <c:xMode val="edge"/>
          <c:yMode val="edge"/>
          <c:x val="0.173157894736842"/>
          <c:y val="0.00694444444444444"/>
        </c:manualLayout>
      </c:layout>
      <c:overlay val="0"/>
      <c:spPr>
        <a:noFill/>
        <a:ln>
          <a:noFill/>
        </a:ln>
        <a:effectLst/>
      </c:spPr>
    </c:title>
    <c:autoTitleDeleted val="0"/>
    <c:plotArea>
      <c:layout>
        <c:manualLayout>
          <c:layoutTarget val="inner"/>
          <c:xMode val="edge"/>
          <c:yMode val="edge"/>
          <c:x val="0.0328947368421053"/>
          <c:y val="0.325925925925926"/>
          <c:w val="0.942105263157895"/>
          <c:h val="0.606111111111111"/>
        </c:manualLayout>
      </c:layout>
      <c:barChart>
        <c:barDir val="col"/>
        <c:grouping val="clustered"/>
        <c:varyColors val="0"/>
        <c:ser>
          <c:idx val="0"/>
          <c:order val="0"/>
          <c:tx>
            <c:strRef>
              <c:f>[决算柱状图.xls]Sheet1!$A$177</c:f>
              <c:strCache>
                <c:ptCount val="1"/>
                <c:pt idx="0">
                  <c:v>财政拨款收入</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400000" scaled="1"/>
              </a:gradFill>
            </a:ln>
            <a:effectLst>
              <a:outerShdw blurRad="76200" dist="25400" dir="2700000" algn="tl" rotWithShape="0">
                <a:schemeClr val="accent1">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[决算柱状图.xls]Sheet1!$B$177:$C$177</c:f>
              <c:numCache>
                <c:formatCode>General</c:formatCode>
                <c:ptCount val="2"/>
                <c:pt idx="0">
                  <c:v>4675.85</c:v>
                </c:pt>
                <c:pt idx="1">
                  <c:v>4001.31</c:v>
                </c:pt>
              </c:numCache>
            </c:numRef>
          </c:val>
        </c:ser>
        <c:ser>
          <c:idx val="1"/>
          <c:order val="1"/>
          <c:tx>
            <c:strRef>
              <c:f>[决算柱状图.xls]Sheet1!$A$178</c:f>
              <c:strCache>
                <c:ptCount val="1"/>
                <c:pt idx="0">
                  <c:v>财政拨款支出</c:v>
                </c:pt>
              </c:strCache>
            </c:strRef>
          </c:tx>
          <c:spPr>
            <a:gradFill>
              <a:gsLst>
                <a:gs pos="0">
                  <a:schemeClr val="accent2">
                    <a:lumMod val="40000"/>
                    <a:lumOff val="60000"/>
                  </a:schemeClr>
                </a:gs>
                <a:gs pos="90000">
                  <a:schemeClr val="accent2"/>
                </a:gs>
              </a:gsLst>
              <a:lin ang="5400000" scaled="0"/>
            </a:gradFill>
            <a:ln>
              <a:gradFill>
                <a:gsLst>
                  <a:gs pos="0">
                    <a:schemeClr val="accent2"/>
                  </a:gs>
                  <a:gs pos="100000">
                    <a:schemeClr val="accent2">
                      <a:lumMod val="75000"/>
                    </a:schemeClr>
                  </a:gs>
                </a:gsLst>
                <a:lin ang="5400000" scaled="1"/>
              </a:gradFill>
            </a:ln>
            <a:effectLst>
              <a:outerShdw blurRad="76200" dist="25400" dir="2700000" algn="tl" rotWithShape="0">
                <a:schemeClr val="accent2">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[决算柱状图.xls]Sheet1!$B$178:$C$178</c:f>
              <c:numCache>
                <c:formatCode>General</c:formatCode>
                <c:ptCount val="2"/>
                <c:pt idx="0">
                  <c:v>4709.55</c:v>
                </c:pt>
                <c:pt idx="1">
                  <c:v>4001.31</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ayout>
        <c:manualLayout>
          <c:xMode val="edge"/>
          <c:yMode val="edge"/>
          <c:x val="0.31125"/>
          <c:y val="0.142222222222222"/>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b="1"/>
              <a:t>图</a:t>
            </a:r>
            <a:r>
              <a:rPr lang="en-US" altLang="zh-CN" b="1"/>
              <a:t>6</a:t>
            </a:r>
            <a:r>
              <a:rPr altLang="en-US" b="1"/>
              <a:t>：</a:t>
            </a:r>
            <a:r>
              <a:rPr b="1"/>
              <a:t>2022年、2023年政府性基金预算财政拨款收支对比</a:t>
            </a:r>
            <a:endParaRPr b="1"/>
          </a:p>
        </c:rich>
      </c:tx>
      <c:layout>
        <c:manualLayout>
          <c:xMode val="edge"/>
          <c:yMode val="edge"/>
          <c:x val="0.104605263157895"/>
          <c:y val="0.0277777777777778"/>
        </c:manualLayout>
      </c:layout>
      <c:overlay val="0"/>
      <c:spPr>
        <a:noFill/>
        <a:ln>
          <a:noFill/>
        </a:ln>
        <a:effectLst/>
      </c:spPr>
    </c:title>
    <c:autoTitleDeleted val="0"/>
    <c:plotArea>
      <c:layout>
        <c:manualLayout>
          <c:layoutTarget val="inner"/>
          <c:xMode val="edge"/>
          <c:yMode val="edge"/>
          <c:x val="0.025"/>
          <c:y val="0.35625"/>
          <c:w val="0.942105263157895"/>
          <c:h val="0.528333333333333"/>
        </c:manualLayout>
      </c:layout>
      <c:barChart>
        <c:barDir val="col"/>
        <c:grouping val="clustered"/>
        <c:varyColors val="0"/>
        <c:ser>
          <c:idx val="0"/>
          <c:order val="0"/>
          <c:tx>
            <c:strRef>
              <c:f>[决算柱状图.xls]Sheet1!$A$177</c:f>
              <c:strCache>
                <c:ptCount val="1"/>
                <c:pt idx="0">
                  <c:v>政府性基金预算财政拨款本年收入</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400000" scaled="1"/>
              </a:gradFill>
            </a:ln>
            <a:effectLst>
              <a:outerShdw blurRad="76200" dist="25400" dir="2700000" algn="tl" rotWithShape="0">
                <a:schemeClr val="accent1">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[决算柱状图.xls]Sheet1!$B$177:$C$177</c:f>
              <c:numCache>
                <c:formatCode>General</c:formatCode>
                <c:ptCount val="2"/>
                <c:pt idx="0">
                  <c:v>86.1</c:v>
                </c:pt>
                <c:pt idx="1">
                  <c:v>21.6</c:v>
                </c:pt>
              </c:numCache>
            </c:numRef>
          </c:val>
        </c:ser>
        <c:ser>
          <c:idx val="1"/>
          <c:order val="1"/>
          <c:tx>
            <c:strRef>
              <c:f>[决算柱状图.xls]Sheet1!$A$178</c:f>
              <c:strCache>
                <c:ptCount val="1"/>
                <c:pt idx="0">
                  <c:v>政府性基金预算财政拨款本年支出</c:v>
                </c:pt>
              </c:strCache>
            </c:strRef>
          </c:tx>
          <c:spPr>
            <a:gradFill>
              <a:gsLst>
                <a:gs pos="0">
                  <a:schemeClr val="accent2">
                    <a:lumMod val="40000"/>
                    <a:lumOff val="60000"/>
                  </a:schemeClr>
                </a:gs>
                <a:gs pos="90000">
                  <a:schemeClr val="accent2"/>
                </a:gs>
              </a:gsLst>
              <a:lin ang="5400000" scaled="0"/>
            </a:gradFill>
            <a:ln>
              <a:gradFill>
                <a:gsLst>
                  <a:gs pos="0">
                    <a:schemeClr val="accent2"/>
                  </a:gs>
                  <a:gs pos="100000">
                    <a:schemeClr val="accent2">
                      <a:lumMod val="75000"/>
                    </a:schemeClr>
                  </a:gs>
                </a:gsLst>
                <a:lin ang="5400000" scaled="1"/>
              </a:gradFill>
            </a:ln>
            <a:effectLst>
              <a:outerShdw blurRad="76200" dist="25400" dir="2700000" algn="tl" rotWithShape="0">
                <a:schemeClr val="accent2">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[决算柱状图.xls]Sheet1!$B$178:$C$178</c:f>
              <c:numCache>
                <c:formatCode>General</c:formatCode>
                <c:ptCount val="2"/>
                <c:pt idx="0">
                  <c:v>86.1</c:v>
                </c:pt>
                <c:pt idx="1">
                  <c:v>21.6</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ayout>
        <c:manualLayout>
          <c:xMode val="edge"/>
          <c:yMode val="edge"/>
          <c:x val="0.121776315789474"/>
          <c:y val="0.218055555555556"/>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b="0"/>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7</a:t>
            </a:r>
            <a:r>
              <a:rPr lang="zh-CN" altLang="en-US" b="1"/>
              <a:t>：</a:t>
            </a:r>
            <a:r>
              <a:rPr lang="en-US" altLang="zh-CN" b="1"/>
              <a:t>2022-2023</a:t>
            </a:r>
            <a:r>
              <a:rPr lang="zh-CN" altLang="en-US" b="1"/>
              <a:t>年财政拨款收支对比图</a:t>
            </a:r>
            <a:endParaRPr lang="zh-CN" altLang="en-US" b="1"/>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4761.95</c:v>
                </c:pt>
                <c:pt idx="1">
                  <c:v>4795.65</c:v>
                </c:pt>
                <c:pt idx="2">
                  <c:v>4675.85</c:v>
                </c:pt>
                <c:pt idx="3">
                  <c:v>4709.55</c:v>
                </c:pt>
                <c:pt idx="4">
                  <c:v>86.1</c:v>
                </c:pt>
                <c:pt idx="5">
                  <c:v>86.1</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4022.91</c:v>
                </c:pt>
                <c:pt idx="1">
                  <c:v>4022.91</c:v>
                </c:pt>
                <c:pt idx="2">
                  <c:v>4001.31</c:v>
                </c:pt>
                <c:pt idx="3">
                  <c:v>4001.31</c:v>
                </c:pt>
                <c:pt idx="4">
                  <c:v>21.6</c:v>
                </c:pt>
                <c:pt idx="5">
                  <c:v>21.6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b="0"/>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b="1"/>
              <a:t>图</a:t>
            </a:r>
            <a:r>
              <a:rPr lang="en-US" altLang="zh-CN" b="1"/>
              <a:t>8</a:t>
            </a:r>
            <a:r>
              <a:rPr altLang="en-US" b="1"/>
              <a:t>：</a:t>
            </a:r>
            <a:r>
              <a:rPr b="1"/>
              <a:t>2023年财政拨款收支决算与年初预算对比情况</a:t>
            </a:r>
            <a:endParaRPr b="1"/>
          </a:p>
        </c:rich>
      </c:tx>
      <c:layout>
        <c:manualLayout>
          <c:xMode val="edge"/>
          <c:yMode val="edge"/>
          <c:x val="0.0989473684210526"/>
          <c:y val="0.0416666666666667"/>
        </c:manualLayout>
      </c:layout>
      <c:overlay val="0"/>
      <c:spPr>
        <a:noFill/>
        <a:ln>
          <a:noFill/>
        </a:ln>
        <a:effectLst/>
      </c:spPr>
    </c:title>
    <c:autoTitleDeleted val="0"/>
    <c:plotArea>
      <c:layout>
        <c:manualLayout>
          <c:layoutTarget val="inner"/>
          <c:xMode val="edge"/>
          <c:yMode val="edge"/>
          <c:x val="0.025"/>
          <c:y val="0.35625"/>
          <c:w val="0.942105263157895"/>
          <c:h val="0.528333333333333"/>
        </c:manualLayout>
      </c:layout>
      <c:barChart>
        <c:barDir val="col"/>
        <c:grouping val="clustered"/>
        <c:varyColors val="0"/>
        <c:ser>
          <c:idx val="0"/>
          <c:order val="0"/>
          <c:tx>
            <c:strRef>
              <c:f>[决算柱状图.xls]Sheet1!$A$177</c:f>
              <c:strCache>
                <c:ptCount val="1"/>
                <c:pt idx="0">
                  <c:v>财政拨款收入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[决算柱状图.xls]Sheet1!$B$177:$C$177</c:f>
              <c:numCache>
                <c:formatCode>General</c:formatCode>
                <c:ptCount val="2"/>
                <c:pt idx="0">
                  <c:v>3703.45</c:v>
                </c:pt>
                <c:pt idx="1">
                  <c:v>4022.91</c:v>
                </c:pt>
              </c:numCache>
            </c:numRef>
          </c:val>
        </c:ser>
        <c:ser>
          <c:idx val="1"/>
          <c:order val="1"/>
          <c:tx>
            <c:strRef>
              <c:f>[决算柱状图.xls]Sheet1!$A$178</c:f>
              <c:strCache>
                <c:ptCount val="1"/>
                <c:pt idx="0">
                  <c:v>财政拨款支出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[决算柱状图.xls]Sheet1!$B$178:$C$178</c:f>
              <c:numCache>
                <c:formatCode>General</c:formatCode>
                <c:ptCount val="2"/>
                <c:pt idx="0">
                  <c:v>3703.45</c:v>
                </c:pt>
                <c:pt idx="1">
                  <c:v>4022.91</c:v>
                </c:pt>
              </c:numCache>
            </c:numRef>
          </c:val>
        </c:ser>
        <c:dLbls>
          <c:showLegendKey val="0"/>
          <c:showVal val="1"/>
          <c:showCatName val="0"/>
          <c:showSerName val="0"/>
          <c:showPercent val="0"/>
          <c:showBubbleSize val="0"/>
        </c:dLbls>
        <c:gapWidth val="150"/>
        <c:overlap val="-25"/>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1"/>
        <c:axPos val="l"/>
        <c:numFmt formatCode="General" sourceLinked="1"/>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t"/>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b="0"/>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图9：2023年一般公共预算财政拨款收支决算与上年决算对比</a:t>
            </a:r>
          </a:p>
        </c:rich>
      </c:tx>
      <c:layout>
        <c:manualLayout>
          <c:xMode val="edge"/>
          <c:yMode val="edge"/>
          <c:x val="0.0886842105263158"/>
          <c:y val="0.0381944444444444"/>
        </c:manualLayout>
      </c:layout>
      <c:overlay val="0"/>
      <c:spPr>
        <a:noFill/>
        <a:ln>
          <a:noFill/>
        </a:ln>
        <a:effectLst/>
      </c:spPr>
    </c:title>
    <c:autoTitleDeleted val="0"/>
    <c:plotArea>
      <c:layout>
        <c:manualLayout>
          <c:layoutTarget val="inner"/>
          <c:xMode val="edge"/>
          <c:yMode val="edge"/>
          <c:x val="0.0230263157894737"/>
          <c:y val="0.349305555555556"/>
          <c:w val="0.942105263157895"/>
          <c:h val="0.528333333333333"/>
        </c:manualLayout>
      </c:layout>
      <c:barChart>
        <c:barDir val="col"/>
        <c:grouping val="clustered"/>
        <c:varyColors val="0"/>
        <c:ser>
          <c:idx val="0"/>
          <c:order val="0"/>
          <c:tx>
            <c:strRef>
              <c:f>[决算柱状图.xls]Sheet1!$A$177</c:f>
              <c:strCache>
                <c:ptCount val="1"/>
                <c:pt idx="0">
                  <c:v>一般公共预算财政拨款收入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[决算柱状图.xls]Sheet1!$B$177:$C$177</c:f>
              <c:numCache>
                <c:formatCode>General</c:formatCode>
                <c:ptCount val="2"/>
                <c:pt idx="0">
                  <c:v>3489.7</c:v>
                </c:pt>
                <c:pt idx="1">
                  <c:v>4001.31</c:v>
                </c:pt>
              </c:numCache>
            </c:numRef>
          </c:val>
        </c:ser>
        <c:ser>
          <c:idx val="1"/>
          <c:order val="1"/>
          <c:tx>
            <c:strRef>
              <c:f>[决算柱状图.xls]Sheet1!$A$178</c:f>
              <c:strCache>
                <c:ptCount val="1"/>
                <c:pt idx="0">
                  <c:v>一般公共预算财政拨款支出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[决算柱状图.xls]Sheet1!$B$178:$C$178</c:f>
              <c:numCache>
                <c:formatCode>General</c:formatCode>
                <c:ptCount val="2"/>
                <c:pt idx="0">
                  <c:v>3489.7</c:v>
                </c:pt>
                <c:pt idx="1">
                  <c:v>4001.31</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4">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40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10004">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40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53</Pages>
  <Words>14145</Words>
  <Characters>18127</Characters>
  <Lines>261</Lines>
  <Paragraphs>73</Paragraphs>
  <TotalTime>12</TotalTime>
  <ScaleCrop>false</ScaleCrop>
  <LinksUpToDate>false</LinksUpToDate>
  <CharactersWithSpaces>18850</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2024-09-23T02:39:07Z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11908761171D47159794255EFE416036_13</vt:lpwstr>
  </property>
  <property fmtid="{D5CDD505-2E9C-101B-9397-08002B2CF9AE}" pid="4" name="KSOTemplateUUID">
    <vt:lpwstr>v1.0_mb_S7ajbG3IpAnL1wSthNCxfw==</vt:lpwstr>
  </property>
</Properties>
</file>