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color w:val="auto"/>
          <w:sz w:val="32"/>
          <w:szCs w:val="32"/>
        </w:rPr>
      </w:pPr>
      <w:r>
        <w:rPr>
          <w:rFonts w:hint="eastAsia" w:ascii="黑体" w:hAnsi="黑体" w:eastAsia="黑体"/>
          <w:color w:val="auto"/>
          <w:sz w:val="32"/>
          <w:szCs w:val="32"/>
        </w:rPr>
        <w:t>附件3</w:t>
      </w:r>
    </w:p>
    <w:p>
      <w:pPr>
        <w:spacing w:line="560" w:lineRule="exact"/>
        <w:jc w:val="center"/>
        <w:rPr>
          <w:rFonts w:ascii="宋体" w:hAnsi="宋体" w:cs="宋体"/>
          <w:b/>
          <w:bCs/>
          <w:color w:val="auto"/>
          <w:sz w:val="44"/>
          <w:szCs w:val="44"/>
        </w:rPr>
      </w:pPr>
    </w:p>
    <w:p>
      <w:pPr>
        <w:spacing w:line="560" w:lineRule="exact"/>
        <w:jc w:val="center"/>
        <w:rPr>
          <w:rFonts w:ascii="宋体" w:hAnsi="宋体" w:cs="宋体"/>
          <w:b/>
          <w:bCs/>
          <w:color w:val="auto"/>
          <w:sz w:val="44"/>
          <w:szCs w:val="44"/>
        </w:rPr>
      </w:pPr>
      <w:bookmarkStart w:id="0" w:name="OLE_LINK1"/>
      <w:r>
        <w:rPr>
          <w:rFonts w:hint="eastAsia" w:ascii="宋体" w:hAnsi="宋体" w:cs="宋体"/>
          <w:b/>
          <w:bCs/>
          <w:color w:val="auto"/>
          <w:sz w:val="44"/>
          <w:szCs w:val="44"/>
        </w:rPr>
        <w:t>石家庄市鹿泉区卫生健康局</w:t>
      </w:r>
      <w:bookmarkEnd w:id="0"/>
    </w:p>
    <w:p>
      <w:pPr>
        <w:spacing w:line="560" w:lineRule="exact"/>
        <w:jc w:val="center"/>
        <w:rPr>
          <w:rFonts w:ascii="宋体" w:hAnsi="宋体" w:cs="宋体"/>
          <w:b/>
          <w:bCs/>
          <w:color w:val="auto"/>
          <w:sz w:val="44"/>
          <w:szCs w:val="44"/>
        </w:rPr>
      </w:pPr>
      <w:r>
        <w:rPr>
          <w:rFonts w:hint="eastAsia" w:ascii="宋体" w:hAnsi="宋体" w:cs="宋体"/>
          <w:b/>
          <w:bCs/>
          <w:color w:val="auto"/>
          <w:sz w:val="44"/>
          <w:szCs w:val="44"/>
        </w:rPr>
        <w:t>202</w:t>
      </w:r>
      <w:r>
        <w:rPr>
          <w:rFonts w:hint="eastAsia" w:ascii="宋体" w:hAnsi="宋体" w:cs="宋体"/>
          <w:b/>
          <w:bCs/>
          <w:color w:val="auto"/>
          <w:sz w:val="44"/>
          <w:szCs w:val="44"/>
          <w:lang w:val="en-US" w:eastAsia="zh-CN"/>
        </w:rPr>
        <w:t>4</w:t>
      </w:r>
      <w:r>
        <w:rPr>
          <w:rFonts w:hint="eastAsia" w:ascii="宋体" w:hAnsi="宋体" w:cs="宋体"/>
          <w:b/>
          <w:bCs/>
          <w:color w:val="auto"/>
          <w:sz w:val="44"/>
          <w:szCs w:val="44"/>
        </w:rPr>
        <w:t>年度整体支出绩效自评报告</w:t>
      </w:r>
    </w:p>
    <w:p>
      <w:pPr>
        <w:spacing w:line="560" w:lineRule="exact"/>
        <w:jc w:val="center"/>
        <w:rPr>
          <w:rFonts w:ascii="华文楷体" w:eastAsia="华文楷体"/>
          <w:color w:val="auto"/>
          <w:sz w:val="32"/>
          <w:szCs w:val="32"/>
        </w:rPr>
      </w:pPr>
    </w:p>
    <w:p>
      <w:pPr>
        <w:adjustRightInd w:val="0"/>
        <w:snapToGrid w:val="0"/>
        <w:spacing w:line="560" w:lineRule="exact"/>
        <w:ind w:firstLine="640" w:firstLineChars="200"/>
        <w:rPr>
          <w:rFonts w:ascii="仿宋" w:hAnsi="仿宋" w:eastAsia="仿宋"/>
          <w:color w:val="auto"/>
          <w:sz w:val="32"/>
          <w:szCs w:val="32"/>
        </w:rPr>
      </w:pPr>
      <w:bookmarkStart w:id="1" w:name="OLE_LINK2"/>
      <w:r>
        <w:rPr>
          <w:rFonts w:hint="eastAsia" w:ascii="仿宋" w:hAnsi="仿宋" w:eastAsia="仿宋"/>
          <w:color w:val="auto"/>
          <w:sz w:val="32"/>
          <w:szCs w:val="32"/>
        </w:rPr>
        <w:t>贯彻落实</w:t>
      </w:r>
      <w:r>
        <w:rPr>
          <w:rFonts w:hint="eastAsia" w:ascii="仿宋_GB2312" w:hAnsi="仿宋_GB2312" w:eastAsia="仿宋_GB2312" w:cs="仿宋_GB2312"/>
          <w:color w:val="auto"/>
          <w:sz w:val="32"/>
          <w:szCs w:val="32"/>
        </w:rPr>
        <w:t>石家庄市鹿泉区人民政府《关于全面实施预算绩效管理的实施意见》（鹿发〔2019〕8号）</w:t>
      </w:r>
      <w:r>
        <w:rPr>
          <w:rFonts w:hint="eastAsia" w:ascii="仿宋" w:hAnsi="仿宋" w:eastAsia="仿宋"/>
          <w:color w:val="auto"/>
          <w:sz w:val="32"/>
          <w:szCs w:val="32"/>
        </w:rPr>
        <w:t>文件精神，遵循“科学性、规范性、客观性和公正性”的原则，对鹿泉区卫生健康部门2024年整体支出情况实施了财政支出绩效自评价，形成本评价报告。</w:t>
      </w:r>
    </w:p>
    <w:bookmarkEnd w:id="1"/>
    <w:p>
      <w:pPr>
        <w:adjustRightInd w:val="0"/>
        <w:snapToGrid w:val="0"/>
        <w:spacing w:line="560" w:lineRule="exact"/>
        <w:rPr>
          <w:rFonts w:ascii="黑体" w:hAnsi="黑体" w:eastAsia="黑体"/>
          <w:b/>
          <w:bCs/>
          <w:color w:val="auto"/>
          <w:sz w:val="32"/>
          <w:szCs w:val="36"/>
        </w:rPr>
      </w:pPr>
      <w:r>
        <w:rPr>
          <w:rFonts w:hint="eastAsia" w:ascii="黑体" w:hAnsi="黑体" w:eastAsia="黑体"/>
          <w:color w:val="auto"/>
          <w:sz w:val="32"/>
          <w:szCs w:val="32"/>
        </w:rPr>
        <w:t xml:space="preserve">     一、部门</w:t>
      </w:r>
      <w:r>
        <w:rPr>
          <w:rFonts w:hint="eastAsia" w:ascii="黑体" w:hAnsi="黑体" w:eastAsia="黑体"/>
          <w:color w:val="auto"/>
          <w:sz w:val="32"/>
          <w:szCs w:val="36"/>
        </w:rPr>
        <w:t>基本情况</w:t>
      </w:r>
    </w:p>
    <w:p>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（一）部门概况</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贯彻落实党中央和省、市、区委关于卫生健康工作的方针政策和决策部署，坚持和加强党对卫生健康工作的集中统一领导。主要职责是：</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（四）组织拟订并协调落实应对人口老龄化政策措施，负责推进老年健康服务体系建设和医养结合工作。</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六）负责职责范围内的职业卫生、放射卫生、环境卫生、学校卫生、公共场所卫生、饮用水卫生等公共卫生的监督管理，负责传染病防治监督，健全卫生健康综合监督体系。牵头《烟草控制框架公约》履约工作。</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（八）负责计划生育管理和服务工作，开展人口监测预警，研究提出人口与家庭发展相关政策建议，落实计划生育政策。</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（九）负责全区卫生健康工作，负责基层医疗卫生、妇幼健康服务体系和全科医生队伍建设。推进卫生健康科技创新发展。</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（十）拟订中医药中长期发展规划，并纳入卫生健康事业发展总体规划和战略目标。</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（十一）负责区直部门有关干部医疗管理工作，负责重要会议与重大活动的医疗卫生保障工作。</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（十二）承办区委、区政府交办的其他事项。</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根据中共石家庄市鹿泉区委机构编制委员会《关于调整区卫生健康局（区疾病预防控制局）主要职责、内控机构和人员编制</w:t>
      </w:r>
      <w:bookmarkStart w:id="6" w:name="_GoBack"/>
      <w:bookmarkEnd w:id="6"/>
      <w:r>
        <w:rPr>
          <w:rFonts w:hint="eastAsia" w:ascii="仿宋" w:hAnsi="仿宋" w:eastAsia="仿宋" w:cs="黑体"/>
          <w:color w:val="auto"/>
          <w:kern w:val="2"/>
          <w:sz w:val="32"/>
          <w:szCs w:val="32"/>
          <w:lang w:val="en-US" w:eastAsia="zh-CN" w:bidi="ar-SA"/>
        </w:rPr>
        <w:t>的通知》（鹿泉编〔2023〕10号）文件精神，强化以下职责：</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 xml:space="preserve">（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          </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pPr>
        <w:pStyle w:val="11"/>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三）统筹规划并监督管理全区传染病医疗机构及其他医疗机构疾病预防控制工作，负责建立疾病预防控制监督员制度并组织实施，负责疾病预防控制系统队伍建设工作。负责全区疾控预防控制科研工作，拟订疾病预防控制科技发展规划并组织实施。</w:t>
      </w:r>
    </w:p>
    <w:p>
      <w:pPr>
        <w:spacing w:line="578"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（二）机构设置</w:t>
      </w:r>
    </w:p>
    <w:p>
      <w:pPr>
        <w:spacing w:line="578" w:lineRule="exact"/>
        <w:ind w:firstLine="640" w:firstLineChars="200"/>
        <w:rPr>
          <w:rFonts w:ascii="宋体" w:hAnsi="宋体" w:eastAsia="仿宋_GB2312" w:cs="仿宋_GB2312"/>
          <w:b/>
          <w:bCs/>
          <w:color w:val="auto"/>
          <w:sz w:val="32"/>
          <w:szCs w:val="32"/>
        </w:rPr>
      </w:pPr>
      <w:r>
        <w:rPr>
          <w:rFonts w:hint="eastAsia" w:ascii="仿宋_GB2312" w:hAnsi="仿宋_GB2312" w:eastAsia="仿宋_GB2312" w:cs="仿宋_GB2312"/>
          <w:color w:val="auto"/>
          <w:sz w:val="32"/>
          <w:szCs w:val="32"/>
        </w:rPr>
        <w:t>区卫生健康局机关内设办公室、医政药政股、传染病防控与免疫规划股、应急监督与政策法规股、中医股、人口监测与家庭发展股、爱卫股七个职能股室</w:t>
      </w:r>
      <w:r>
        <w:rPr>
          <w:rFonts w:hint="eastAsia" w:ascii="宋体" w:hAnsi="宋体" w:eastAsia="仿宋_GB2312" w:cs="仿宋_GB2312"/>
          <w:color w:val="auto"/>
          <w:sz w:val="32"/>
          <w:szCs w:val="32"/>
        </w:rPr>
        <w:t>。核定行政编制18名，202</w:t>
      </w:r>
      <w:r>
        <w:rPr>
          <w:rFonts w:hint="eastAsia" w:ascii="宋体" w:hAnsi="宋体" w:eastAsia="仿宋_GB2312" w:cs="仿宋_GB2312"/>
          <w:color w:val="auto"/>
          <w:sz w:val="32"/>
          <w:szCs w:val="32"/>
          <w:lang w:val="en-US" w:eastAsia="zh-CN"/>
        </w:rPr>
        <w:t>4</w:t>
      </w:r>
      <w:r>
        <w:rPr>
          <w:rFonts w:hint="eastAsia" w:ascii="宋体" w:hAnsi="宋体" w:eastAsia="仿宋_GB2312" w:cs="仿宋_GB2312"/>
          <w:color w:val="auto"/>
          <w:sz w:val="32"/>
          <w:szCs w:val="32"/>
        </w:rPr>
        <w:t>年末在职行政人员</w:t>
      </w:r>
      <w:r>
        <w:rPr>
          <w:rFonts w:hint="eastAsia" w:ascii="宋体" w:hAnsi="宋体" w:eastAsia="仿宋_GB2312" w:cs="仿宋_GB2312"/>
          <w:color w:val="auto"/>
          <w:sz w:val="32"/>
          <w:szCs w:val="32"/>
          <w:lang w:val="en-US" w:eastAsia="zh-CN"/>
        </w:rPr>
        <w:t>16</w:t>
      </w:r>
      <w:r>
        <w:rPr>
          <w:rFonts w:hint="eastAsia" w:ascii="宋体" w:hAnsi="宋体" w:eastAsia="仿宋_GB2312" w:cs="仿宋_GB2312"/>
          <w:color w:val="auto"/>
          <w:sz w:val="32"/>
          <w:szCs w:val="32"/>
        </w:rPr>
        <w:t>名（机关工勤1名）。</w:t>
      </w:r>
    </w:p>
    <w:p>
      <w:pPr>
        <w:adjustRightInd w:val="0"/>
        <w:snapToGrid w:val="0"/>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下属19个事业单位，鹿泉人民医院、鹿泉第二人民医院、区中医院、区妇幼保健院、区</w:t>
      </w:r>
      <w:r>
        <w:rPr>
          <w:rFonts w:hint="eastAsia" w:ascii="宋体" w:hAnsi="宋体" w:eastAsia="仿宋_GB2312" w:cs="仿宋_GB2312"/>
          <w:color w:val="auto"/>
          <w:sz w:val="32"/>
          <w:szCs w:val="32"/>
          <w:lang w:eastAsia="zh-CN"/>
        </w:rPr>
        <w:t>疾病预防控制中心</w:t>
      </w:r>
      <w:r>
        <w:rPr>
          <w:rFonts w:hint="eastAsia" w:ascii="宋体" w:hAnsi="宋体" w:eastAsia="仿宋_GB2312" w:cs="仿宋_GB2312"/>
          <w:color w:val="auto"/>
          <w:sz w:val="32"/>
          <w:szCs w:val="32"/>
        </w:rPr>
        <w:t>、铜冶镇中心卫生院、铜冶镇中心卫生院永壁分院、李村镇中心卫生院、大河镇中心卫生院、获鹿镇卫生院、上庄镇卫生院、上庄镇卫生院开发区分院、宜安镇卫生院、黄壁庄镇卫生院、寺家庄镇卫生院、山尹村镇卫生院、上寨乡卫生院、白鹿泉乡卫生院、石井乡卫生院。</w:t>
      </w:r>
    </w:p>
    <w:p>
      <w:pPr>
        <w:adjustRightInd w:val="0"/>
        <w:snapToGrid w:val="0"/>
        <w:spacing w:line="560" w:lineRule="exact"/>
        <w:ind w:left="638" w:leftChars="304" w:firstLine="0" w:firstLineChars="0"/>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截至202</w:t>
      </w:r>
      <w:r>
        <w:rPr>
          <w:rFonts w:hint="eastAsia" w:ascii="宋体" w:hAnsi="宋体" w:eastAsia="仿宋_GB2312" w:cs="仿宋_GB2312"/>
          <w:color w:val="auto"/>
          <w:sz w:val="32"/>
          <w:szCs w:val="32"/>
          <w:lang w:val="en-US" w:eastAsia="zh-CN"/>
        </w:rPr>
        <w:t>4</w:t>
      </w:r>
      <w:r>
        <w:rPr>
          <w:rFonts w:hint="eastAsia" w:ascii="宋体" w:hAnsi="宋体" w:eastAsia="仿宋_GB2312" w:cs="仿宋_GB2312"/>
          <w:color w:val="auto"/>
          <w:sz w:val="32"/>
          <w:szCs w:val="32"/>
        </w:rPr>
        <w:t>年12月31日，我部门资产总额84299.50万元</w:t>
      </w:r>
    </w:p>
    <w:p>
      <w:pPr>
        <w:adjustRightInd w:val="0"/>
        <w:snapToGrid w:val="0"/>
        <w:spacing w:line="560" w:lineRule="exact"/>
        <w:ind w:left="638" w:leftChars="304" w:firstLine="0" w:firstLineChars="0"/>
        <w:rPr>
          <w:rFonts w:ascii="楷体" w:hAnsi="楷体" w:eastAsia="楷体" w:cs="楷体_GB2312"/>
          <w:bCs/>
          <w:color w:val="auto"/>
          <w:sz w:val="32"/>
          <w:szCs w:val="32"/>
        </w:rPr>
      </w:pPr>
      <w:r>
        <w:rPr>
          <w:rFonts w:hint="eastAsia" w:ascii="楷体" w:hAnsi="楷体" w:eastAsia="楷体" w:cs="楷体_GB2312"/>
          <w:bCs/>
          <w:color w:val="auto"/>
          <w:sz w:val="32"/>
          <w:szCs w:val="32"/>
        </w:rPr>
        <w:t>（二）部门收支预决算情况</w:t>
      </w:r>
    </w:p>
    <w:p>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4</w:t>
      </w:r>
      <w:r>
        <w:rPr>
          <w:rFonts w:hint="eastAsia" w:ascii="仿宋_GB2312" w:hAnsi="Times New Roman" w:eastAsia="仿宋_GB2312" w:cs="仿宋_GB2312"/>
          <w:color w:val="auto"/>
          <w:sz w:val="32"/>
          <w:szCs w:val="32"/>
        </w:rPr>
        <w:t>年度财政拨款本年收入</w:t>
      </w:r>
      <w:r>
        <w:rPr>
          <w:rFonts w:hint="eastAsia" w:ascii="仿宋_GB2312" w:hAnsi="Times New Roman" w:eastAsia="仿宋_GB2312" w:cs="仿宋_GB2312"/>
          <w:color w:val="auto"/>
          <w:sz w:val="32"/>
          <w:szCs w:val="32"/>
          <w:lang w:val="en-US" w:eastAsia="zh-CN"/>
        </w:rPr>
        <w:t>25897.86</w:t>
      </w:r>
      <w:r>
        <w:rPr>
          <w:rFonts w:hint="eastAsia" w:ascii="仿宋_GB2312" w:hAnsi="Times New Roman" w:eastAsia="仿宋_GB2312" w:cs="仿宋_GB2312"/>
          <w:color w:val="auto"/>
          <w:sz w:val="32"/>
          <w:szCs w:val="32"/>
        </w:rPr>
        <w:t>万元，完成年初预算的</w:t>
      </w:r>
      <w:r>
        <w:rPr>
          <w:rFonts w:hint="eastAsia" w:ascii="仿宋_GB2312" w:hAnsi="Times New Roman" w:eastAsia="仿宋_GB2312" w:cs="仿宋_GB2312"/>
          <w:color w:val="auto"/>
          <w:sz w:val="32"/>
          <w:szCs w:val="32"/>
          <w:lang w:val="en-US" w:eastAsia="zh-CN"/>
        </w:rPr>
        <w:t>82.77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比年初预算减少</w:t>
      </w:r>
      <w:r>
        <w:rPr>
          <w:rFonts w:hint="eastAsia" w:ascii="仿宋_GB2312" w:hAnsi="Times New Roman" w:eastAsia="仿宋_GB2312" w:cs="仿宋_GB2312"/>
          <w:color w:val="auto"/>
          <w:sz w:val="32"/>
          <w:szCs w:val="32"/>
          <w:lang w:val="en-US" w:eastAsia="zh-CN"/>
        </w:rPr>
        <w:t>4463.07</w:t>
      </w:r>
      <w:r>
        <w:rPr>
          <w:rFonts w:hint="eastAsia" w:ascii="仿宋_GB2312" w:hAnsi="Times New Roman" w:eastAsia="仿宋_GB2312" w:cs="仿宋_GB2312"/>
          <w:color w:val="auto"/>
          <w:sz w:val="32"/>
          <w:szCs w:val="32"/>
        </w:rPr>
        <w:t>万元，决算数小于预算数主要原因是专债资金根据工程进度支付，调整预算数较年初预算数小。</w:t>
      </w:r>
    </w:p>
    <w:p>
      <w:pPr>
        <w:adjustRightInd w:val="0"/>
        <w:snapToGrid w:val="0"/>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（三）部门整体支出绩效目标、指标</w:t>
      </w:r>
    </w:p>
    <w:p>
      <w:pPr>
        <w:adjustRightInd w:val="0"/>
        <w:snapToGrid w:val="0"/>
        <w:spacing w:line="560" w:lineRule="exact"/>
        <w:ind w:firstLine="640" w:firstLineChars="200"/>
        <w:rPr>
          <w:rFonts w:hint="eastAsia" w:ascii="宋体" w:hAnsi="宋体" w:eastAsia="仿宋_GB2312" w:cs="仿宋_GB2312"/>
          <w:color w:val="auto"/>
          <w:sz w:val="32"/>
          <w:szCs w:val="32"/>
          <w:lang w:val="en-US" w:eastAsia="zh-CN"/>
        </w:rPr>
      </w:pPr>
      <w:r>
        <w:rPr>
          <w:rFonts w:hint="eastAsia" w:ascii="宋体" w:hAnsi="宋体" w:eastAsia="楷体_GB2312" w:cs="楷体_GB2312"/>
          <w:b w:val="0"/>
          <w:bCs w:val="0"/>
          <w:color w:val="auto"/>
          <w:sz w:val="32"/>
          <w:szCs w:val="32"/>
          <w:lang w:val="en-US" w:eastAsia="zh-CN"/>
        </w:rPr>
        <w:t>一</w:t>
      </w:r>
      <w:r>
        <w:rPr>
          <w:rFonts w:hint="eastAsia" w:ascii="宋体" w:hAnsi="宋体" w:eastAsia="楷体_GB2312" w:cs="楷体_GB2312"/>
          <w:b w:val="0"/>
          <w:bCs w:val="0"/>
          <w:color w:val="auto"/>
          <w:sz w:val="32"/>
          <w:szCs w:val="32"/>
          <w:lang w:eastAsia="zh-CN"/>
        </w:rPr>
        <w:t>是深化医药卫生体制改革。</w:t>
      </w:r>
      <w:r>
        <w:rPr>
          <w:rFonts w:hint="eastAsia" w:ascii="宋体" w:hAnsi="宋体" w:eastAsia="仿宋_GB2312" w:cs="仿宋_GB2312"/>
          <w:b w:val="0"/>
          <w:bCs w:val="0"/>
          <w:color w:val="auto"/>
          <w:sz w:val="32"/>
          <w:szCs w:val="32"/>
          <w:lang w:val="en-US" w:eastAsia="zh-CN"/>
        </w:rPr>
        <w:t>继续加强县域医共体建设，推进互联网医院建设，建设互联互通的医学检验、医学影像、心电诊断、病理共享中心，实现医共体内检验结果互认，改善群众就医体验；开展结直肠癌早期筛查早诊项目，提高病变早诊率和治疗率。</w:t>
      </w:r>
      <w:r>
        <w:rPr>
          <w:rFonts w:hint="eastAsia" w:ascii="宋体" w:hAnsi="宋体" w:eastAsia="楷体_GB2312" w:cs="楷体_GB2312"/>
          <w:b w:val="0"/>
          <w:bCs w:val="0"/>
          <w:color w:val="auto"/>
          <w:sz w:val="32"/>
          <w:szCs w:val="32"/>
          <w:highlight w:val="none"/>
          <w:lang w:val="en-US" w:eastAsia="zh-CN"/>
        </w:rPr>
        <w:t>二</w:t>
      </w:r>
      <w:r>
        <w:rPr>
          <w:rFonts w:hint="eastAsia" w:ascii="宋体" w:hAnsi="宋体" w:eastAsia="楷体_GB2312" w:cs="楷体_GB2312"/>
          <w:b w:val="0"/>
          <w:bCs w:val="0"/>
          <w:color w:val="auto"/>
          <w:sz w:val="32"/>
          <w:szCs w:val="32"/>
          <w:lang w:val="en-US" w:eastAsia="zh-CN"/>
        </w:rPr>
        <w:t>是提升区级医院综合服务水平。</w:t>
      </w:r>
      <w:r>
        <w:rPr>
          <w:rFonts w:hint="eastAsia" w:ascii="宋体" w:hAnsi="宋体" w:eastAsia="仿宋_GB2312" w:cs="仿宋_GB2312"/>
          <w:b w:val="0"/>
          <w:bCs w:val="0"/>
          <w:color w:val="auto"/>
          <w:sz w:val="32"/>
          <w:szCs w:val="32"/>
          <w:lang w:val="en-US" w:eastAsia="zh-CN"/>
        </w:rPr>
        <w:t>鹿泉人民医院加快呼吸睡眠监测中心、体检中心和县域慢病管理中心建设；区妇幼院建成省级中医特色专科，提升危重孕产妇救治中心、危重新生儿救治中心、儿童康复中心三个中心标准；第二人民医院加快脑血管病诊疗中心建设。</w:t>
      </w:r>
      <w:r>
        <w:rPr>
          <w:rFonts w:hint="eastAsia" w:ascii="宋体" w:hAnsi="宋体" w:eastAsia="楷体_GB2312" w:cs="楷体_GB2312"/>
          <w:b w:val="0"/>
          <w:bCs w:val="0"/>
          <w:color w:val="auto"/>
          <w:sz w:val="32"/>
          <w:szCs w:val="32"/>
          <w:lang w:val="en-US" w:eastAsia="zh-CN"/>
        </w:rPr>
        <w:t>三是加强</w:t>
      </w:r>
      <w:r>
        <w:rPr>
          <w:rFonts w:hint="eastAsia" w:ascii="宋体" w:hAnsi="宋体" w:eastAsia="楷体_GB2312" w:cs="楷体_GB2312"/>
          <w:b w:val="0"/>
          <w:bCs w:val="0"/>
          <w:color w:val="auto"/>
          <w:sz w:val="32"/>
          <w:szCs w:val="32"/>
          <w:lang w:eastAsia="zh-CN"/>
        </w:rPr>
        <w:t>基层医疗服务能力</w:t>
      </w:r>
      <w:r>
        <w:rPr>
          <w:rFonts w:hint="eastAsia" w:ascii="宋体" w:hAnsi="宋体" w:eastAsia="楷体_GB2312" w:cs="楷体_GB2312"/>
          <w:b w:val="0"/>
          <w:bCs w:val="0"/>
          <w:color w:val="auto"/>
          <w:sz w:val="32"/>
          <w:szCs w:val="32"/>
          <w:lang w:val="en-US" w:eastAsia="zh-CN"/>
        </w:rPr>
        <w:t>建设</w:t>
      </w:r>
      <w:r>
        <w:rPr>
          <w:rFonts w:hint="eastAsia" w:ascii="宋体" w:hAnsi="宋体" w:eastAsia="楷体_GB2312" w:cs="楷体_GB2312"/>
          <w:b w:val="0"/>
          <w:bCs w:val="0"/>
          <w:color w:val="auto"/>
          <w:sz w:val="32"/>
          <w:szCs w:val="32"/>
          <w:lang w:eastAsia="zh-CN"/>
        </w:rPr>
        <w:t>。</w:t>
      </w:r>
      <w:r>
        <w:rPr>
          <w:rFonts w:hint="eastAsia" w:ascii="宋体" w:hAnsi="宋体" w:eastAsia="仿宋_GB2312" w:cs="仿宋_GB2312"/>
          <w:b w:val="0"/>
          <w:bCs w:val="0"/>
          <w:color w:val="auto"/>
          <w:sz w:val="32"/>
          <w:szCs w:val="32"/>
          <w:highlight w:val="none"/>
          <w:lang w:val="en-US" w:eastAsia="zh-CN"/>
        </w:rPr>
        <w:t>继续巩固“基本公共卫生服务医防融合省级示范区”创建成果，提升基层医疗卫生机构医防管服务能力水平；深入做好家庭医生签约服务工作，做到已签约对象履约服务全覆盖；提升全区公共卫生服务水平，利用“国家基本公共卫生绩效评价（督导系统）”加大对乡镇卫生院、村卫生室的监督管理；抓好优质服务基层行推荐标准创建工作，遴选李村镇中心卫生院创建优质服务基层行国家推荐标准。</w:t>
      </w:r>
      <w:r>
        <w:rPr>
          <w:rFonts w:hint="eastAsia" w:ascii="宋体" w:hAnsi="宋体" w:eastAsia="楷体_GB2312" w:cs="楷体_GB2312"/>
          <w:b w:val="0"/>
          <w:bCs w:val="0"/>
          <w:color w:val="auto"/>
          <w:sz w:val="32"/>
          <w:szCs w:val="32"/>
          <w:lang w:val="en-US" w:eastAsia="zh-CN"/>
        </w:rPr>
        <w:t>四是加快中医药传承创新发展。</w:t>
      </w:r>
      <w:r>
        <w:rPr>
          <w:rFonts w:hint="eastAsia" w:ascii="宋体" w:hAnsi="宋体" w:eastAsia="仿宋_GB2312" w:cs="仿宋_GB2312"/>
          <w:b w:val="0"/>
          <w:bCs w:val="0"/>
          <w:color w:val="auto"/>
          <w:sz w:val="32"/>
          <w:szCs w:val="32"/>
          <w:highlight w:val="none"/>
          <w:lang w:val="en-US" w:eastAsia="zh-CN"/>
        </w:rPr>
        <w:t>创建全国基层中医药工作示范县；</w:t>
      </w:r>
      <w:r>
        <w:rPr>
          <w:rFonts w:hint="eastAsia" w:ascii="宋体" w:hAnsi="宋体" w:eastAsia="仿宋_GB2312" w:cs="仿宋_GB2312"/>
          <w:b w:val="0"/>
          <w:bCs w:val="0"/>
          <w:color w:val="auto"/>
          <w:sz w:val="32"/>
          <w:szCs w:val="32"/>
          <w:lang w:val="en-US" w:eastAsia="zh-CN"/>
        </w:rPr>
        <w:t>区中医院进一步完善“两专科一中心”建设，提升中医院专科服务能力；</w:t>
      </w:r>
      <w:r>
        <w:rPr>
          <w:rFonts w:hint="eastAsia" w:ascii="宋体" w:hAnsi="宋体" w:eastAsia="仿宋_GB2312" w:cs="仿宋_GB2312"/>
          <w:b w:val="0"/>
          <w:bCs w:val="0"/>
          <w:color w:val="auto"/>
          <w:sz w:val="32"/>
          <w:szCs w:val="32"/>
          <w:lang w:eastAsia="zh-CN"/>
        </w:rPr>
        <w:t>完成铜冶镇中心卫生院永壁分院高水平国医堂</w:t>
      </w:r>
      <w:r>
        <w:rPr>
          <w:rFonts w:hint="eastAsia" w:ascii="宋体" w:hAnsi="宋体" w:eastAsia="仿宋_GB2312" w:cs="仿宋_GB2312"/>
          <w:b w:val="0"/>
          <w:bCs w:val="0"/>
          <w:color w:val="auto"/>
          <w:sz w:val="32"/>
          <w:szCs w:val="32"/>
          <w:lang w:val="en-US" w:eastAsia="zh-CN"/>
        </w:rPr>
        <w:t>和上庄镇卫生院旗舰国医堂项目建设</w:t>
      </w:r>
      <w:r>
        <w:rPr>
          <w:rFonts w:hint="eastAsia" w:ascii="宋体" w:hAnsi="宋体" w:eastAsia="仿宋_GB2312" w:cs="仿宋_GB2312"/>
          <w:b w:val="0"/>
          <w:bCs w:val="0"/>
          <w:color w:val="auto"/>
          <w:sz w:val="32"/>
          <w:szCs w:val="32"/>
          <w:lang w:eastAsia="zh-CN"/>
        </w:rPr>
        <w:t>，提升中医药服务能力。</w:t>
      </w:r>
      <w:r>
        <w:rPr>
          <w:rFonts w:hint="eastAsia" w:ascii="宋体" w:hAnsi="宋体" w:eastAsia="楷体_GB2312" w:cs="楷体_GB2312"/>
          <w:b w:val="0"/>
          <w:bCs w:val="0"/>
          <w:color w:val="auto"/>
          <w:sz w:val="32"/>
          <w:szCs w:val="32"/>
          <w:lang w:val="en-US" w:eastAsia="zh-CN"/>
        </w:rPr>
        <w:t>五是推进“一老一小”健康服务深入开展。</w:t>
      </w:r>
      <w:r>
        <w:rPr>
          <w:rFonts w:hint="eastAsia" w:ascii="宋体" w:hAnsi="宋体" w:eastAsia="仿宋_GB2312" w:cs="仿宋_GB2312"/>
          <w:b w:val="0"/>
          <w:bCs w:val="0"/>
          <w:color w:val="auto"/>
          <w:sz w:val="32"/>
          <w:szCs w:val="32"/>
          <w:highlight w:val="none"/>
          <w:lang w:val="en-US" w:eastAsia="zh-CN"/>
        </w:rPr>
        <w:t>谋划区级托育综合服务中心建设，争取最大托位数达到2700，千人口托位数达到4.5个。推动鹿泉人民医院开展市级安宁疗护试点机构创建工作。</w:t>
      </w:r>
      <w:r>
        <w:rPr>
          <w:rFonts w:hint="eastAsia" w:ascii="宋体" w:hAnsi="宋体" w:eastAsia="楷体_GB2312" w:cs="楷体_GB2312"/>
          <w:b w:val="0"/>
          <w:bCs w:val="0"/>
          <w:color w:val="auto"/>
          <w:sz w:val="32"/>
          <w:szCs w:val="32"/>
          <w:highlight w:val="none"/>
          <w:lang w:val="en-US" w:eastAsia="zh-CN"/>
        </w:rPr>
        <w:t>六是推动健康中国行动落实落细。</w:t>
      </w:r>
      <w:r>
        <w:rPr>
          <w:rFonts w:hint="eastAsia" w:ascii="宋体" w:hAnsi="宋体" w:eastAsia="仿宋_GB2312" w:cs="仿宋_GB2312"/>
          <w:b w:val="0"/>
          <w:bCs w:val="0"/>
          <w:color w:val="auto"/>
          <w:sz w:val="32"/>
          <w:szCs w:val="32"/>
          <w:lang w:val="en-US" w:eastAsia="zh-CN"/>
        </w:rPr>
        <w:t>持续开展爱国卫生运动，巩固国家卫生城市创建成果；继续巩固国家慢性病综合防控示范区建设成果，确保2024年顺利通过国家复审；认真做好职业健康监管，以全面完成“十四五”职业病防治规划目标为主线，以改善工作场所环</w:t>
      </w:r>
      <w:r>
        <w:rPr>
          <w:rFonts w:hint="eastAsia" w:ascii="宋体" w:hAnsi="宋体" w:eastAsia="仿宋_GB2312" w:cs="仿宋_GB2312"/>
          <w:color w:val="auto"/>
          <w:sz w:val="32"/>
          <w:szCs w:val="32"/>
          <w:lang w:val="en-US" w:eastAsia="zh-CN"/>
        </w:rPr>
        <w:t>境和条件为核心，深化职业病危害监测和治理，加强职业病防治体系建设，推进职业健康保护行动。</w:t>
      </w:r>
    </w:p>
    <w:p>
      <w:pPr>
        <w:adjustRightInd w:val="0"/>
        <w:snapToGrid w:val="0"/>
        <w:spacing w:line="560" w:lineRule="exact"/>
        <w:ind w:firstLine="640" w:firstLineChars="200"/>
        <w:rPr>
          <w:rFonts w:hint="eastAsia" w:ascii="黑体" w:hAnsi="黑体" w:eastAsia="黑体"/>
          <w:color w:val="auto"/>
          <w:sz w:val="32"/>
          <w:szCs w:val="32"/>
        </w:rPr>
      </w:pPr>
      <w:r>
        <w:rPr>
          <w:rFonts w:hint="eastAsia" w:ascii="黑体" w:hAnsi="黑体" w:eastAsia="黑体"/>
          <w:color w:val="auto"/>
          <w:sz w:val="32"/>
          <w:szCs w:val="32"/>
        </w:rPr>
        <w:t>二、自评工作开展情况</w:t>
      </w:r>
    </w:p>
    <w:p>
      <w:pPr>
        <w:adjustRightInd w:val="0"/>
        <w:snapToGrid w:val="0"/>
        <w:spacing w:line="560" w:lineRule="exact"/>
        <w:ind w:firstLine="640" w:firstLineChars="200"/>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（一）自评的组织工作</w:t>
      </w:r>
    </w:p>
    <w:p>
      <w:pPr>
        <w:adjustRightInd w:val="0"/>
        <w:snapToGrid w:val="0"/>
        <w:spacing w:line="560" w:lineRule="exact"/>
        <w:ind w:firstLine="640" w:firstLineChars="200"/>
        <w:rPr>
          <w:rFonts w:ascii="仿宋" w:hAnsi="仿宋" w:eastAsia="仿宋"/>
          <w:color w:val="auto"/>
          <w:sz w:val="32"/>
          <w:szCs w:val="32"/>
        </w:rPr>
      </w:pPr>
      <w:r>
        <w:rPr>
          <w:rFonts w:hint="eastAsia" w:ascii="宋体" w:hAnsi="宋体" w:eastAsia="仿宋_GB2312" w:cs="仿宋_GB2312"/>
          <w:color w:val="auto"/>
          <w:sz w:val="32"/>
          <w:szCs w:val="32"/>
        </w:rPr>
        <w:t>我部门制定了《</w:t>
      </w:r>
      <w:r>
        <w:rPr>
          <w:rFonts w:hint="eastAsia" w:ascii="宋体" w:hAnsi="宋体" w:eastAsia="仿宋_GB2312" w:cs="仿宋_GB2312"/>
          <w:color w:val="auto"/>
          <w:sz w:val="32"/>
          <w:szCs w:val="32"/>
          <w:lang w:eastAsia="zh-CN"/>
        </w:rPr>
        <w:t>石家庄市</w:t>
      </w:r>
      <w:r>
        <w:rPr>
          <w:rFonts w:hint="eastAsia" w:ascii="宋体" w:hAnsi="宋体" w:eastAsia="仿宋_GB2312" w:cs="仿宋_GB2312"/>
          <w:color w:val="auto"/>
          <w:sz w:val="32"/>
          <w:szCs w:val="32"/>
        </w:rPr>
        <w:t>鹿泉区卫生健康局绩效管理制度》，成立了绩效管理领导小组；对卫健局局属各单位开展多种形式的绩效管理宣传工作，包括开会、讨论等；按《</w:t>
      </w:r>
      <w:r>
        <w:rPr>
          <w:rFonts w:hint="eastAsia" w:ascii="宋体" w:hAnsi="宋体" w:eastAsia="仿宋_GB2312" w:cs="仿宋_GB2312"/>
          <w:color w:val="auto"/>
          <w:sz w:val="32"/>
          <w:szCs w:val="32"/>
          <w:lang w:eastAsia="zh-CN"/>
        </w:rPr>
        <w:t>石家庄市</w:t>
      </w:r>
      <w:r>
        <w:rPr>
          <w:rFonts w:hint="eastAsia" w:ascii="宋体" w:hAnsi="宋体" w:eastAsia="仿宋_GB2312" w:cs="仿宋_GB2312"/>
          <w:color w:val="auto"/>
          <w:sz w:val="32"/>
          <w:szCs w:val="32"/>
        </w:rPr>
        <w:t>鹿泉区卫生健康局绩效管理制度》要求各单位按时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2019〕42号）要求，全面开展事前绩效评估工作并提交事前绩效评估报告；按时监控并按时向区财政局报送绩效监控结果。</w:t>
      </w:r>
    </w:p>
    <w:p>
      <w:pPr>
        <w:numPr>
          <w:ilvl w:val="0"/>
          <w:numId w:val="1"/>
        </w:numPr>
        <w:spacing w:line="560" w:lineRule="exact"/>
        <w:rPr>
          <w:rFonts w:ascii="楷体" w:hAnsi="楷体" w:eastAsia="楷体" w:cs="楷体_GB2312"/>
          <w:bCs/>
          <w:color w:val="auto"/>
          <w:sz w:val="32"/>
          <w:szCs w:val="32"/>
        </w:rPr>
      </w:pPr>
      <w:r>
        <w:rPr>
          <w:rFonts w:hint="eastAsia" w:ascii="楷体" w:hAnsi="楷体" w:eastAsia="楷体" w:cs="楷体_GB2312"/>
          <w:bCs/>
          <w:color w:val="auto"/>
          <w:sz w:val="32"/>
          <w:szCs w:val="32"/>
        </w:rPr>
        <w:t>自评的方法和过程</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我部门绩效评价本着问题导向、系统评价、科学客观、讲求绩效的原则，采用全面评价和重点评价相结合、现场评价和非现场评价相结合、定性分析与定量分析相结合的方式，运用案卷研究、专家咨询、座谈访谈等方法，对项目决策、过程、产出、效益四方面进行综合评价。</w:t>
      </w:r>
    </w:p>
    <w:p>
      <w:pPr>
        <w:numPr>
          <w:ilvl w:val="0"/>
          <w:numId w:val="2"/>
        </w:numPr>
        <w:spacing w:line="560" w:lineRule="exact"/>
        <w:rPr>
          <w:rFonts w:ascii="黑体" w:hAnsi="黑体" w:eastAsia="黑体"/>
          <w:b/>
          <w:bCs/>
          <w:color w:val="auto"/>
          <w:sz w:val="32"/>
          <w:szCs w:val="32"/>
        </w:rPr>
      </w:pPr>
      <w:r>
        <w:rPr>
          <w:rFonts w:hint="eastAsia" w:ascii="黑体" w:hAnsi="黑体" w:eastAsia="黑体"/>
          <w:color w:val="auto"/>
          <w:sz w:val="32"/>
          <w:szCs w:val="32"/>
        </w:rPr>
        <w:t>部门整体支出绩效目标实现情况及指标分析</w:t>
      </w:r>
    </w:p>
    <w:p>
      <w:pPr>
        <w:numPr>
          <w:ilvl w:val="0"/>
          <w:numId w:val="3"/>
        </w:numPr>
        <w:spacing w:line="560" w:lineRule="exact"/>
        <w:ind w:firstLine="640" w:firstLineChars="200"/>
        <w:rPr>
          <w:rFonts w:ascii="楷体" w:hAnsi="楷体" w:eastAsia="楷体" w:cs="楷体_GB2312"/>
          <w:bCs/>
          <w:color w:val="auto"/>
          <w:sz w:val="32"/>
          <w:szCs w:val="32"/>
        </w:rPr>
      </w:pPr>
      <w:r>
        <w:rPr>
          <w:rFonts w:hint="eastAsia" w:ascii="楷体" w:hAnsi="楷体" w:eastAsia="楷体" w:cs="楷体_GB2312"/>
          <w:bCs/>
          <w:color w:val="auto"/>
          <w:sz w:val="32"/>
          <w:szCs w:val="32"/>
        </w:rPr>
        <w:t>总体绩效目标实现情况</w:t>
      </w:r>
    </w:p>
    <w:p>
      <w:pPr>
        <w:spacing w:line="560" w:lineRule="exact"/>
        <w:ind w:firstLine="640" w:firstLineChars="200"/>
        <w:rPr>
          <w:rFonts w:hint="eastAsia" w:ascii="宋体" w:hAnsi="宋体" w:eastAsia="仿宋_GB2312" w:cs="仿宋_GB2312"/>
          <w:b w:val="0"/>
          <w:bCs w:val="0"/>
          <w:color w:val="auto"/>
          <w:sz w:val="32"/>
          <w:szCs w:val="32"/>
          <w:lang w:val="en-US" w:eastAsia="zh-CN"/>
        </w:rPr>
      </w:pPr>
      <w:r>
        <w:rPr>
          <w:rFonts w:hint="eastAsia" w:ascii="宋体" w:hAnsi="宋体" w:eastAsia="仿宋_GB2312" w:cs="仿宋_GB2312"/>
          <w:color w:val="auto"/>
          <w:sz w:val="32"/>
          <w:szCs w:val="32"/>
        </w:rPr>
        <w:t>202</w:t>
      </w:r>
      <w:r>
        <w:rPr>
          <w:rFonts w:hint="eastAsia" w:ascii="宋体" w:hAnsi="宋体" w:eastAsia="仿宋_GB2312" w:cs="仿宋_GB2312"/>
          <w:color w:val="auto"/>
          <w:sz w:val="32"/>
          <w:szCs w:val="32"/>
          <w:lang w:val="en-US" w:eastAsia="zh-CN"/>
        </w:rPr>
        <w:t>4</w:t>
      </w:r>
      <w:r>
        <w:rPr>
          <w:rFonts w:hint="eastAsia" w:ascii="宋体" w:hAnsi="宋体" w:eastAsia="仿宋_GB2312" w:cs="仿宋_GB2312"/>
          <w:color w:val="auto"/>
          <w:sz w:val="32"/>
          <w:szCs w:val="32"/>
        </w:rPr>
        <w:t>年，在区委、区政府的领导和市卫健委的指导下，我部门各项目的落地实施均形成了较好成果</w:t>
      </w:r>
      <w:r>
        <w:rPr>
          <w:rFonts w:hint="eastAsia" w:ascii="宋体" w:hAnsi="宋体" w:eastAsia="仿宋_GB2312" w:cs="仿宋_GB2312"/>
          <w:b w:val="0"/>
          <w:bCs w:val="0"/>
          <w:color w:val="auto"/>
          <w:sz w:val="32"/>
          <w:szCs w:val="32"/>
        </w:rPr>
        <w:t>：</w:t>
      </w:r>
      <w:r>
        <w:rPr>
          <w:rFonts w:hint="eastAsia" w:ascii="宋体" w:hAnsi="宋体" w:eastAsia="楷体_GB2312" w:cs="楷体_GB2312"/>
          <w:b w:val="0"/>
          <w:bCs w:val="0"/>
          <w:i w:val="0"/>
          <w:iCs w:val="0"/>
          <w:caps w:val="0"/>
          <w:color w:val="auto"/>
          <w:spacing w:val="0"/>
          <w:sz w:val="32"/>
          <w:szCs w:val="32"/>
          <w:highlight w:val="none"/>
          <w:lang w:val="en-US" w:eastAsia="zh-CN"/>
        </w:rPr>
        <w:t>（1）突出“一条主线”，深入推进医疗卫生体制改革。</w:t>
      </w:r>
      <w:r>
        <w:rPr>
          <w:rFonts w:hint="eastAsia" w:ascii="宋体" w:hAnsi="宋体" w:eastAsia="仿宋_GB2312" w:cs="仿宋_GB2312"/>
          <w:b w:val="0"/>
          <w:bCs w:val="0"/>
          <w:color w:val="auto"/>
          <w:sz w:val="32"/>
          <w:szCs w:val="32"/>
          <w:lang w:val="en-US" w:eastAsia="zh-CN"/>
        </w:rPr>
        <w:t>以贯彻落实党的二十届三中全会精神</w:t>
      </w:r>
      <w:r>
        <w:rPr>
          <w:rFonts w:hint="eastAsia" w:ascii="宋体" w:hAnsi="宋体" w:eastAsia="仿宋_GB2312" w:cs="仿宋_GB2312"/>
          <w:b w:val="0"/>
          <w:bCs w:val="0"/>
          <w:color w:val="auto"/>
          <w:sz w:val="32"/>
          <w:szCs w:val="32"/>
          <w:u w:val="none"/>
          <w:lang w:val="en-US" w:eastAsia="zh-CN"/>
        </w:rPr>
        <w:t>为主线，</w:t>
      </w:r>
      <w:r>
        <w:rPr>
          <w:rFonts w:hint="eastAsia" w:ascii="宋体" w:hAnsi="宋体" w:eastAsia="仿宋_GB2312" w:cs="仿宋_GB2312"/>
          <w:b w:val="0"/>
          <w:bCs w:val="0"/>
          <w:color w:val="auto"/>
          <w:sz w:val="32"/>
          <w:szCs w:val="32"/>
          <w:highlight w:val="none"/>
          <w:u w:val="none"/>
          <w:lang w:val="en-US" w:eastAsia="zh-CN"/>
        </w:rPr>
        <w:t>牢牢把握医改重点任务</w:t>
      </w:r>
      <w:r>
        <w:rPr>
          <w:rFonts w:hint="eastAsia" w:ascii="宋体" w:hAnsi="宋体" w:eastAsia="仿宋_GB2312" w:cs="仿宋_GB2312"/>
          <w:b w:val="0"/>
          <w:bCs w:val="0"/>
          <w:color w:val="auto"/>
          <w:sz w:val="32"/>
          <w:szCs w:val="32"/>
          <w:lang w:val="en-US" w:eastAsia="zh-CN"/>
        </w:rPr>
        <w:t>，推进工作落实落细。</w:t>
      </w:r>
      <w:r>
        <w:rPr>
          <w:rFonts w:hint="eastAsia" w:ascii="楷体_GB2312" w:hAnsi="楷体_GB2312" w:eastAsia="楷体_GB2312" w:cs="楷体_GB2312"/>
          <w:b w:val="0"/>
          <w:bCs w:val="0"/>
          <w:color w:val="auto"/>
          <w:sz w:val="32"/>
          <w:szCs w:val="32"/>
          <w:lang w:val="en-US" w:eastAsia="zh-CN"/>
        </w:rPr>
        <w:t>一是建设医共体惠民便民。</w:t>
      </w:r>
      <w:r>
        <w:rPr>
          <w:rFonts w:hint="eastAsia" w:ascii="宋体" w:hAnsi="宋体" w:eastAsia="仿宋_GB2312" w:cs="仿宋_GB2312"/>
          <w:b w:val="0"/>
          <w:bCs w:val="0"/>
          <w:color w:val="auto"/>
          <w:sz w:val="32"/>
          <w:szCs w:val="32"/>
          <w:highlight w:val="none"/>
          <w:u w:val="none"/>
          <w:lang w:val="en-US" w:eastAsia="zh-CN"/>
        </w:rPr>
        <w:t>通过数据互联互通，实现</w:t>
      </w:r>
      <w:r>
        <w:rPr>
          <w:rFonts w:hint="eastAsia" w:ascii="宋体" w:hAnsi="宋体" w:eastAsia="仿宋_GB2312" w:cs="仿宋_GB2312"/>
          <w:b w:val="0"/>
          <w:bCs w:val="0"/>
          <w:color w:val="auto"/>
          <w:sz w:val="32"/>
          <w:szCs w:val="32"/>
          <w:lang w:val="en-US" w:eastAsia="zh-CN"/>
        </w:rPr>
        <w:t>医共体内检验结果互认，群众看病少花钱、少跑路，在“家门口”享受到区级医院的医疗服务。</w:t>
      </w:r>
      <w:r>
        <w:rPr>
          <w:rFonts w:hint="eastAsia" w:ascii="楷体_GB2312" w:hAnsi="楷体_GB2312" w:eastAsia="楷体_GB2312" w:cs="楷体_GB2312"/>
          <w:b w:val="0"/>
          <w:bCs w:val="0"/>
          <w:color w:val="auto"/>
          <w:sz w:val="32"/>
          <w:szCs w:val="32"/>
          <w:lang w:val="en-US" w:eastAsia="zh-CN"/>
        </w:rPr>
        <w:t>二是做实优质资源下沉基层。</w:t>
      </w:r>
      <w:r>
        <w:rPr>
          <w:rFonts w:hint="eastAsia" w:ascii="楷体_GB2312" w:hAnsi="楷体_GB2312" w:eastAsia="楷体_GB2312" w:cs="楷体_GB2312"/>
          <w:b w:val="0"/>
          <w:bCs w:val="0"/>
          <w:color w:val="auto"/>
          <w:sz w:val="32"/>
          <w:szCs w:val="32"/>
          <w:highlight w:val="none"/>
          <w:lang w:val="en-US" w:eastAsia="zh-CN"/>
        </w:rPr>
        <w:t>28</w:t>
      </w:r>
      <w:r>
        <w:rPr>
          <w:rFonts w:hint="eastAsia" w:ascii="宋体" w:hAnsi="宋体" w:eastAsia="仿宋_GB2312" w:cs="仿宋_GB2312"/>
          <w:b w:val="0"/>
          <w:bCs w:val="0"/>
          <w:color w:val="auto"/>
          <w:sz w:val="32"/>
          <w:szCs w:val="32"/>
          <w:highlight w:val="none"/>
          <w:lang w:val="en-US" w:eastAsia="zh-CN"/>
        </w:rPr>
        <w:t>名</w:t>
      </w:r>
      <w:r>
        <w:rPr>
          <w:rFonts w:hint="eastAsia" w:ascii="宋体" w:hAnsi="宋体" w:eastAsia="仿宋_GB2312" w:cs="仿宋_GB2312"/>
          <w:b w:val="0"/>
          <w:bCs w:val="0"/>
          <w:color w:val="auto"/>
          <w:sz w:val="32"/>
          <w:szCs w:val="32"/>
          <w:lang w:val="en-US" w:eastAsia="zh-CN"/>
        </w:rPr>
        <w:t>区级医院业务骨干下沉乡镇卫生院，</w:t>
      </w:r>
      <w:r>
        <w:rPr>
          <w:rFonts w:hint="eastAsia" w:ascii="宋体" w:hAnsi="宋体" w:eastAsia="仿宋_GB2312" w:cs="仿宋_GB2312"/>
          <w:b w:val="0"/>
          <w:bCs w:val="0"/>
          <w:color w:val="auto"/>
          <w:sz w:val="32"/>
          <w:szCs w:val="32"/>
        </w:rPr>
        <w:t>实现卫生院联合门诊（病房）全覆盖</w:t>
      </w:r>
      <w:r>
        <w:rPr>
          <w:rFonts w:hint="eastAsia" w:ascii="宋体" w:hAnsi="宋体" w:eastAsia="仿宋_GB2312" w:cs="仿宋_GB2312"/>
          <w:b w:val="0"/>
          <w:bCs w:val="0"/>
          <w:color w:val="auto"/>
          <w:sz w:val="32"/>
          <w:szCs w:val="32"/>
          <w:lang w:eastAsia="zh-CN"/>
        </w:rPr>
        <w:t>，帮助基层</w:t>
      </w:r>
      <w:r>
        <w:rPr>
          <w:rFonts w:hint="eastAsia" w:ascii="宋体" w:hAnsi="宋体" w:eastAsia="仿宋_GB2312" w:cs="仿宋_GB2312"/>
          <w:b w:val="0"/>
          <w:bCs w:val="0"/>
          <w:color w:val="auto"/>
          <w:sz w:val="32"/>
          <w:szCs w:val="32"/>
        </w:rPr>
        <w:t>开展新技术新项目</w:t>
      </w:r>
      <w:r>
        <w:rPr>
          <w:rFonts w:hint="eastAsia" w:ascii="宋体" w:hAnsi="宋体" w:eastAsia="仿宋_GB2312" w:cs="仿宋_GB2312"/>
          <w:b w:val="0"/>
          <w:bCs w:val="0"/>
          <w:color w:val="auto"/>
          <w:sz w:val="32"/>
          <w:szCs w:val="32"/>
          <w:lang w:val="en-US" w:eastAsia="zh-CN"/>
        </w:rPr>
        <w:t>55</w:t>
      </w:r>
      <w:r>
        <w:rPr>
          <w:rFonts w:hint="eastAsia" w:ascii="宋体" w:hAnsi="宋体" w:eastAsia="仿宋_GB2312" w:cs="仿宋_GB2312"/>
          <w:b w:val="0"/>
          <w:bCs w:val="0"/>
          <w:color w:val="auto"/>
          <w:sz w:val="32"/>
          <w:szCs w:val="32"/>
        </w:rPr>
        <w:t>项，</w:t>
      </w:r>
      <w:r>
        <w:rPr>
          <w:rFonts w:hint="eastAsia" w:ascii="宋体" w:hAnsi="宋体" w:eastAsia="仿宋_GB2312" w:cs="仿宋_GB2312"/>
          <w:b w:val="0"/>
          <w:bCs w:val="0"/>
          <w:color w:val="auto"/>
          <w:sz w:val="32"/>
          <w:szCs w:val="32"/>
          <w:lang w:val="en-US" w:eastAsia="zh-CN"/>
        </w:rPr>
        <w:t>诊治病人10690人次，有效提升卫生院诊疗水平。</w:t>
      </w:r>
      <w:r>
        <w:rPr>
          <w:rFonts w:hint="eastAsia" w:ascii="楷体_GB2312" w:hAnsi="楷体_GB2312" w:eastAsia="楷体_GB2312" w:cs="楷体_GB2312"/>
          <w:b w:val="0"/>
          <w:bCs w:val="0"/>
          <w:color w:val="auto"/>
          <w:sz w:val="32"/>
          <w:szCs w:val="32"/>
          <w:lang w:val="en-US" w:eastAsia="zh-CN"/>
        </w:rPr>
        <w:t>三是打造一体化管理模式。</w:t>
      </w:r>
      <w:r>
        <w:rPr>
          <w:rFonts w:hint="eastAsia" w:ascii="宋体" w:hAnsi="宋体" w:eastAsia="仿宋_GB2312" w:cs="仿宋_GB2312"/>
          <w:b w:val="0"/>
          <w:bCs w:val="0"/>
          <w:color w:val="auto"/>
          <w:sz w:val="32"/>
          <w:szCs w:val="32"/>
          <w:lang w:val="en-US" w:eastAsia="zh-CN"/>
        </w:rPr>
        <w:t>医共体成立13个管理中心，在人事、财务、采购等领域做到一家人一盘棋一本帐管理，推动各成员单位深度融合，进一步提升县域整体服务能力</w:t>
      </w:r>
      <w:r>
        <w:rPr>
          <w:rFonts w:hint="eastAsia" w:ascii="宋体" w:hAnsi="宋体" w:eastAsia="仿宋_GB2312" w:cs="仿宋_GB2312"/>
          <w:b w:val="0"/>
          <w:bCs w:val="0"/>
          <w:color w:val="auto"/>
          <w:sz w:val="32"/>
          <w:szCs w:val="32"/>
          <w:highlight w:val="none"/>
          <w:lang w:val="en-US" w:eastAsia="zh-CN"/>
        </w:rPr>
        <w:t>。</w:t>
      </w:r>
      <w:r>
        <w:rPr>
          <w:rFonts w:hint="eastAsia" w:ascii="宋体" w:hAnsi="宋体" w:eastAsia="楷体_GB2312" w:cs="楷体_GB2312"/>
          <w:b w:val="0"/>
          <w:bCs w:val="0"/>
          <w:color w:val="auto"/>
          <w:sz w:val="32"/>
          <w:szCs w:val="32"/>
          <w:u w:val="none"/>
          <w:lang w:eastAsia="zh-CN"/>
        </w:rPr>
        <w:t>（</w:t>
      </w:r>
      <w:r>
        <w:rPr>
          <w:rFonts w:hint="eastAsia" w:ascii="宋体" w:hAnsi="宋体" w:eastAsia="楷体_GB2312" w:cs="楷体_GB2312"/>
          <w:b w:val="0"/>
          <w:bCs w:val="0"/>
          <w:color w:val="auto"/>
          <w:sz w:val="32"/>
          <w:szCs w:val="32"/>
          <w:u w:val="none"/>
          <w:lang w:val="en-US" w:eastAsia="zh-CN"/>
        </w:rPr>
        <w:t>2</w:t>
      </w:r>
      <w:r>
        <w:rPr>
          <w:rFonts w:hint="eastAsia" w:ascii="宋体" w:hAnsi="宋体" w:eastAsia="楷体_GB2312" w:cs="楷体_GB2312"/>
          <w:b w:val="0"/>
          <w:bCs w:val="0"/>
          <w:color w:val="auto"/>
          <w:sz w:val="32"/>
          <w:szCs w:val="32"/>
          <w:u w:val="none"/>
          <w:lang w:eastAsia="zh-CN"/>
        </w:rPr>
        <w:t>）狠抓“四项重点”，深入推动卫生</w:t>
      </w:r>
      <w:r>
        <w:rPr>
          <w:rFonts w:hint="eastAsia" w:ascii="宋体" w:hAnsi="宋体" w:eastAsia="楷体_GB2312" w:cs="楷体_GB2312"/>
          <w:b w:val="0"/>
          <w:bCs w:val="0"/>
          <w:color w:val="auto"/>
          <w:sz w:val="32"/>
          <w:szCs w:val="32"/>
          <w:u w:val="none"/>
          <w:lang w:val="en-US" w:eastAsia="zh-CN"/>
        </w:rPr>
        <w:t>健康事业高质量发展。一</w:t>
      </w:r>
      <w:r>
        <w:rPr>
          <w:rFonts w:hint="eastAsia" w:ascii="楷体_GB2312" w:hAnsi="楷体_GB2312" w:eastAsia="楷体_GB2312" w:cs="楷体_GB2312"/>
          <w:b w:val="0"/>
          <w:bCs w:val="0"/>
          <w:color w:val="auto"/>
          <w:sz w:val="32"/>
          <w:szCs w:val="32"/>
          <w:lang w:val="en-US" w:eastAsia="zh-CN"/>
        </w:rPr>
        <w:t>是提升医疗机构信息化水平。</w:t>
      </w:r>
      <w:r>
        <w:rPr>
          <w:rFonts w:hint="eastAsia" w:ascii="宋体" w:hAnsi="宋体" w:eastAsia="仿宋_GB2312" w:cs="仿宋_GB2312"/>
          <w:b w:val="0"/>
          <w:bCs w:val="0"/>
          <w:color w:val="auto"/>
          <w:sz w:val="32"/>
          <w:szCs w:val="32"/>
          <w:lang w:val="en-US" w:eastAsia="zh-CN"/>
        </w:rPr>
        <w:t>搭建了紧密型县域医共体智慧医疗平台，</w:t>
      </w:r>
      <w:r>
        <w:rPr>
          <w:rFonts w:hint="eastAsia" w:ascii="宋体" w:hAnsi="宋体" w:eastAsia="仿宋_GB2312" w:cs="仿宋_GB2312"/>
          <w:b w:val="0"/>
          <w:bCs w:val="0"/>
          <w:color w:val="auto"/>
          <w:sz w:val="32"/>
          <w:szCs w:val="32"/>
          <w:highlight w:val="none"/>
          <w:u w:val="none"/>
          <w:lang w:val="en-US" w:eastAsia="zh-CN"/>
        </w:rPr>
        <w:t>组建了7个资源共享中心，实现“基层检查、上级诊断”，最大化发挥资源与技术优势。依托</w:t>
      </w:r>
      <w:r>
        <w:rPr>
          <w:rFonts w:hint="eastAsia" w:ascii="宋体" w:hAnsi="宋体" w:eastAsia="仿宋_GB2312" w:cs="仿宋_GB2312"/>
          <w:b w:val="0"/>
          <w:bCs w:val="0"/>
          <w:color w:val="auto"/>
          <w:sz w:val="32"/>
          <w:szCs w:val="32"/>
          <w:lang w:val="en-US" w:eastAsia="zh-CN"/>
        </w:rPr>
        <w:t>鹿泉人民医院建设“互联网医院”，线上咨询问诊达1330人次，开展线上预约上门护理43</w:t>
      </w:r>
      <w:r>
        <w:rPr>
          <w:rFonts w:hint="eastAsia" w:ascii="宋体" w:hAnsi="宋体" w:eastAsia="仿宋_GB2312" w:cs="仿宋_GB2312"/>
          <w:b w:val="0"/>
          <w:bCs w:val="0"/>
          <w:color w:val="auto"/>
          <w:sz w:val="32"/>
          <w:szCs w:val="32"/>
          <w:highlight w:val="none"/>
          <w:lang w:val="en-US" w:eastAsia="zh-CN"/>
        </w:rPr>
        <w:t>次。</w:t>
      </w:r>
      <w:r>
        <w:rPr>
          <w:rFonts w:hint="eastAsia" w:ascii="楷体_GB2312" w:hAnsi="楷体_GB2312" w:eastAsia="楷体_GB2312" w:cs="楷体_GB2312"/>
          <w:b w:val="0"/>
          <w:bCs w:val="0"/>
          <w:color w:val="auto"/>
          <w:sz w:val="32"/>
          <w:szCs w:val="32"/>
          <w:lang w:val="en-US" w:eastAsia="zh-CN"/>
        </w:rPr>
        <w:t>二是增强基层医疗服务能力。</w:t>
      </w:r>
      <w:r>
        <w:rPr>
          <w:rFonts w:hint="eastAsia" w:ascii="宋体" w:hAnsi="宋体" w:eastAsia="仿宋_GB2312" w:cs="仿宋_GB2312"/>
          <w:b w:val="0"/>
          <w:bCs w:val="0"/>
          <w:color w:val="auto"/>
          <w:sz w:val="32"/>
          <w:szCs w:val="32"/>
          <w:lang w:val="en-US" w:eastAsia="zh-CN"/>
        </w:rPr>
        <w:t>扎实开展</w:t>
      </w:r>
      <w:r>
        <w:rPr>
          <w:rFonts w:hint="eastAsia" w:ascii="仿宋_GB2312" w:hAnsi="仿宋_GB2312" w:eastAsia="仿宋_GB2312" w:cs="仿宋_GB2312"/>
          <w:b w:val="0"/>
          <w:bCs w:val="0"/>
          <w:color w:val="auto"/>
          <w:sz w:val="32"/>
          <w:szCs w:val="32"/>
          <w:lang w:val="en-US" w:eastAsia="zh-CN"/>
        </w:rPr>
        <w:t>优质服务基层行创建活动，新增2家乡镇卫生院创成河北省社区医院。累计7家通过国家优质服务基层行推荐标准，三年来，共8家乡镇卫生院14个专科获批“河北省基层医疗卫生机构特色专科”</w:t>
      </w:r>
      <w:r>
        <w:rPr>
          <w:rFonts w:hint="eastAsia" w:ascii="宋体" w:hAnsi="宋体" w:eastAsia="仿宋_GB2312" w:cs="仿宋_GB2312"/>
          <w:b w:val="0"/>
          <w:bCs w:val="0"/>
          <w:color w:val="auto"/>
          <w:sz w:val="32"/>
          <w:szCs w:val="32"/>
          <w:lang w:val="en-US" w:eastAsia="zh-CN"/>
        </w:rPr>
        <w:t>；同时，加强标准化村卫生室建设。近500名村医通过参加各级培训提升了业务能力，所有村卫生室达到标准化建设要求，村级诊疗能力显著提升。</w:t>
      </w:r>
      <w:r>
        <w:rPr>
          <w:rFonts w:hint="eastAsia" w:ascii="楷体_GB2312" w:hAnsi="楷体_GB2312" w:eastAsia="楷体_GB2312" w:cs="楷体_GB2312"/>
          <w:b w:val="0"/>
          <w:bCs w:val="0"/>
          <w:color w:val="auto"/>
          <w:sz w:val="32"/>
          <w:szCs w:val="32"/>
          <w:u w:val="none"/>
          <w:lang w:val="en-US" w:eastAsia="zh-CN"/>
        </w:rPr>
        <w:t>三是加快推进项目建设。</w:t>
      </w:r>
      <w:r>
        <w:rPr>
          <w:rFonts w:hint="eastAsia" w:ascii="宋体" w:hAnsi="宋体" w:eastAsia="仿宋_GB2312" w:cs="仿宋_GB2312"/>
          <w:b w:val="0"/>
          <w:bCs w:val="0"/>
          <w:color w:val="auto"/>
          <w:sz w:val="32"/>
          <w:szCs w:val="32"/>
          <w:lang w:val="en-US" w:eastAsia="zh-CN"/>
        </w:rPr>
        <w:t>中医院住院综合楼、李村卫生院项目均已完成主体工程，计划2025年投入使用。第二人民医院（二期）项目、区妇幼院山尹村分院项目正积极争取国债资金，跑办前期手续。</w:t>
      </w:r>
      <w:r>
        <w:rPr>
          <w:rFonts w:hint="eastAsia" w:ascii="楷体_GB2312" w:hAnsi="楷体_GB2312" w:eastAsia="楷体_GB2312" w:cs="楷体_GB2312"/>
          <w:b w:val="0"/>
          <w:bCs w:val="0"/>
          <w:color w:val="auto"/>
          <w:sz w:val="32"/>
          <w:szCs w:val="32"/>
          <w:lang w:val="en-US" w:eastAsia="zh-CN"/>
        </w:rPr>
        <w:t>四是完善“一老一小”健康服务保障。</w:t>
      </w:r>
      <w:r>
        <w:rPr>
          <w:rFonts w:hint="eastAsia" w:ascii="宋体" w:hAnsi="宋体" w:eastAsia="仿宋_GB2312" w:cs="仿宋_GB2312"/>
          <w:b w:val="0"/>
          <w:bCs w:val="0"/>
          <w:color w:val="auto"/>
          <w:sz w:val="32"/>
          <w:szCs w:val="32"/>
          <w:lang w:val="en-US" w:eastAsia="zh-CN"/>
        </w:rPr>
        <w:t>新增3家老年友善机构，公立医院老年友善机构创建率达100%。新增2家医养结合机构，全区医养结合机构达到6家，更好满足我区老年人养老就医需求；</w:t>
      </w:r>
      <w:r>
        <w:rPr>
          <w:rFonts w:hint="eastAsia" w:ascii="宋体" w:hAnsi="宋体" w:eastAsia="仿宋_GB2312" w:cs="仿宋_GB2312"/>
          <w:b w:val="0"/>
          <w:bCs w:val="0"/>
          <w:color w:val="auto"/>
          <w:sz w:val="32"/>
          <w:szCs w:val="32"/>
          <w:lang w:eastAsia="zh-CN"/>
        </w:rPr>
        <w:t>鼓励公</w:t>
      </w:r>
      <w:r>
        <w:rPr>
          <w:rFonts w:hint="eastAsia" w:ascii="宋体" w:hAnsi="宋体" w:eastAsia="仿宋_GB2312" w:cs="仿宋_GB2312"/>
          <w:b w:val="0"/>
          <w:bCs w:val="0"/>
          <w:color w:val="auto"/>
          <w:sz w:val="32"/>
          <w:szCs w:val="32"/>
          <w:lang w:val="en-US" w:eastAsia="zh-CN"/>
        </w:rPr>
        <w:t>立</w:t>
      </w:r>
      <w:r>
        <w:rPr>
          <w:rFonts w:hint="eastAsia" w:ascii="宋体" w:hAnsi="宋体" w:eastAsia="仿宋_GB2312" w:cs="仿宋_GB2312"/>
          <w:b w:val="0"/>
          <w:bCs w:val="0"/>
          <w:color w:val="auto"/>
          <w:sz w:val="32"/>
          <w:szCs w:val="32"/>
          <w:lang w:eastAsia="zh-CN"/>
        </w:rPr>
        <w:t>幼儿园开设托班</w:t>
      </w:r>
      <w:r>
        <w:rPr>
          <w:rFonts w:hint="eastAsia" w:ascii="宋体" w:hAnsi="宋体" w:eastAsia="仿宋_GB2312" w:cs="仿宋_GB2312"/>
          <w:b w:val="0"/>
          <w:bCs w:val="0"/>
          <w:color w:val="auto"/>
          <w:sz w:val="32"/>
          <w:szCs w:val="32"/>
          <w:lang w:val="en-US" w:eastAsia="zh-CN"/>
        </w:rPr>
        <w:t>，目前</w:t>
      </w:r>
      <w:r>
        <w:rPr>
          <w:rFonts w:hint="eastAsia" w:ascii="宋体" w:hAnsi="宋体" w:eastAsia="仿宋_GB2312" w:cs="仿宋_GB2312"/>
          <w:b w:val="0"/>
          <w:bCs w:val="0"/>
          <w:color w:val="auto"/>
          <w:sz w:val="32"/>
          <w:szCs w:val="32"/>
          <w:lang w:eastAsia="zh-CN"/>
        </w:rPr>
        <w:t>托班</w:t>
      </w:r>
      <w:r>
        <w:rPr>
          <w:rFonts w:hint="eastAsia" w:ascii="宋体" w:hAnsi="宋体" w:eastAsia="仿宋_GB2312" w:cs="仿宋_GB2312"/>
          <w:b w:val="0"/>
          <w:bCs w:val="0"/>
          <w:color w:val="auto"/>
          <w:sz w:val="32"/>
          <w:szCs w:val="32"/>
          <w:lang w:val="en-US" w:eastAsia="zh-CN"/>
        </w:rPr>
        <w:t>12家托位数765个，今年我区千人口托位数4.55个，提前达到市级标准要求，依托区妇幼院</w:t>
      </w:r>
      <w:r>
        <w:rPr>
          <w:rFonts w:hint="eastAsia" w:ascii="宋体" w:hAnsi="宋体" w:eastAsia="仿宋_GB2312" w:cs="仿宋_GB2312"/>
          <w:b w:val="0"/>
          <w:bCs w:val="0"/>
          <w:color w:val="auto"/>
          <w:sz w:val="32"/>
          <w:szCs w:val="32"/>
          <w:lang w:eastAsia="zh-CN"/>
        </w:rPr>
        <w:t>成立鹿泉区婴幼儿照护服务指导中心，多渠道</w:t>
      </w:r>
      <w:r>
        <w:rPr>
          <w:rFonts w:hint="eastAsia" w:ascii="宋体" w:hAnsi="宋体" w:eastAsia="仿宋_GB2312" w:cs="仿宋_GB2312"/>
          <w:b w:val="0"/>
          <w:bCs w:val="0"/>
          <w:color w:val="auto"/>
          <w:sz w:val="32"/>
          <w:szCs w:val="32"/>
          <w:lang w:val="en-US" w:eastAsia="zh-CN"/>
        </w:rPr>
        <w:t>普及科学育儿知识，助力生育支持政策体系建设。</w:t>
      </w:r>
    </w:p>
    <w:p>
      <w:pPr>
        <w:spacing w:line="560" w:lineRule="exact"/>
        <w:ind w:firstLine="640" w:firstLineChars="200"/>
        <w:rPr>
          <w:rFonts w:hint="eastAsia" w:ascii="楷体" w:hAnsi="楷体" w:eastAsia="楷体" w:cs="楷体"/>
          <w:b w:val="0"/>
          <w:bCs w:val="0"/>
          <w:color w:val="auto"/>
          <w:sz w:val="32"/>
          <w:szCs w:val="32"/>
          <w:lang w:val="en-US" w:eastAsia="zh-CN"/>
        </w:rPr>
      </w:pPr>
      <w:r>
        <w:rPr>
          <w:rFonts w:hint="eastAsia" w:ascii="楷体" w:hAnsi="楷体" w:eastAsia="楷体" w:cs="楷体"/>
          <w:b w:val="0"/>
          <w:bCs w:val="0"/>
          <w:color w:val="auto"/>
          <w:sz w:val="32"/>
          <w:szCs w:val="32"/>
          <w:lang w:val="en-US" w:eastAsia="zh-CN"/>
        </w:rPr>
        <w:t>（二）分项绩效目标实现情况及指标分析</w:t>
      </w:r>
    </w:p>
    <w:p>
      <w:pPr>
        <w:spacing w:line="560" w:lineRule="exact"/>
        <w:ind w:firstLine="640" w:firstLineChars="200"/>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（1）继续做好公共卫生服务工作，提升公共卫生服务能力。</w:t>
      </w:r>
    </w:p>
    <w:p>
      <w:pPr>
        <w:spacing w:line="560" w:lineRule="exact"/>
        <w:ind w:firstLine="640" w:firstLineChars="200"/>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lang w:val="en-US" w:eastAsia="zh-CN"/>
        </w:rPr>
        <w:t>绩效目标：为城</w:t>
      </w:r>
      <w:r>
        <w:rPr>
          <w:rFonts w:hint="eastAsia" w:ascii="宋体" w:hAnsi="宋体" w:eastAsia="仿宋_GB2312" w:cs="仿宋_GB2312"/>
          <w:color w:val="auto"/>
          <w:sz w:val="32"/>
          <w:szCs w:val="32"/>
        </w:rPr>
        <w:t>乡居民提供基本公共卫生服务；控制各类突发公共卫生事件和重大疾病的发生与传播；保障妇女儿童身心健康。</w:t>
      </w:r>
    </w:p>
    <w:p>
      <w:pPr>
        <w:spacing w:line="560" w:lineRule="exact"/>
        <w:ind w:firstLine="640" w:firstLineChars="200"/>
        <w:rPr>
          <w:rFonts w:hint="eastAsia" w:ascii="仿宋_GB2312" w:hAnsi="仿宋_GB2312" w:eastAsia="仿宋_GB2312" w:cs="仿宋_GB2312"/>
          <w:color w:val="auto"/>
          <w:sz w:val="32"/>
          <w:szCs w:val="32"/>
          <w:lang w:val="en-US"/>
        </w:rPr>
      </w:pPr>
      <w:r>
        <w:rPr>
          <w:rFonts w:hint="eastAsia" w:ascii="宋体" w:hAnsi="宋体" w:eastAsia="仿宋_GB2312" w:cs="仿宋_GB2312"/>
          <w:color w:val="auto"/>
          <w:sz w:val="32"/>
          <w:szCs w:val="32"/>
          <w:lang w:val="en-US" w:eastAsia="zh-CN"/>
        </w:rPr>
        <w:t>绩效指标：</w:t>
      </w:r>
      <w:r>
        <w:rPr>
          <w:rFonts w:hint="eastAsia" w:ascii="仿宋_GB2312" w:hAnsi="仿宋_GB2312" w:eastAsia="仿宋_GB2312" w:cs="仿宋_GB2312"/>
          <w:color w:val="auto"/>
          <w:kern w:val="2"/>
          <w:sz w:val="32"/>
          <w:szCs w:val="32"/>
          <w:highlight w:val="none"/>
          <w:lang w:val="en-US" w:eastAsia="zh-CN" w:bidi="ar"/>
        </w:rPr>
        <w:t>居民规范化电子健康档案覆盖率达到64%以上，高血压患者基层规范管理服务率达到64%以上，2型糖尿病患者基层规范管理服务率达到64%以上，65岁及以上老年人城乡社区规范健康服务率达到64%以上，</w:t>
      </w:r>
      <w:bookmarkStart w:id="2" w:name="OLE_LINK4"/>
      <w:r>
        <w:rPr>
          <w:rFonts w:hint="eastAsia" w:ascii="仿宋_GB2312" w:hAnsi="仿宋_GB2312" w:eastAsia="仿宋_GB2312" w:cs="仿宋_GB2312"/>
          <w:color w:val="auto"/>
          <w:kern w:val="2"/>
          <w:sz w:val="32"/>
          <w:szCs w:val="32"/>
          <w:lang w:val="en-US" w:eastAsia="zh-CN" w:bidi="ar"/>
        </w:rPr>
        <w:t>传染病和突发公共卫生事件报告率达到95%以上，适龄儿童国家免疫规划疫苗接种率达到90%以上</w:t>
      </w:r>
      <w:r>
        <w:rPr>
          <w:rFonts w:hint="eastAsia" w:ascii="仿宋_GB2312" w:hAnsi="仿宋_GB2312" w:eastAsia="仿宋_GB2312" w:cs="仿宋_GB2312"/>
          <w:color w:val="auto"/>
          <w:kern w:val="2"/>
          <w:sz w:val="32"/>
          <w:szCs w:val="32"/>
          <w:highlight w:val="none"/>
          <w:lang w:val="en-US" w:eastAsia="zh-CN" w:bidi="ar"/>
        </w:rPr>
        <w:t>，</w:t>
      </w:r>
      <w:bookmarkEnd w:id="2"/>
      <w:r>
        <w:rPr>
          <w:rFonts w:hint="eastAsia" w:ascii="仿宋_GB2312" w:hAnsi="仿宋_GB2312" w:eastAsia="仿宋_GB2312" w:cs="仿宋_GB2312"/>
          <w:color w:val="auto"/>
          <w:kern w:val="2"/>
          <w:sz w:val="32"/>
          <w:szCs w:val="32"/>
          <w:highlight w:val="none"/>
          <w:lang w:val="en-US" w:eastAsia="zh-CN" w:bidi="ar"/>
        </w:rPr>
        <w:t>7岁以下儿童健康管理率达到90%以上</w:t>
      </w:r>
      <w:r>
        <w:rPr>
          <w:rFonts w:hint="eastAsia" w:ascii="仿宋_GB2312" w:hAnsi="仿宋_GB2312" w:eastAsia="仿宋_GB2312" w:cs="仿宋_GB2312"/>
          <w:color w:val="auto"/>
          <w:kern w:val="2"/>
          <w:sz w:val="32"/>
          <w:szCs w:val="32"/>
          <w:lang w:val="en-US" w:eastAsia="zh-CN" w:bidi="ar"/>
        </w:rPr>
        <w:t>，0-6岁儿童眼保健和视力检查覆盖率达到90%以上，孕产妇系统管理率达到90%以上，</w:t>
      </w:r>
      <w:r>
        <w:rPr>
          <w:rFonts w:hint="eastAsia" w:ascii="仿宋_GB2312" w:hAnsi="仿宋_GB2312" w:eastAsia="仿宋_GB2312" w:cs="仿宋_GB2312"/>
          <w:color w:val="auto"/>
          <w:kern w:val="2"/>
          <w:sz w:val="32"/>
          <w:szCs w:val="32"/>
          <w:highlight w:val="none"/>
          <w:lang w:val="en-US" w:eastAsia="zh-CN" w:bidi="ar"/>
        </w:rPr>
        <w:t>3岁以下儿童系统管理率达到85%以上，高血压患者管理人数达到47770人，2型糖尿病患者管理人数达到21224人，慢阻肺病患者管理人数达到475以上，</w:t>
      </w:r>
      <w:bookmarkStart w:id="3" w:name="OLE_LINK5"/>
      <w:r>
        <w:rPr>
          <w:rFonts w:hint="eastAsia" w:ascii="仿宋_GB2312" w:hAnsi="仿宋_GB2312" w:eastAsia="仿宋_GB2312" w:cs="仿宋_GB2312"/>
          <w:color w:val="auto"/>
          <w:kern w:val="2"/>
          <w:sz w:val="32"/>
          <w:szCs w:val="32"/>
          <w:lang w:val="en-US" w:eastAsia="zh-CN" w:bidi="ar"/>
        </w:rPr>
        <w:t>肺结核患者管理率达到90%以上</w:t>
      </w:r>
      <w:bookmarkEnd w:id="3"/>
      <w:r>
        <w:rPr>
          <w:rFonts w:hint="eastAsia" w:ascii="仿宋_GB2312" w:hAnsi="仿宋_GB2312" w:eastAsia="仿宋_GB2312" w:cs="仿宋_GB2312"/>
          <w:color w:val="auto"/>
          <w:kern w:val="2"/>
          <w:sz w:val="32"/>
          <w:szCs w:val="32"/>
          <w:lang w:val="en-US" w:eastAsia="zh-CN" w:bidi="ar"/>
        </w:rPr>
        <w:t>；社区在册居家严重精神障碍患者规范管理率达到99.71%、面访99.63%、规律服药率99.42%；</w:t>
      </w:r>
      <w:r>
        <w:rPr>
          <w:rFonts w:hint="eastAsia" w:ascii="仿宋_GB2312" w:hAnsi="仿宋_GB2312" w:eastAsia="仿宋_GB2312" w:cs="仿宋_GB2312"/>
          <w:color w:val="auto"/>
          <w:kern w:val="2"/>
          <w:sz w:val="32"/>
          <w:szCs w:val="32"/>
          <w:highlight w:val="none"/>
          <w:lang w:val="en-US" w:eastAsia="zh-CN" w:bidi="ar"/>
        </w:rPr>
        <w:t>老年人中医药健康管理率达到74%以上，儿童中医药健康管理率达到84%以上，</w:t>
      </w:r>
      <w:bookmarkStart w:id="4" w:name="OLE_LINK6"/>
      <w:r>
        <w:rPr>
          <w:rFonts w:hint="eastAsia" w:ascii="仿宋_GB2312" w:hAnsi="仿宋_GB2312" w:eastAsia="仿宋_GB2312" w:cs="仿宋_GB2312"/>
          <w:color w:val="auto"/>
          <w:kern w:val="2"/>
          <w:sz w:val="32"/>
          <w:szCs w:val="32"/>
          <w:lang w:val="en-US" w:eastAsia="zh-CN" w:bidi="ar"/>
        </w:rPr>
        <w:t>卫生监督协管各专业（不包含职业卫生）每年巡查(访)4次完成率达到90%以上；开展重点传染病及健康危害因素监测，提高人民群众健康水平；</w:t>
      </w:r>
      <w:bookmarkEnd w:id="4"/>
      <w:r>
        <w:rPr>
          <w:rFonts w:hint="eastAsia" w:ascii="仿宋_GB2312" w:hAnsi="仿宋_GB2312" w:eastAsia="仿宋_GB2312" w:cs="仿宋_GB2312"/>
          <w:color w:val="auto"/>
          <w:kern w:val="2"/>
          <w:sz w:val="32"/>
          <w:szCs w:val="32"/>
          <w:lang w:val="en-US" w:eastAsia="zh-CN" w:bidi="ar"/>
        </w:rPr>
        <w:t>进一步巩固提升我区地方病综合防治成果，持续保持重点地方病消除和控制状态；推进妇幼卫生工作，新生儿出生缺陷率逐年下降；落实慢病及相关危险因素监测。</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（2）提高医疗机构的疾病救治能力，强化各级医疗机构综合改革。</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绩效目标：为全区人民健康安全提供保障，推进乡镇卫生院与村卫生室一体化管理进程，提升基层医疗服务能力。</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绩效指标：3家公立医院、14所乡镇卫生院、208个村卫生室实施药品零差率销售；区120急救中心为全区人民提供急救保障；将村卫生室电费、取暖费、医疗废物集中处理费、网络费、医疗责任险等纳入财政保障。</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（3）有效保障计划生育家庭生活水平。</w:t>
      </w:r>
    </w:p>
    <w:p>
      <w:pPr>
        <w:keepNext w:val="0"/>
        <w:keepLines w:val="0"/>
        <w:widowControl w:val="0"/>
        <w:suppressLineNumbers w:val="0"/>
        <w:spacing w:before="0" w:beforeAutospacing="0" w:after="0" w:afterAutospacing="0"/>
        <w:ind w:left="0" w:right="0" w:firstLine="640" w:firstLineChars="200"/>
        <w:jc w:val="both"/>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绩效目标：全面落实我区奖扶、特扶、关怀扶助政策；落实计生服务村级工作；促进避孕节育措施有效落实。</w:t>
      </w:r>
    </w:p>
    <w:p>
      <w:pPr>
        <w:keepNext w:val="0"/>
        <w:keepLines w:val="0"/>
        <w:widowControl w:val="0"/>
        <w:suppressLineNumbers w:val="0"/>
        <w:spacing w:before="0" w:beforeAutospacing="0" w:after="0" w:afterAutospacing="0"/>
        <w:ind w:left="0" w:right="0"/>
        <w:jc w:val="both"/>
        <w:rPr>
          <w:rFonts w:ascii="宋体" w:hAnsi="宋体" w:eastAsia="仿宋_GB2312" w:cs="仿宋_GB2312"/>
          <w:color w:val="auto"/>
          <w:sz w:val="32"/>
          <w:szCs w:val="32"/>
        </w:rPr>
      </w:pPr>
      <w:r>
        <w:rPr>
          <w:rFonts w:hint="eastAsia" w:ascii="宋体" w:hAnsi="宋体" w:eastAsia="仿宋_GB2312" w:cs="仿宋_GB2312"/>
          <w:color w:val="auto"/>
          <w:sz w:val="32"/>
          <w:szCs w:val="32"/>
        </w:rPr>
        <w:t>绩效指标：</w:t>
      </w:r>
      <w:r>
        <w:rPr>
          <w:rFonts w:hint="eastAsia" w:ascii="宋体" w:hAnsi="宋体" w:eastAsia="仿宋_GB2312" w:cs="仿宋_GB2312"/>
          <w:color w:val="auto"/>
          <w:sz w:val="32"/>
          <w:szCs w:val="32"/>
          <w:lang w:val="en-US" w:eastAsia="zh-CN"/>
        </w:rPr>
        <w:t>奖扶资金每月补助标准</w:t>
      </w:r>
      <w:r>
        <w:rPr>
          <w:rFonts w:hint="default" w:ascii="宋体" w:hAnsi="宋体" w:eastAsia="仿宋_GB2312" w:cs="仿宋_GB2312"/>
          <w:color w:val="auto"/>
          <w:sz w:val="32"/>
          <w:szCs w:val="32"/>
          <w:lang w:val="en-US" w:eastAsia="zh-CN"/>
        </w:rPr>
        <w:t>80</w:t>
      </w:r>
      <w:r>
        <w:rPr>
          <w:rFonts w:hint="eastAsia" w:ascii="宋体" w:hAnsi="宋体" w:eastAsia="仿宋_GB2312" w:cs="仿宋_GB2312"/>
          <w:color w:val="auto"/>
          <w:sz w:val="32"/>
          <w:szCs w:val="32"/>
          <w:lang w:val="en-US" w:eastAsia="zh-CN"/>
        </w:rPr>
        <w:t>元，享受奖扶资金的人数</w:t>
      </w:r>
      <w:r>
        <w:rPr>
          <w:rFonts w:hint="default" w:ascii="宋体" w:hAnsi="宋体" w:eastAsia="仿宋_GB2312" w:cs="仿宋_GB2312"/>
          <w:color w:val="auto"/>
          <w:sz w:val="32"/>
          <w:szCs w:val="32"/>
          <w:lang w:val="en-US" w:eastAsia="zh-CN"/>
        </w:rPr>
        <w:t>2024</w:t>
      </w:r>
      <w:r>
        <w:rPr>
          <w:rFonts w:hint="eastAsia" w:ascii="宋体" w:hAnsi="宋体" w:eastAsia="仿宋_GB2312" w:cs="仿宋_GB2312"/>
          <w:color w:val="auto"/>
          <w:sz w:val="32"/>
          <w:szCs w:val="32"/>
          <w:lang w:val="en-US" w:eastAsia="zh-CN"/>
        </w:rPr>
        <w:t>年上半年</w:t>
      </w:r>
      <w:r>
        <w:rPr>
          <w:rFonts w:hint="default" w:ascii="宋体" w:hAnsi="宋体" w:eastAsia="仿宋_GB2312" w:cs="仿宋_GB2312"/>
          <w:color w:val="auto"/>
          <w:sz w:val="32"/>
          <w:szCs w:val="32"/>
          <w:lang w:val="en-US" w:eastAsia="zh-CN"/>
        </w:rPr>
        <w:t>6463</w:t>
      </w:r>
      <w:r>
        <w:rPr>
          <w:rFonts w:hint="eastAsia" w:ascii="宋体" w:hAnsi="宋体" w:eastAsia="仿宋_GB2312" w:cs="仿宋_GB2312"/>
          <w:color w:val="auto"/>
          <w:sz w:val="32"/>
          <w:szCs w:val="32"/>
          <w:lang w:val="en-US" w:eastAsia="zh-CN"/>
        </w:rPr>
        <w:t>人，下半年</w:t>
      </w:r>
      <w:r>
        <w:rPr>
          <w:rFonts w:hint="default" w:ascii="宋体" w:hAnsi="宋体" w:eastAsia="仿宋_GB2312" w:cs="仿宋_GB2312"/>
          <w:color w:val="auto"/>
          <w:sz w:val="32"/>
          <w:szCs w:val="32"/>
          <w:lang w:val="en-US" w:eastAsia="zh-CN"/>
        </w:rPr>
        <w:t>6412</w:t>
      </w:r>
      <w:r>
        <w:rPr>
          <w:rFonts w:hint="eastAsia" w:ascii="宋体" w:hAnsi="宋体" w:eastAsia="仿宋_GB2312" w:cs="仿宋_GB2312"/>
          <w:color w:val="auto"/>
          <w:sz w:val="32"/>
          <w:szCs w:val="32"/>
          <w:lang w:val="en-US" w:eastAsia="zh-CN"/>
        </w:rPr>
        <w:t>人；特扶资金发放标准达到</w:t>
      </w:r>
      <w:r>
        <w:rPr>
          <w:rFonts w:hint="default"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lang w:val="en-US" w:eastAsia="zh-CN"/>
        </w:rPr>
        <w:t>①</w:t>
      </w:r>
      <w:r>
        <w:rPr>
          <w:rFonts w:hint="default" w:ascii="宋体" w:hAnsi="宋体" w:eastAsia="仿宋_GB2312" w:cs="仿宋_GB2312"/>
          <w:color w:val="auto"/>
          <w:sz w:val="32"/>
          <w:szCs w:val="32"/>
          <w:lang w:val="en-US" w:eastAsia="zh-CN"/>
        </w:rPr>
        <w:t xml:space="preserve"> </w:t>
      </w:r>
      <w:r>
        <w:rPr>
          <w:rFonts w:hint="eastAsia" w:ascii="宋体" w:hAnsi="宋体" w:eastAsia="仿宋_GB2312" w:cs="仿宋_GB2312"/>
          <w:color w:val="auto"/>
          <w:sz w:val="32"/>
          <w:szCs w:val="32"/>
          <w:lang w:val="en-US" w:eastAsia="zh-CN"/>
        </w:rPr>
        <w:t>独生子女死亡</w:t>
      </w:r>
      <w:r>
        <w:rPr>
          <w:rFonts w:hint="default" w:ascii="宋体" w:hAnsi="宋体" w:eastAsia="仿宋_GB2312" w:cs="仿宋_GB2312"/>
          <w:color w:val="auto"/>
          <w:sz w:val="32"/>
          <w:szCs w:val="32"/>
          <w:lang w:val="en-US" w:eastAsia="zh-CN"/>
        </w:rPr>
        <w:t>590</w:t>
      </w:r>
      <w:r>
        <w:rPr>
          <w:rFonts w:hint="eastAsia" w:ascii="宋体" w:hAnsi="宋体" w:eastAsia="仿宋_GB2312" w:cs="仿宋_GB2312"/>
          <w:color w:val="auto"/>
          <w:sz w:val="32"/>
          <w:szCs w:val="32"/>
          <w:lang w:val="en-US" w:eastAsia="zh-CN"/>
        </w:rPr>
        <w:t>元</w:t>
      </w:r>
      <w:r>
        <w:rPr>
          <w:rFonts w:hint="default" w:ascii="宋体" w:hAnsi="宋体"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月、②独生子女残疾</w:t>
      </w:r>
      <w:r>
        <w:rPr>
          <w:rFonts w:hint="default" w:ascii="宋体" w:hAnsi="宋体" w:eastAsia="仿宋_GB2312" w:cs="仿宋_GB2312"/>
          <w:color w:val="auto"/>
          <w:sz w:val="32"/>
          <w:szCs w:val="32"/>
          <w:lang w:val="en-US" w:eastAsia="zh-CN"/>
        </w:rPr>
        <w:t>460</w:t>
      </w:r>
      <w:r>
        <w:rPr>
          <w:rFonts w:hint="eastAsia" w:ascii="宋体" w:hAnsi="宋体" w:eastAsia="仿宋_GB2312" w:cs="仿宋_GB2312"/>
          <w:color w:val="auto"/>
          <w:sz w:val="32"/>
          <w:szCs w:val="32"/>
          <w:lang w:val="en-US" w:eastAsia="zh-CN"/>
        </w:rPr>
        <w:t>元</w:t>
      </w:r>
      <w:r>
        <w:rPr>
          <w:rFonts w:hint="default" w:ascii="宋体" w:hAnsi="宋体"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月；③一级计生手术并发症</w:t>
      </w:r>
      <w:r>
        <w:rPr>
          <w:rFonts w:hint="default" w:ascii="宋体" w:hAnsi="宋体" w:eastAsia="仿宋_GB2312" w:cs="仿宋_GB2312"/>
          <w:color w:val="auto"/>
          <w:sz w:val="32"/>
          <w:szCs w:val="32"/>
          <w:lang w:val="en-US" w:eastAsia="zh-CN"/>
        </w:rPr>
        <w:t>520</w:t>
      </w:r>
      <w:r>
        <w:rPr>
          <w:rFonts w:hint="eastAsia" w:ascii="宋体" w:hAnsi="宋体" w:eastAsia="仿宋_GB2312" w:cs="仿宋_GB2312"/>
          <w:color w:val="auto"/>
          <w:sz w:val="32"/>
          <w:szCs w:val="32"/>
          <w:lang w:val="en-US" w:eastAsia="zh-CN"/>
        </w:rPr>
        <w:t>元</w:t>
      </w:r>
      <w:r>
        <w:rPr>
          <w:rFonts w:hint="default" w:ascii="宋体" w:hAnsi="宋体"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月，④二级计生手术并发症</w:t>
      </w:r>
      <w:r>
        <w:rPr>
          <w:rFonts w:hint="default" w:ascii="宋体" w:hAnsi="宋体" w:eastAsia="仿宋_GB2312" w:cs="仿宋_GB2312"/>
          <w:color w:val="auto"/>
          <w:sz w:val="32"/>
          <w:szCs w:val="32"/>
          <w:lang w:val="en-US" w:eastAsia="zh-CN"/>
        </w:rPr>
        <w:t>390</w:t>
      </w:r>
      <w:r>
        <w:rPr>
          <w:rFonts w:hint="eastAsia" w:ascii="宋体" w:hAnsi="宋体" w:eastAsia="仿宋_GB2312" w:cs="仿宋_GB2312"/>
          <w:color w:val="auto"/>
          <w:sz w:val="32"/>
          <w:szCs w:val="32"/>
          <w:lang w:val="en-US" w:eastAsia="zh-CN"/>
        </w:rPr>
        <w:t>元</w:t>
      </w:r>
      <w:r>
        <w:rPr>
          <w:rFonts w:hint="default" w:ascii="宋体" w:hAnsi="宋体"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月，⑤三级计生手术并发症</w:t>
      </w:r>
      <w:r>
        <w:rPr>
          <w:rFonts w:hint="default" w:ascii="宋体" w:hAnsi="宋体" w:eastAsia="仿宋_GB2312" w:cs="仿宋_GB2312"/>
          <w:color w:val="auto"/>
          <w:sz w:val="32"/>
          <w:szCs w:val="32"/>
          <w:lang w:val="en-US" w:eastAsia="zh-CN"/>
        </w:rPr>
        <w:t>260</w:t>
      </w:r>
      <w:r>
        <w:rPr>
          <w:rFonts w:hint="eastAsia" w:ascii="宋体" w:hAnsi="宋体" w:eastAsia="仿宋_GB2312" w:cs="仿宋_GB2312"/>
          <w:color w:val="auto"/>
          <w:sz w:val="32"/>
          <w:szCs w:val="32"/>
          <w:lang w:val="en-US" w:eastAsia="zh-CN"/>
        </w:rPr>
        <w:t>元</w:t>
      </w:r>
      <w:r>
        <w:rPr>
          <w:rFonts w:hint="default" w:ascii="宋体" w:hAnsi="宋体" w:eastAsia="仿宋_GB2312" w:cs="仿宋_GB2312"/>
          <w:color w:val="auto"/>
          <w:sz w:val="32"/>
          <w:szCs w:val="32"/>
          <w:lang w:val="en-US" w:eastAsia="zh-CN"/>
        </w:rPr>
        <w:t>/</w:t>
      </w:r>
      <w:r>
        <w:rPr>
          <w:rFonts w:hint="eastAsia" w:ascii="宋体" w:hAnsi="宋体" w:eastAsia="仿宋_GB2312" w:cs="仿宋_GB2312"/>
          <w:color w:val="auto"/>
          <w:sz w:val="32"/>
          <w:szCs w:val="32"/>
          <w:lang w:val="en-US" w:eastAsia="zh-CN"/>
        </w:rPr>
        <w:t>月，享受特扶资金的人数</w:t>
      </w:r>
      <w:r>
        <w:rPr>
          <w:rFonts w:hint="default" w:ascii="宋体" w:hAnsi="宋体" w:eastAsia="仿宋_GB2312" w:cs="仿宋_GB2312"/>
          <w:color w:val="auto"/>
          <w:sz w:val="32"/>
          <w:szCs w:val="32"/>
          <w:lang w:val="en-US" w:eastAsia="zh-CN"/>
        </w:rPr>
        <w:t>2024</w:t>
      </w:r>
      <w:r>
        <w:rPr>
          <w:rFonts w:hint="eastAsia" w:ascii="宋体" w:hAnsi="宋体" w:eastAsia="仿宋_GB2312" w:cs="仿宋_GB2312"/>
          <w:color w:val="auto"/>
          <w:sz w:val="32"/>
          <w:szCs w:val="32"/>
          <w:lang w:val="en-US" w:eastAsia="zh-CN"/>
        </w:rPr>
        <w:t>年上半年</w:t>
      </w:r>
      <w:r>
        <w:rPr>
          <w:rFonts w:hint="default" w:ascii="宋体" w:hAnsi="宋体" w:eastAsia="仿宋_GB2312" w:cs="仿宋_GB2312"/>
          <w:color w:val="auto"/>
          <w:sz w:val="32"/>
          <w:szCs w:val="32"/>
          <w:lang w:val="en-US" w:eastAsia="zh-CN"/>
        </w:rPr>
        <w:t>149</w:t>
      </w:r>
      <w:r>
        <w:rPr>
          <w:rFonts w:hint="eastAsia" w:ascii="宋体" w:hAnsi="宋体" w:eastAsia="仿宋_GB2312" w:cs="仿宋_GB2312"/>
          <w:color w:val="auto"/>
          <w:sz w:val="32"/>
          <w:szCs w:val="32"/>
          <w:lang w:val="en-US" w:eastAsia="zh-CN"/>
        </w:rPr>
        <w:t>人，下半年</w:t>
      </w:r>
      <w:r>
        <w:rPr>
          <w:rFonts w:hint="default" w:ascii="宋体" w:hAnsi="宋体" w:eastAsia="仿宋_GB2312" w:cs="仿宋_GB2312"/>
          <w:color w:val="auto"/>
          <w:sz w:val="32"/>
          <w:szCs w:val="32"/>
          <w:lang w:val="en-US" w:eastAsia="zh-CN"/>
        </w:rPr>
        <w:t>148</w:t>
      </w:r>
      <w:r>
        <w:rPr>
          <w:rFonts w:hint="eastAsia" w:ascii="宋体" w:hAnsi="宋体" w:eastAsia="仿宋_GB2312" w:cs="仿宋_GB2312"/>
          <w:color w:val="auto"/>
          <w:sz w:val="32"/>
          <w:szCs w:val="32"/>
          <w:lang w:val="en-US" w:eastAsia="zh-CN"/>
        </w:rPr>
        <w:t>人；奖扶特扶资金</w:t>
      </w:r>
      <w:r>
        <w:rPr>
          <w:rFonts w:hint="default" w:ascii="宋体" w:hAnsi="宋体" w:eastAsia="仿宋_GB2312" w:cs="仿宋_GB2312"/>
          <w:color w:val="auto"/>
          <w:sz w:val="32"/>
          <w:szCs w:val="32"/>
          <w:lang w:val="en-US" w:eastAsia="zh-CN"/>
        </w:rPr>
        <w:t>10</w:t>
      </w:r>
      <w:r>
        <w:rPr>
          <w:rFonts w:hint="eastAsia" w:ascii="宋体" w:hAnsi="宋体" w:eastAsia="仿宋_GB2312" w:cs="仿宋_GB2312"/>
          <w:color w:val="auto"/>
          <w:sz w:val="32"/>
          <w:szCs w:val="32"/>
          <w:lang w:val="en-US" w:eastAsia="zh-CN"/>
        </w:rPr>
        <w:t>月</w:t>
      </w:r>
      <w:r>
        <w:rPr>
          <w:rFonts w:hint="default" w:ascii="宋体" w:hAnsi="宋体" w:eastAsia="仿宋_GB2312" w:cs="仿宋_GB2312"/>
          <w:color w:val="auto"/>
          <w:sz w:val="32"/>
          <w:szCs w:val="32"/>
          <w:lang w:val="en-US" w:eastAsia="zh-CN"/>
        </w:rPr>
        <w:t>15</w:t>
      </w:r>
      <w:r>
        <w:rPr>
          <w:rFonts w:hint="eastAsia" w:ascii="宋体" w:hAnsi="宋体" w:eastAsia="仿宋_GB2312" w:cs="仿宋_GB2312"/>
          <w:color w:val="auto"/>
          <w:sz w:val="32"/>
          <w:szCs w:val="32"/>
          <w:lang w:val="en-US" w:eastAsia="zh-CN"/>
        </w:rPr>
        <w:t>日前发放到位；关怀扶助发放标准达到①计生特殊家庭独生子女死亡，给予其父母每人每月</w:t>
      </w:r>
      <w:r>
        <w:rPr>
          <w:rFonts w:hint="default" w:ascii="宋体" w:hAnsi="宋体" w:eastAsia="仿宋_GB2312" w:cs="仿宋_GB2312"/>
          <w:color w:val="auto"/>
          <w:sz w:val="32"/>
          <w:szCs w:val="32"/>
          <w:lang w:val="en-US" w:eastAsia="zh-CN"/>
        </w:rPr>
        <w:t>400</w:t>
      </w:r>
      <w:r>
        <w:rPr>
          <w:rFonts w:hint="eastAsia" w:ascii="宋体" w:hAnsi="宋体" w:eastAsia="仿宋_GB2312" w:cs="仿宋_GB2312"/>
          <w:color w:val="auto"/>
          <w:sz w:val="32"/>
          <w:szCs w:val="32"/>
          <w:lang w:val="en-US" w:eastAsia="zh-CN"/>
        </w:rPr>
        <w:t>月的生活补贴和</w:t>
      </w:r>
      <w:r>
        <w:rPr>
          <w:rFonts w:hint="default" w:ascii="宋体" w:hAnsi="宋体" w:eastAsia="仿宋_GB2312" w:cs="仿宋_GB2312"/>
          <w:color w:val="auto"/>
          <w:sz w:val="32"/>
          <w:szCs w:val="32"/>
          <w:lang w:val="en-US" w:eastAsia="zh-CN"/>
        </w:rPr>
        <w:t>200</w:t>
      </w:r>
      <w:r>
        <w:rPr>
          <w:rFonts w:hint="eastAsia" w:ascii="宋体" w:hAnsi="宋体" w:eastAsia="仿宋_GB2312" w:cs="仿宋_GB2312"/>
          <w:color w:val="auto"/>
          <w:sz w:val="32"/>
          <w:szCs w:val="32"/>
          <w:lang w:val="en-US" w:eastAsia="zh-CN"/>
        </w:rPr>
        <w:t>元的养老补贴，②计生特殊家庭独生子女三级以上伤残，其中：独生子女三级伤残的，给予其父母每人每月</w:t>
      </w:r>
      <w:r>
        <w:rPr>
          <w:rFonts w:hint="default" w:ascii="宋体" w:hAnsi="宋体" w:eastAsia="仿宋_GB2312" w:cs="仿宋_GB2312"/>
          <w:color w:val="auto"/>
          <w:sz w:val="32"/>
          <w:szCs w:val="32"/>
          <w:lang w:val="en-US" w:eastAsia="zh-CN"/>
        </w:rPr>
        <w:t>200</w:t>
      </w:r>
      <w:r>
        <w:rPr>
          <w:rFonts w:hint="eastAsia" w:ascii="宋体" w:hAnsi="宋体" w:eastAsia="仿宋_GB2312" w:cs="仿宋_GB2312"/>
          <w:color w:val="auto"/>
          <w:sz w:val="32"/>
          <w:szCs w:val="32"/>
          <w:lang w:val="en-US" w:eastAsia="zh-CN"/>
        </w:rPr>
        <w:t>月的生活补贴和</w:t>
      </w:r>
      <w:r>
        <w:rPr>
          <w:rFonts w:hint="default" w:ascii="宋体" w:hAnsi="宋体" w:eastAsia="仿宋_GB2312" w:cs="仿宋_GB2312"/>
          <w:color w:val="auto"/>
          <w:sz w:val="32"/>
          <w:szCs w:val="32"/>
          <w:lang w:val="en-US" w:eastAsia="zh-CN"/>
        </w:rPr>
        <w:t>200</w:t>
      </w:r>
      <w:r>
        <w:rPr>
          <w:rFonts w:hint="eastAsia" w:ascii="宋体" w:hAnsi="宋体" w:eastAsia="仿宋_GB2312" w:cs="仿宋_GB2312"/>
          <w:color w:val="auto"/>
          <w:sz w:val="32"/>
          <w:szCs w:val="32"/>
          <w:lang w:val="en-US" w:eastAsia="zh-CN"/>
        </w:rPr>
        <w:t>元的养老补贴；独生子女二级伤残的，给予其父母每人每月</w:t>
      </w:r>
      <w:r>
        <w:rPr>
          <w:rFonts w:hint="default" w:ascii="宋体" w:hAnsi="宋体" w:eastAsia="仿宋_GB2312" w:cs="仿宋_GB2312"/>
          <w:color w:val="auto"/>
          <w:sz w:val="32"/>
          <w:szCs w:val="32"/>
          <w:lang w:val="en-US" w:eastAsia="zh-CN"/>
        </w:rPr>
        <w:t>300</w:t>
      </w:r>
      <w:r>
        <w:rPr>
          <w:rFonts w:hint="eastAsia" w:ascii="宋体" w:hAnsi="宋体" w:eastAsia="仿宋_GB2312" w:cs="仿宋_GB2312"/>
          <w:color w:val="auto"/>
          <w:sz w:val="32"/>
          <w:szCs w:val="32"/>
          <w:lang w:val="en-US" w:eastAsia="zh-CN"/>
        </w:rPr>
        <w:t>月的生活补贴和</w:t>
      </w:r>
      <w:r>
        <w:rPr>
          <w:rFonts w:hint="default" w:ascii="宋体" w:hAnsi="宋体" w:eastAsia="仿宋_GB2312" w:cs="仿宋_GB2312"/>
          <w:color w:val="auto"/>
          <w:sz w:val="32"/>
          <w:szCs w:val="32"/>
          <w:lang w:val="en-US" w:eastAsia="zh-CN"/>
        </w:rPr>
        <w:t>200</w:t>
      </w:r>
      <w:r>
        <w:rPr>
          <w:rFonts w:hint="eastAsia" w:ascii="宋体" w:hAnsi="宋体" w:eastAsia="仿宋_GB2312" w:cs="仿宋_GB2312"/>
          <w:color w:val="auto"/>
          <w:sz w:val="32"/>
          <w:szCs w:val="32"/>
          <w:lang w:val="en-US" w:eastAsia="zh-CN"/>
        </w:rPr>
        <w:t>元的养老补贴，③独生子女患有重大疾病（癌症），分别给予其父母</w:t>
      </w:r>
      <w:r>
        <w:rPr>
          <w:rFonts w:hint="default" w:ascii="宋体" w:hAnsi="宋体" w:eastAsia="仿宋_GB2312" w:cs="仿宋_GB2312"/>
          <w:color w:val="auto"/>
          <w:sz w:val="32"/>
          <w:szCs w:val="32"/>
          <w:lang w:val="en-US" w:eastAsia="zh-CN"/>
        </w:rPr>
        <w:t>10000</w:t>
      </w:r>
      <w:r>
        <w:rPr>
          <w:rFonts w:hint="eastAsia" w:ascii="宋体" w:hAnsi="宋体" w:eastAsia="仿宋_GB2312" w:cs="仿宋_GB2312"/>
          <w:color w:val="auto"/>
          <w:sz w:val="32"/>
          <w:szCs w:val="32"/>
          <w:lang w:val="en-US" w:eastAsia="zh-CN"/>
        </w:rPr>
        <w:t>元一次性救助金；独生子女死亡的，分别给予</w:t>
      </w:r>
      <w:r>
        <w:rPr>
          <w:rFonts w:hint="default" w:ascii="宋体" w:hAnsi="宋体" w:eastAsia="仿宋_GB2312" w:cs="仿宋_GB2312"/>
          <w:color w:val="auto"/>
          <w:sz w:val="32"/>
          <w:szCs w:val="32"/>
          <w:lang w:val="en-US" w:eastAsia="zh-CN"/>
        </w:rPr>
        <w:t>10000</w:t>
      </w:r>
      <w:r>
        <w:rPr>
          <w:rFonts w:hint="eastAsia" w:ascii="宋体" w:hAnsi="宋体" w:eastAsia="仿宋_GB2312" w:cs="仿宋_GB2312"/>
          <w:color w:val="auto"/>
          <w:sz w:val="32"/>
          <w:szCs w:val="32"/>
          <w:lang w:val="en-US" w:eastAsia="zh-CN"/>
        </w:rPr>
        <w:t>元的一次性救助金；独生子女伤残的，分别给予其父母</w:t>
      </w:r>
      <w:r>
        <w:rPr>
          <w:rFonts w:hint="default" w:ascii="宋体" w:hAnsi="宋体" w:eastAsia="仿宋_GB2312" w:cs="仿宋_GB2312"/>
          <w:color w:val="auto"/>
          <w:sz w:val="32"/>
          <w:szCs w:val="32"/>
          <w:lang w:val="en-US" w:eastAsia="zh-CN"/>
        </w:rPr>
        <w:t>5000</w:t>
      </w:r>
      <w:r>
        <w:rPr>
          <w:rFonts w:hint="eastAsia" w:ascii="宋体" w:hAnsi="宋体" w:eastAsia="仿宋_GB2312" w:cs="仿宋_GB2312"/>
          <w:color w:val="auto"/>
          <w:sz w:val="32"/>
          <w:szCs w:val="32"/>
          <w:lang w:val="en-US" w:eastAsia="zh-CN"/>
        </w:rPr>
        <w:t>元；计划生育独生子女和双女家庭，且其子女未满</w:t>
      </w:r>
      <w:r>
        <w:rPr>
          <w:rFonts w:hint="default" w:ascii="宋体" w:hAnsi="宋体" w:eastAsia="仿宋_GB2312" w:cs="仿宋_GB2312"/>
          <w:color w:val="auto"/>
          <w:sz w:val="32"/>
          <w:szCs w:val="32"/>
          <w:lang w:val="en-US" w:eastAsia="zh-CN"/>
        </w:rPr>
        <w:t>18</w:t>
      </w:r>
      <w:r>
        <w:rPr>
          <w:rFonts w:hint="eastAsia" w:ascii="宋体" w:hAnsi="宋体" w:eastAsia="仿宋_GB2312" w:cs="仿宋_GB2312"/>
          <w:color w:val="auto"/>
          <w:sz w:val="32"/>
          <w:szCs w:val="32"/>
          <w:lang w:val="en-US" w:eastAsia="zh-CN"/>
        </w:rPr>
        <w:t>周岁的，父母双亡的，给予</w:t>
      </w:r>
      <w:r>
        <w:rPr>
          <w:rFonts w:hint="default" w:ascii="宋体" w:hAnsi="宋体" w:eastAsia="仿宋_GB2312" w:cs="仿宋_GB2312"/>
          <w:color w:val="auto"/>
          <w:sz w:val="32"/>
          <w:szCs w:val="32"/>
          <w:lang w:val="en-US" w:eastAsia="zh-CN"/>
        </w:rPr>
        <w:t>6000</w:t>
      </w:r>
      <w:r>
        <w:rPr>
          <w:rFonts w:hint="eastAsia" w:ascii="宋体" w:hAnsi="宋体" w:eastAsia="仿宋_GB2312" w:cs="仿宋_GB2312"/>
          <w:color w:val="auto"/>
          <w:sz w:val="32"/>
          <w:szCs w:val="32"/>
          <w:lang w:val="en-US" w:eastAsia="zh-CN"/>
        </w:rPr>
        <w:t>元的一次性救助，父母一方死亡的，给予</w:t>
      </w:r>
      <w:r>
        <w:rPr>
          <w:rFonts w:hint="default" w:ascii="宋体" w:hAnsi="宋体" w:eastAsia="仿宋_GB2312" w:cs="仿宋_GB2312"/>
          <w:color w:val="auto"/>
          <w:sz w:val="32"/>
          <w:szCs w:val="32"/>
          <w:lang w:val="en-US" w:eastAsia="zh-CN"/>
        </w:rPr>
        <w:t>3000</w:t>
      </w:r>
      <w:r>
        <w:rPr>
          <w:rFonts w:hint="eastAsia" w:ascii="宋体" w:hAnsi="宋体" w:eastAsia="仿宋_GB2312" w:cs="仿宋_GB2312"/>
          <w:color w:val="auto"/>
          <w:sz w:val="32"/>
          <w:szCs w:val="32"/>
          <w:lang w:val="en-US" w:eastAsia="zh-CN"/>
        </w:rPr>
        <w:t>元一次性救助；计划生育独生子女和双女家庭，且其子女未满</w:t>
      </w:r>
      <w:r>
        <w:rPr>
          <w:rFonts w:hint="default" w:ascii="宋体" w:hAnsi="宋体" w:eastAsia="仿宋_GB2312" w:cs="仿宋_GB2312"/>
          <w:color w:val="auto"/>
          <w:sz w:val="32"/>
          <w:szCs w:val="32"/>
          <w:lang w:val="en-US" w:eastAsia="zh-CN"/>
        </w:rPr>
        <w:t>18</w:t>
      </w:r>
      <w:r>
        <w:rPr>
          <w:rFonts w:hint="eastAsia" w:ascii="宋体" w:hAnsi="宋体" w:eastAsia="仿宋_GB2312" w:cs="仿宋_GB2312"/>
          <w:color w:val="auto"/>
          <w:sz w:val="32"/>
          <w:szCs w:val="32"/>
          <w:lang w:val="en-US" w:eastAsia="zh-CN"/>
        </w:rPr>
        <w:t>周岁的，父母双方残疾的，给予</w:t>
      </w:r>
      <w:r>
        <w:rPr>
          <w:rFonts w:hint="default" w:ascii="宋体" w:hAnsi="宋体" w:eastAsia="仿宋_GB2312" w:cs="仿宋_GB2312"/>
          <w:color w:val="auto"/>
          <w:sz w:val="32"/>
          <w:szCs w:val="32"/>
          <w:lang w:val="en-US" w:eastAsia="zh-CN"/>
        </w:rPr>
        <w:t>5000</w:t>
      </w:r>
      <w:r>
        <w:rPr>
          <w:rFonts w:hint="eastAsia" w:ascii="宋体" w:hAnsi="宋体" w:eastAsia="仿宋_GB2312" w:cs="仿宋_GB2312"/>
          <w:color w:val="auto"/>
          <w:sz w:val="32"/>
          <w:szCs w:val="32"/>
          <w:lang w:val="en-US" w:eastAsia="zh-CN"/>
        </w:rPr>
        <w:t>元的一次性救助，父母一方残疾的，给予</w:t>
      </w:r>
      <w:r>
        <w:rPr>
          <w:rFonts w:hint="default" w:ascii="宋体" w:hAnsi="宋体" w:eastAsia="仿宋_GB2312" w:cs="仿宋_GB2312"/>
          <w:color w:val="auto"/>
          <w:sz w:val="32"/>
          <w:szCs w:val="32"/>
          <w:lang w:val="en-US" w:eastAsia="zh-CN"/>
        </w:rPr>
        <w:t>3000</w:t>
      </w:r>
      <w:r>
        <w:rPr>
          <w:rFonts w:hint="eastAsia" w:ascii="宋体" w:hAnsi="宋体" w:eastAsia="仿宋_GB2312" w:cs="仿宋_GB2312"/>
          <w:color w:val="auto"/>
          <w:sz w:val="32"/>
          <w:szCs w:val="32"/>
          <w:lang w:val="en-US" w:eastAsia="zh-CN"/>
        </w:rPr>
        <w:t>元一次性救助；享受关怀扶助人数</w:t>
      </w:r>
      <w:r>
        <w:rPr>
          <w:rFonts w:hint="default" w:ascii="宋体" w:hAnsi="宋体" w:eastAsia="仿宋_GB2312" w:cs="仿宋_GB2312"/>
          <w:color w:val="auto"/>
          <w:sz w:val="32"/>
          <w:szCs w:val="32"/>
          <w:lang w:val="en-US" w:eastAsia="zh-CN"/>
        </w:rPr>
        <w:t>145</w:t>
      </w:r>
      <w:r>
        <w:rPr>
          <w:rFonts w:hint="eastAsia" w:ascii="宋体" w:hAnsi="宋体" w:eastAsia="仿宋_GB2312" w:cs="仿宋_GB2312"/>
          <w:color w:val="auto"/>
          <w:sz w:val="32"/>
          <w:szCs w:val="32"/>
          <w:lang w:val="en-US" w:eastAsia="zh-CN"/>
        </w:rPr>
        <w:t>人；村级计生小组长人数</w:t>
      </w:r>
      <w:r>
        <w:rPr>
          <w:rFonts w:hint="default" w:ascii="宋体" w:hAnsi="宋体" w:eastAsia="仿宋_GB2312" w:cs="仿宋_GB2312"/>
          <w:color w:val="auto"/>
          <w:sz w:val="32"/>
          <w:szCs w:val="32"/>
          <w:lang w:val="en-US" w:eastAsia="zh-CN"/>
        </w:rPr>
        <w:t>644</w:t>
      </w:r>
      <w:r>
        <w:rPr>
          <w:rFonts w:hint="eastAsia" w:ascii="宋体" w:hAnsi="宋体" w:eastAsia="仿宋_GB2312" w:cs="仿宋_GB2312"/>
          <w:color w:val="auto"/>
          <w:sz w:val="32"/>
          <w:szCs w:val="32"/>
          <w:lang w:val="en-US" w:eastAsia="zh-CN"/>
        </w:rPr>
        <w:t>人；</w:t>
      </w:r>
      <w:r>
        <w:rPr>
          <w:rFonts w:hint="eastAsia" w:ascii="宋体" w:hAnsi="宋体" w:eastAsia="仿宋_GB2312" w:cs="仿宋_GB2312"/>
          <w:color w:val="auto"/>
          <w:sz w:val="32"/>
          <w:szCs w:val="32"/>
        </w:rPr>
        <w:t>为四术费患者提供服务。</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（4）加强中医药能力建设，提高中医药人员服务水平。</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绩效目标：发挥中医药特色和优势，加强医养结合服务能力建设，突出中医优势</w:t>
      </w:r>
      <w:r>
        <w:rPr>
          <w:rFonts w:hint="eastAsia" w:ascii="宋体" w:hAnsi="宋体" w:eastAsia="仿宋_GB2312" w:cs="仿宋_GB2312"/>
          <w:color w:val="auto"/>
          <w:sz w:val="32"/>
          <w:szCs w:val="32"/>
          <w:lang w:eastAsia="zh-CN"/>
        </w:rPr>
        <w:t>，</w:t>
      </w:r>
      <w:r>
        <w:rPr>
          <w:rFonts w:hint="eastAsia" w:ascii="宋体" w:hAnsi="宋体" w:eastAsia="仿宋_GB2312" w:cs="仿宋_GB2312"/>
          <w:color w:val="auto"/>
          <w:sz w:val="32"/>
          <w:szCs w:val="32"/>
        </w:rPr>
        <w:t>满足老年人中医药养生保健和看病就医等服务需求；加强中医适宜技术推广与应用，提升基层中医药服务能力。</w:t>
      </w:r>
    </w:p>
    <w:p>
      <w:pPr>
        <w:spacing w:line="560" w:lineRule="exact"/>
        <w:ind w:firstLine="640" w:firstLineChars="200"/>
        <w:rPr>
          <w:rFonts w:hint="eastAsia" w:ascii="宋体" w:hAnsi="宋体" w:eastAsia="仿宋_GB2312" w:cs="仿宋_GB2312"/>
          <w:color w:val="auto"/>
          <w:sz w:val="32"/>
          <w:szCs w:val="32"/>
        </w:rPr>
      </w:pPr>
      <w:r>
        <w:rPr>
          <w:rFonts w:hint="eastAsia" w:ascii="宋体" w:hAnsi="宋体" w:eastAsia="仿宋_GB2312" w:cs="仿宋_GB2312"/>
          <w:color w:val="auto"/>
          <w:sz w:val="32"/>
          <w:szCs w:val="32"/>
        </w:rPr>
        <w:t>绩效指标：区中医院购置双能X射线骨密度仪1台，角膜地形图仪1台，磨边机1台；上庄镇卫生院购置温热电灸综合治疗仪1台，中医定向透药治疗仪2台，煎药机2台，电脑1台与中医馆环境建设，为患者提供了更优质的中医药诊疗服务。</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（5）保障卫生健康事业稳定发展。</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绩效目标：为创卫指挥部正常工作提供保障；为辖区内60周岁以上原“赤脚医生”发放养老补助；保障局数据中心平稳运行；保障卫生健康监督执法所业务水平稳步提升。</w:t>
      </w:r>
    </w:p>
    <w:p>
      <w:pPr>
        <w:spacing w:line="560" w:lineRule="exact"/>
        <w:ind w:firstLine="640" w:firstLineChars="200"/>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rPr>
        <w:t>绩效指标：为创卫指挥部提供办公经费</w:t>
      </w:r>
      <w:r>
        <w:rPr>
          <w:rFonts w:hint="eastAsia" w:ascii="宋体" w:hAnsi="宋体" w:eastAsia="仿宋_GB2312" w:cs="仿宋_GB2312"/>
          <w:color w:val="auto"/>
          <w:sz w:val="32"/>
          <w:szCs w:val="32"/>
          <w:lang w:val="en-US" w:eastAsia="zh-CN"/>
        </w:rPr>
        <w:t>3.75</w:t>
      </w:r>
      <w:r>
        <w:rPr>
          <w:rFonts w:hint="eastAsia" w:ascii="宋体" w:hAnsi="宋体" w:eastAsia="仿宋_GB2312" w:cs="仿宋_GB2312"/>
          <w:color w:val="auto"/>
          <w:sz w:val="32"/>
          <w:szCs w:val="32"/>
        </w:rPr>
        <w:t>万元，保障其正常运转；</w:t>
      </w:r>
      <w:bookmarkStart w:id="5" w:name="OLE_LINK3"/>
      <w:r>
        <w:rPr>
          <w:rFonts w:hint="eastAsia" w:ascii="宋体" w:hAnsi="宋体" w:eastAsia="仿宋_GB2312" w:cs="仿宋_GB2312"/>
          <w:color w:val="auto"/>
          <w:sz w:val="32"/>
          <w:szCs w:val="32"/>
        </w:rPr>
        <w:t>享受待遇的原“赤脚医生”人数</w:t>
      </w:r>
      <w:r>
        <w:rPr>
          <w:rFonts w:hint="eastAsia" w:ascii="宋体" w:hAnsi="宋体" w:eastAsia="仿宋_GB2312" w:cs="仿宋_GB2312"/>
          <w:color w:val="auto"/>
          <w:sz w:val="32"/>
          <w:szCs w:val="32"/>
          <w:lang w:val="en-US" w:eastAsia="zh-CN"/>
        </w:rPr>
        <w:t>779</w:t>
      </w:r>
      <w:r>
        <w:rPr>
          <w:rFonts w:hint="eastAsia" w:ascii="宋体" w:hAnsi="宋体" w:eastAsia="仿宋_GB2312" w:cs="仿宋_GB2312"/>
          <w:color w:val="auto"/>
          <w:sz w:val="32"/>
          <w:szCs w:val="32"/>
        </w:rPr>
        <w:t>人，长期改善其生活基本需求；</w:t>
      </w:r>
      <w:bookmarkEnd w:id="5"/>
      <w:r>
        <w:rPr>
          <w:rFonts w:hint="eastAsia" w:ascii="宋体" w:hAnsi="宋体" w:eastAsia="仿宋_GB2312" w:cs="仿宋_GB2312"/>
          <w:color w:val="auto"/>
          <w:sz w:val="32"/>
          <w:szCs w:val="32"/>
        </w:rPr>
        <w:t>局信息化专网组建率达到100%；</w:t>
      </w:r>
      <w:r>
        <w:rPr>
          <w:rFonts w:hint="eastAsia" w:ascii="宋体" w:hAnsi="宋体" w:eastAsia="仿宋_GB2312" w:cs="仿宋_GB2312"/>
          <w:color w:val="auto"/>
          <w:sz w:val="32"/>
          <w:szCs w:val="32"/>
          <w:lang w:val="en-US" w:eastAsia="zh-CN"/>
        </w:rPr>
        <w:t>违法行为的立案处罚率达到</w:t>
      </w:r>
      <w:r>
        <w:rPr>
          <w:rFonts w:hint="default" w:ascii="宋体" w:hAnsi="宋体" w:eastAsia="仿宋_GB2312" w:cs="仿宋_GB2312"/>
          <w:color w:val="auto"/>
          <w:sz w:val="32"/>
          <w:szCs w:val="32"/>
          <w:lang w:val="en-US" w:eastAsia="zh-CN"/>
        </w:rPr>
        <w:t>100%</w:t>
      </w:r>
      <w:r>
        <w:rPr>
          <w:rFonts w:hint="eastAsia" w:ascii="宋体" w:hAnsi="宋体" w:eastAsia="仿宋_GB2312" w:cs="仿宋_GB2312"/>
          <w:color w:val="auto"/>
          <w:sz w:val="32"/>
          <w:szCs w:val="32"/>
          <w:lang w:val="en-US" w:eastAsia="zh-CN"/>
        </w:rPr>
        <w:t>，上级督办、交办、群众举报投诉职责范围内的查处回复率达到</w:t>
      </w:r>
      <w:r>
        <w:rPr>
          <w:rFonts w:hint="default" w:ascii="宋体" w:hAnsi="宋体" w:eastAsia="仿宋_GB2312" w:cs="仿宋_GB2312"/>
          <w:color w:val="auto"/>
          <w:sz w:val="32"/>
          <w:szCs w:val="32"/>
          <w:lang w:val="en-US" w:eastAsia="zh-CN"/>
        </w:rPr>
        <w:t>100%</w:t>
      </w:r>
      <w:r>
        <w:rPr>
          <w:rFonts w:hint="eastAsia" w:ascii="宋体" w:hAnsi="宋体" w:eastAsia="仿宋_GB2312" w:cs="仿宋_GB2312"/>
          <w:color w:val="auto"/>
          <w:sz w:val="32"/>
          <w:szCs w:val="32"/>
          <w:lang w:val="en-US" w:eastAsia="zh-CN"/>
        </w:rPr>
        <w:t>；双随机任务公共场所、现场制售水、餐饮具消毒采样检测任务完成率达到</w:t>
      </w:r>
      <w:r>
        <w:rPr>
          <w:rFonts w:hint="default" w:ascii="宋体" w:hAnsi="宋体" w:eastAsia="仿宋_GB2312" w:cs="仿宋_GB2312"/>
          <w:color w:val="auto"/>
          <w:sz w:val="32"/>
          <w:szCs w:val="32"/>
          <w:lang w:val="en-US" w:eastAsia="zh-CN"/>
        </w:rPr>
        <w:t xml:space="preserve"> 100%</w:t>
      </w:r>
      <w:r>
        <w:rPr>
          <w:rFonts w:hint="eastAsia" w:ascii="宋体" w:hAnsi="宋体" w:eastAsia="仿宋_GB2312" w:cs="仿宋_GB2312"/>
          <w:color w:val="auto"/>
          <w:sz w:val="32"/>
          <w:szCs w:val="32"/>
          <w:lang w:val="en-US" w:eastAsia="zh-CN"/>
        </w:rPr>
        <w:t>；对计划生育和母婴保健机构的日常监督完成率达到</w:t>
      </w:r>
      <w:r>
        <w:rPr>
          <w:rFonts w:hint="default" w:ascii="宋体" w:hAnsi="宋体" w:eastAsia="仿宋_GB2312" w:cs="仿宋_GB2312"/>
          <w:color w:val="auto"/>
          <w:sz w:val="32"/>
          <w:szCs w:val="32"/>
          <w:lang w:val="en-US" w:eastAsia="zh-CN"/>
        </w:rPr>
        <w:t>100%</w:t>
      </w:r>
      <w:r>
        <w:rPr>
          <w:rFonts w:hint="eastAsia" w:ascii="宋体" w:hAnsi="宋体" w:eastAsia="仿宋_GB2312" w:cs="仿宋_GB2312"/>
          <w:color w:val="auto"/>
          <w:sz w:val="32"/>
          <w:szCs w:val="32"/>
          <w:lang w:val="en-US" w:eastAsia="zh-CN"/>
        </w:rPr>
        <w:t>；卫生健康监督执法全过程记录率、行政执法结果公示、“双随机”抽查结果公示率达到</w:t>
      </w:r>
      <w:r>
        <w:rPr>
          <w:rFonts w:hint="default" w:ascii="宋体" w:hAnsi="宋体" w:eastAsia="仿宋_GB2312" w:cs="仿宋_GB2312"/>
          <w:color w:val="auto"/>
          <w:sz w:val="32"/>
          <w:szCs w:val="32"/>
          <w:lang w:val="en-US" w:eastAsia="zh-CN"/>
        </w:rPr>
        <w:t>100%</w:t>
      </w:r>
      <w:r>
        <w:rPr>
          <w:rFonts w:hint="eastAsia" w:ascii="宋体" w:hAnsi="宋体" w:eastAsia="仿宋_GB2312" w:cs="仿宋_GB2312"/>
          <w:color w:val="auto"/>
          <w:sz w:val="32"/>
          <w:szCs w:val="32"/>
          <w:lang w:val="en-US" w:eastAsia="zh-CN"/>
        </w:rPr>
        <w:t>；应急物资储备更新率、突发公共卫生事件处置率达到</w:t>
      </w:r>
      <w:r>
        <w:rPr>
          <w:rFonts w:hint="default" w:ascii="宋体" w:hAnsi="宋体" w:eastAsia="仿宋_GB2312" w:cs="仿宋_GB2312"/>
          <w:color w:val="auto"/>
          <w:sz w:val="32"/>
          <w:szCs w:val="32"/>
          <w:lang w:val="en-US" w:eastAsia="zh-CN"/>
        </w:rPr>
        <w:t>100%</w:t>
      </w:r>
      <w:r>
        <w:rPr>
          <w:rFonts w:hint="eastAsia" w:ascii="宋体" w:hAnsi="宋体" w:eastAsia="仿宋_GB2312" w:cs="仿宋_GB2312"/>
          <w:color w:val="auto"/>
          <w:sz w:val="32"/>
          <w:szCs w:val="32"/>
          <w:lang w:val="en-US" w:eastAsia="zh-CN"/>
        </w:rPr>
        <w:t>。</w:t>
      </w:r>
    </w:p>
    <w:p>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四、评价结论和评价等级</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我部门自评总得分为98.</w:t>
      </w:r>
      <w:r>
        <w:rPr>
          <w:rFonts w:hint="eastAsia" w:ascii="宋体" w:hAnsi="宋体" w:eastAsia="仿宋_GB2312" w:cs="仿宋_GB2312"/>
          <w:color w:val="auto"/>
          <w:sz w:val="32"/>
          <w:szCs w:val="32"/>
          <w:lang w:val="en-US" w:eastAsia="zh-CN"/>
        </w:rPr>
        <w:t>28</w:t>
      </w:r>
      <w:r>
        <w:rPr>
          <w:rFonts w:hint="eastAsia" w:ascii="宋体" w:hAnsi="宋体" w:eastAsia="仿宋_GB2312" w:cs="仿宋_GB2312"/>
          <w:color w:val="auto"/>
          <w:sz w:val="32"/>
          <w:szCs w:val="32"/>
        </w:rPr>
        <w:t>分，优秀。分项如下：</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产出指标（40分）。我部门各项目资金的使用能在规定时限内完成，数量和成本指标均在标准范围内。</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预算执行率指标（10分）。我部门20</w:t>
      </w:r>
      <w:r>
        <w:rPr>
          <w:rFonts w:hint="eastAsia" w:ascii="宋体" w:hAnsi="宋体" w:eastAsia="仿宋_GB2312" w:cs="仿宋_GB2312"/>
          <w:color w:val="auto"/>
          <w:sz w:val="32"/>
          <w:szCs w:val="32"/>
          <w:lang w:val="en-US" w:eastAsia="zh-CN"/>
        </w:rPr>
        <w:t>24</w:t>
      </w:r>
      <w:r>
        <w:rPr>
          <w:rFonts w:hint="eastAsia" w:ascii="宋体" w:hAnsi="宋体" w:eastAsia="仿宋_GB2312" w:cs="仿宋_GB2312"/>
          <w:color w:val="auto"/>
          <w:sz w:val="32"/>
          <w:szCs w:val="32"/>
        </w:rPr>
        <w:t>年度预算执行率为8</w:t>
      </w:r>
      <w:r>
        <w:rPr>
          <w:rFonts w:hint="eastAsia" w:ascii="宋体" w:hAnsi="宋体" w:eastAsia="仿宋_GB2312" w:cs="仿宋_GB2312"/>
          <w:color w:val="auto"/>
          <w:sz w:val="32"/>
          <w:szCs w:val="32"/>
          <w:lang w:val="en-US" w:eastAsia="zh-CN"/>
        </w:rPr>
        <w:t>2.77</w:t>
      </w:r>
      <w:r>
        <w:rPr>
          <w:rFonts w:hint="eastAsia" w:ascii="宋体" w:hAnsi="宋体" w:eastAsia="仿宋_GB2312" w:cs="仿宋_GB2312"/>
          <w:color w:val="auto"/>
          <w:sz w:val="32"/>
          <w:szCs w:val="32"/>
        </w:rPr>
        <w:t>%，自评8.</w:t>
      </w:r>
      <w:r>
        <w:rPr>
          <w:rFonts w:hint="eastAsia" w:ascii="宋体" w:hAnsi="宋体" w:eastAsia="仿宋_GB2312" w:cs="仿宋_GB2312"/>
          <w:color w:val="auto"/>
          <w:sz w:val="32"/>
          <w:szCs w:val="32"/>
          <w:lang w:val="en-US" w:eastAsia="zh-CN"/>
        </w:rPr>
        <w:t>28</w:t>
      </w:r>
      <w:r>
        <w:rPr>
          <w:rFonts w:hint="eastAsia" w:ascii="宋体" w:hAnsi="宋体" w:eastAsia="仿宋_GB2312" w:cs="仿宋_GB2312"/>
          <w:color w:val="auto"/>
          <w:sz w:val="32"/>
          <w:szCs w:val="32"/>
        </w:rPr>
        <w:t>分。</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效益指标（40分）。我部门绝大部分项目均为民生项目，为提高我区医疗技术水平的提高、进居民健康理念的转变、逐步提高居民健康水平，落实疫情防控，我部门多措并举将各项目落地，项目实施社会效益良好，可持续影响力强，群众满意度高，评估结果满分。</w:t>
      </w:r>
    </w:p>
    <w:p>
      <w:pPr>
        <w:spacing w:line="560" w:lineRule="exact"/>
        <w:ind w:firstLine="640" w:firstLineChars="200"/>
        <w:rPr>
          <w:rFonts w:ascii="宋体" w:hAnsi="宋体" w:eastAsia="仿宋_GB2312" w:cs="仿宋_GB2312"/>
          <w:color w:val="auto"/>
          <w:sz w:val="32"/>
          <w:szCs w:val="32"/>
        </w:rPr>
      </w:pPr>
      <w:r>
        <w:rPr>
          <w:rFonts w:hint="eastAsia" w:ascii="宋体" w:hAnsi="宋体" w:eastAsia="仿宋_GB2312" w:cs="仿宋_GB2312"/>
          <w:color w:val="auto"/>
          <w:sz w:val="32"/>
          <w:szCs w:val="32"/>
        </w:rPr>
        <w:t>（三）满意度指标（10分）。经评估，群众满意度高，评估为满分。</w:t>
      </w:r>
    </w:p>
    <w:p>
      <w:pPr>
        <w:spacing w:line="56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五、存在的问题及改进措施</w:t>
      </w:r>
    </w:p>
    <w:p>
      <w:pPr>
        <w:spacing w:line="560" w:lineRule="exact"/>
        <w:ind w:firstLine="640" w:firstLineChars="200"/>
        <w:rPr>
          <w:rFonts w:ascii="楷体" w:hAnsi="楷体" w:eastAsia="楷体"/>
          <w:bCs/>
          <w:color w:val="auto"/>
          <w:sz w:val="32"/>
          <w:szCs w:val="32"/>
        </w:rPr>
      </w:pPr>
      <w:r>
        <w:rPr>
          <w:rFonts w:hint="eastAsia" w:ascii="楷体" w:hAnsi="楷体" w:eastAsia="楷体"/>
          <w:bCs/>
          <w:color w:val="auto"/>
          <w:sz w:val="32"/>
          <w:szCs w:val="32"/>
        </w:rPr>
        <w:t>（一）存在的主要问题：无</w:t>
      </w:r>
    </w:p>
    <w:p>
      <w:pPr>
        <w:spacing w:line="560" w:lineRule="exact"/>
        <w:ind w:firstLine="640" w:firstLineChars="200"/>
        <w:rPr>
          <w:rFonts w:ascii="楷体" w:hAnsi="楷体" w:eastAsia="楷体"/>
          <w:bCs/>
          <w:color w:val="auto"/>
          <w:sz w:val="32"/>
          <w:szCs w:val="32"/>
        </w:rPr>
      </w:pPr>
      <w:r>
        <w:rPr>
          <w:rFonts w:hint="eastAsia" w:ascii="楷体" w:hAnsi="楷体" w:eastAsia="楷体"/>
          <w:bCs/>
          <w:color w:val="auto"/>
          <w:sz w:val="32"/>
          <w:szCs w:val="32"/>
        </w:rPr>
        <w:t>（二）针对问题提出具体的改进措施或建议：无</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华文楷体">
    <w:altName w:val="宋体"/>
    <w:panose1 w:val="00000000000000000000"/>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C563C97"/>
    <w:multiLevelType w:val="multilevel"/>
    <w:tmpl w:val="4C563C97"/>
    <w:lvl w:ilvl="0" w:tentative="0">
      <w:start w:val="3"/>
      <w:numFmt w:val="japaneseCounting"/>
      <w:lvlText w:val="%1、"/>
      <w:lvlJc w:val="left"/>
      <w:pPr>
        <w:ind w:left="1350" w:hanging="720"/>
      </w:pPr>
      <w:rPr>
        <w:rFonts w:hint="default"/>
        <w:b w:val="0"/>
      </w:rPr>
    </w:lvl>
    <w:lvl w:ilvl="1" w:tentative="0">
      <w:start w:val="1"/>
      <w:numFmt w:val="lowerLetter"/>
      <w:lvlText w:val="%2)"/>
      <w:lvlJc w:val="left"/>
      <w:pPr>
        <w:ind w:left="1470" w:hanging="420"/>
      </w:pPr>
    </w:lvl>
    <w:lvl w:ilvl="2" w:tentative="0">
      <w:start w:val="1"/>
      <w:numFmt w:val="lowerRoman"/>
      <w:lvlText w:val="%3."/>
      <w:lvlJc w:val="right"/>
      <w:pPr>
        <w:ind w:left="1890" w:hanging="420"/>
      </w:pPr>
    </w:lvl>
    <w:lvl w:ilvl="3" w:tentative="0">
      <w:start w:val="1"/>
      <w:numFmt w:val="decimal"/>
      <w:lvlText w:val="%4."/>
      <w:lvlJc w:val="left"/>
      <w:pPr>
        <w:ind w:left="2310" w:hanging="420"/>
      </w:pPr>
    </w:lvl>
    <w:lvl w:ilvl="4" w:tentative="0">
      <w:start w:val="1"/>
      <w:numFmt w:val="lowerLetter"/>
      <w:lvlText w:val="%5)"/>
      <w:lvlJc w:val="left"/>
      <w:pPr>
        <w:ind w:left="2730" w:hanging="420"/>
      </w:pPr>
    </w:lvl>
    <w:lvl w:ilvl="5" w:tentative="0">
      <w:start w:val="1"/>
      <w:numFmt w:val="lowerRoman"/>
      <w:lvlText w:val="%6."/>
      <w:lvlJc w:val="right"/>
      <w:pPr>
        <w:ind w:left="3150" w:hanging="420"/>
      </w:pPr>
    </w:lvl>
    <w:lvl w:ilvl="6" w:tentative="0">
      <w:start w:val="1"/>
      <w:numFmt w:val="decimal"/>
      <w:lvlText w:val="%7."/>
      <w:lvlJc w:val="left"/>
      <w:pPr>
        <w:ind w:left="3570" w:hanging="420"/>
      </w:pPr>
    </w:lvl>
    <w:lvl w:ilvl="7" w:tentative="0">
      <w:start w:val="1"/>
      <w:numFmt w:val="lowerLetter"/>
      <w:lvlText w:val="%8)"/>
      <w:lvlJc w:val="left"/>
      <w:pPr>
        <w:ind w:left="3990" w:hanging="420"/>
      </w:pPr>
    </w:lvl>
    <w:lvl w:ilvl="8" w:tentative="0">
      <w:start w:val="1"/>
      <w:numFmt w:val="lowerRoman"/>
      <w:lvlText w:val="%9."/>
      <w:lvlJc w:val="right"/>
      <w:pPr>
        <w:ind w:left="4410" w:hanging="420"/>
      </w:p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4751C"/>
    <w:rsid w:val="000B0260"/>
    <w:rsid w:val="000E4E00"/>
    <w:rsid w:val="0019047F"/>
    <w:rsid w:val="00225BF2"/>
    <w:rsid w:val="003F194C"/>
    <w:rsid w:val="00434076"/>
    <w:rsid w:val="004E31A8"/>
    <w:rsid w:val="004F490E"/>
    <w:rsid w:val="00590AA1"/>
    <w:rsid w:val="005E32F1"/>
    <w:rsid w:val="007670EC"/>
    <w:rsid w:val="007C42DC"/>
    <w:rsid w:val="007E6C1F"/>
    <w:rsid w:val="00942F35"/>
    <w:rsid w:val="00956A93"/>
    <w:rsid w:val="009E3226"/>
    <w:rsid w:val="009E575C"/>
    <w:rsid w:val="00A6032C"/>
    <w:rsid w:val="00AF167E"/>
    <w:rsid w:val="00AF566A"/>
    <w:rsid w:val="00B478EA"/>
    <w:rsid w:val="00B576B8"/>
    <w:rsid w:val="00B6553A"/>
    <w:rsid w:val="00B87C34"/>
    <w:rsid w:val="00BC6576"/>
    <w:rsid w:val="00C25AEC"/>
    <w:rsid w:val="00CE06BA"/>
    <w:rsid w:val="00F30709"/>
    <w:rsid w:val="00F441CC"/>
    <w:rsid w:val="00F6247E"/>
    <w:rsid w:val="00FC01E0"/>
    <w:rsid w:val="016728A2"/>
    <w:rsid w:val="017311EE"/>
    <w:rsid w:val="01B104CA"/>
    <w:rsid w:val="02106AB0"/>
    <w:rsid w:val="0216427A"/>
    <w:rsid w:val="02B43A28"/>
    <w:rsid w:val="03713232"/>
    <w:rsid w:val="03ED05FD"/>
    <w:rsid w:val="046F331E"/>
    <w:rsid w:val="05D72221"/>
    <w:rsid w:val="0603500E"/>
    <w:rsid w:val="06426236"/>
    <w:rsid w:val="06EB6E0C"/>
    <w:rsid w:val="07956271"/>
    <w:rsid w:val="08B32E54"/>
    <w:rsid w:val="09721397"/>
    <w:rsid w:val="09EC3E56"/>
    <w:rsid w:val="0B331BEE"/>
    <w:rsid w:val="0B9D7B83"/>
    <w:rsid w:val="0BB63BED"/>
    <w:rsid w:val="0C4574AD"/>
    <w:rsid w:val="0E575C13"/>
    <w:rsid w:val="0E8F7482"/>
    <w:rsid w:val="0EB97A43"/>
    <w:rsid w:val="0EBD2122"/>
    <w:rsid w:val="0F214EAE"/>
    <w:rsid w:val="11B71E6A"/>
    <w:rsid w:val="11FE4B01"/>
    <w:rsid w:val="15E6711C"/>
    <w:rsid w:val="16B05DC8"/>
    <w:rsid w:val="17176A71"/>
    <w:rsid w:val="18127F8E"/>
    <w:rsid w:val="1AAF0063"/>
    <w:rsid w:val="1BDE34C7"/>
    <w:rsid w:val="1BE140DE"/>
    <w:rsid w:val="1C1D5EF0"/>
    <w:rsid w:val="1D1125BF"/>
    <w:rsid w:val="1D54652C"/>
    <w:rsid w:val="1D564283"/>
    <w:rsid w:val="1F9522DE"/>
    <w:rsid w:val="1FC73DB2"/>
    <w:rsid w:val="20364066"/>
    <w:rsid w:val="21EC5CB5"/>
    <w:rsid w:val="231C3E29"/>
    <w:rsid w:val="23407159"/>
    <w:rsid w:val="248C197D"/>
    <w:rsid w:val="252959AF"/>
    <w:rsid w:val="25565941"/>
    <w:rsid w:val="26A60E77"/>
    <w:rsid w:val="277A6671"/>
    <w:rsid w:val="28331903"/>
    <w:rsid w:val="284D24AC"/>
    <w:rsid w:val="28FC6DCD"/>
    <w:rsid w:val="292D35B7"/>
    <w:rsid w:val="29D25B2C"/>
    <w:rsid w:val="2AF97B0C"/>
    <w:rsid w:val="2BD23073"/>
    <w:rsid w:val="2CFF16E5"/>
    <w:rsid w:val="2E365D60"/>
    <w:rsid w:val="32817910"/>
    <w:rsid w:val="335F6FD7"/>
    <w:rsid w:val="33907569"/>
    <w:rsid w:val="33C90C05"/>
    <w:rsid w:val="33EB6CFF"/>
    <w:rsid w:val="341D288D"/>
    <w:rsid w:val="346045FB"/>
    <w:rsid w:val="35A12947"/>
    <w:rsid w:val="37387040"/>
    <w:rsid w:val="37BE7500"/>
    <w:rsid w:val="386B671F"/>
    <w:rsid w:val="39F56226"/>
    <w:rsid w:val="3A5D10CE"/>
    <w:rsid w:val="3AB7483B"/>
    <w:rsid w:val="3AF44AC4"/>
    <w:rsid w:val="3B625C0A"/>
    <w:rsid w:val="3C1F45B2"/>
    <w:rsid w:val="3C495460"/>
    <w:rsid w:val="3CEE1963"/>
    <w:rsid w:val="3DE6611C"/>
    <w:rsid w:val="3F5D4A04"/>
    <w:rsid w:val="42351DD8"/>
    <w:rsid w:val="436B78D3"/>
    <w:rsid w:val="447E63E1"/>
    <w:rsid w:val="45F261D2"/>
    <w:rsid w:val="46AA3E45"/>
    <w:rsid w:val="470E1E21"/>
    <w:rsid w:val="48FB5D34"/>
    <w:rsid w:val="49547ADD"/>
    <w:rsid w:val="4A0963CB"/>
    <w:rsid w:val="4A383748"/>
    <w:rsid w:val="4B151F92"/>
    <w:rsid w:val="4C9C27FE"/>
    <w:rsid w:val="4E98737F"/>
    <w:rsid w:val="501F5F01"/>
    <w:rsid w:val="50311C52"/>
    <w:rsid w:val="508436A7"/>
    <w:rsid w:val="50B53E76"/>
    <w:rsid w:val="512260B4"/>
    <w:rsid w:val="5253261E"/>
    <w:rsid w:val="5272764F"/>
    <w:rsid w:val="52BD6ACB"/>
    <w:rsid w:val="52EE799F"/>
    <w:rsid w:val="54140080"/>
    <w:rsid w:val="547C67AB"/>
    <w:rsid w:val="55537534"/>
    <w:rsid w:val="55F35093"/>
    <w:rsid w:val="561A74F1"/>
    <w:rsid w:val="581434EB"/>
    <w:rsid w:val="589D66CD"/>
    <w:rsid w:val="597244E8"/>
    <w:rsid w:val="59930A01"/>
    <w:rsid w:val="59B54439"/>
    <w:rsid w:val="5BA416E6"/>
    <w:rsid w:val="5D954414"/>
    <w:rsid w:val="5E754D87"/>
    <w:rsid w:val="5EB71C30"/>
    <w:rsid w:val="61140B53"/>
    <w:rsid w:val="624F2E59"/>
    <w:rsid w:val="62731D94"/>
    <w:rsid w:val="62755297"/>
    <w:rsid w:val="627C139F"/>
    <w:rsid w:val="62F50B42"/>
    <w:rsid w:val="63F4318A"/>
    <w:rsid w:val="65613696"/>
    <w:rsid w:val="65FE4864"/>
    <w:rsid w:val="66AF0CE5"/>
    <w:rsid w:val="671230A7"/>
    <w:rsid w:val="679226FC"/>
    <w:rsid w:val="6AC537CF"/>
    <w:rsid w:val="6CB25261"/>
    <w:rsid w:val="6CD46A9B"/>
    <w:rsid w:val="6D9126D1"/>
    <w:rsid w:val="6E5B14A6"/>
    <w:rsid w:val="6E923579"/>
    <w:rsid w:val="70560510"/>
    <w:rsid w:val="711B255E"/>
    <w:rsid w:val="71390ECE"/>
    <w:rsid w:val="74FD4A5E"/>
    <w:rsid w:val="78622F0F"/>
    <w:rsid w:val="789A68EC"/>
    <w:rsid w:val="799C3B90"/>
    <w:rsid w:val="79F60DA7"/>
    <w:rsid w:val="7B7E1B28"/>
    <w:rsid w:val="7BB51E06"/>
    <w:rsid w:val="7C387F7C"/>
    <w:rsid w:val="7CF54DE9"/>
    <w:rsid w:val="7D2A75E5"/>
    <w:rsid w:val="7FDF1E05"/>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eastAsia="仿宋_GB2312"/>
      <w:sz w:val="3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Title"/>
    <w:basedOn w:val="1"/>
    <w:next w:val="7"/>
    <w:qFormat/>
    <w:uiPriority w:val="0"/>
    <w:pPr>
      <w:outlineLvl w:val="0"/>
    </w:pPr>
    <w:rPr>
      <w:rFonts w:ascii="Arial" w:hAnsi="Arial" w:eastAsia="仿宋"/>
    </w:rPr>
  </w:style>
  <w:style w:type="paragraph" w:customStyle="1" w:styleId="7">
    <w:name w:val="112"/>
    <w:basedOn w:val="1"/>
    <w:qFormat/>
    <w:uiPriority w:val="0"/>
    <w:rPr>
      <w:rFonts w:eastAsia="仿宋" w:cs="Times New Roman"/>
      <w:sz w:val="32"/>
    </w:rPr>
  </w:style>
  <w:style w:type="paragraph" w:customStyle="1" w:styleId="10">
    <w:name w:val="正文缩进1"/>
    <w:basedOn w:val="1"/>
    <w:next w:val="1"/>
    <w:qFormat/>
    <w:uiPriority w:val="0"/>
    <w:pPr>
      <w:spacing w:line="360" w:lineRule="auto"/>
      <w:ind w:firstLine="420" w:firstLineChars="200"/>
    </w:pPr>
    <w:rPr>
      <w:rFonts w:eastAsia="仿宋"/>
      <w:sz w:val="28"/>
      <w:szCs w:val="28"/>
    </w:rPr>
  </w:style>
  <w:style w:type="paragraph" w:customStyle="1" w:styleId="11">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966</Words>
  <Characters>5512</Characters>
  <Lines>45</Lines>
  <Paragraphs>12</Paragraphs>
  <TotalTime>92</TotalTime>
  <ScaleCrop>false</ScaleCrop>
  <LinksUpToDate>false</LinksUpToDate>
  <CharactersWithSpaces>6466</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乔家二小姐</cp:lastModifiedBy>
  <cp:lastPrinted>2024-03-06T07:40:00Z</cp:lastPrinted>
  <dcterms:modified xsi:type="dcterms:W3CDTF">2025-06-03T01:54:15Z</dcterms:modified>
  <dc:title>附件3：</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96934721B1514D3FBAA28020338CE855_12</vt:lpwstr>
  </property>
</Properties>
</file>