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723" w:firstLineChars="200"/>
        <w:jc w:val="both"/>
        <w:rPr>
          <w:rFonts w:ascii="仿宋_GB2312" w:hAnsi="仿宋" w:eastAsia="仿宋_GB2312" w:cs="仿宋"/>
          <w:sz w:val="36"/>
          <w:szCs w:val="36"/>
        </w:rPr>
      </w:pPr>
      <w:r>
        <w:rPr>
          <w:rFonts w:hint="eastAsia" w:ascii="仿宋_GB2312" w:eastAsia="仿宋_GB2312"/>
          <w:b/>
          <w:bCs/>
          <w:sz w:val="36"/>
          <w:szCs w:val="36"/>
        </w:rPr>
        <w:t>2019年司法局</w:t>
      </w:r>
      <w:r>
        <w:rPr>
          <w:rFonts w:hint="eastAsia" w:ascii="仿宋_GB2312" w:eastAsia="仿宋_GB2312"/>
          <w:b/>
          <w:bCs/>
          <w:sz w:val="36"/>
          <w:szCs w:val="36"/>
          <w:lang w:eastAsia="zh-CN"/>
        </w:rPr>
        <w:t>普法经费</w:t>
      </w:r>
      <w:r>
        <w:rPr>
          <w:rFonts w:hint="eastAsia" w:ascii="仿宋_GB2312" w:eastAsia="仿宋_GB2312"/>
          <w:b/>
          <w:bCs/>
          <w:sz w:val="36"/>
          <w:szCs w:val="36"/>
        </w:rPr>
        <w:t>项目绩效评价报告</w:t>
      </w:r>
    </w:p>
    <w:p>
      <w:pPr>
        <w:spacing w:line="360" w:lineRule="auto"/>
        <w:jc w:val="both"/>
        <w:rPr>
          <w:rFonts w:ascii="仿宋_GB2312" w:eastAsia="仿宋_GB2312"/>
          <w:sz w:val="30"/>
          <w:szCs w:val="30"/>
        </w:rPr>
      </w:pPr>
    </w:p>
    <w:p>
      <w:pPr>
        <w:adjustRightInd w:val="0"/>
        <w:snapToGrid w:val="0"/>
        <w:spacing w:line="360" w:lineRule="auto"/>
        <w:ind w:firstLine="600" w:firstLineChars="200"/>
        <w:rPr>
          <w:rFonts w:ascii="仿宋_GB2312" w:eastAsia="仿宋_GB2312"/>
          <w:color w:val="auto"/>
          <w:sz w:val="30"/>
          <w:szCs w:val="30"/>
        </w:rPr>
      </w:pPr>
      <w:r>
        <w:rPr>
          <w:rFonts w:hint="eastAsia" w:ascii="仿宋_GB2312" w:eastAsia="仿宋_GB2312"/>
          <w:color w:val="auto"/>
          <w:sz w:val="30"/>
          <w:szCs w:val="30"/>
        </w:rPr>
        <w:t>根据《石家庄市鹿泉区区级部门预算绩效管理办法》（鹿财字[2019]65号），遵循“科学性、规范性、客观性和公正性”的原则，对</w:t>
      </w:r>
      <w:r>
        <w:rPr>
          <w:rFonts w:hint="eastAsia" w:ascii="仿宋_GB2312" w:hAnsi="仿宋" w:eastAsia="仿宋_GB2312" w:cs="宋体"/>
          <w:color w:val="auto"/>
          <w:kern w:val="0"/>
          <w:sz w:val="30"/>
          <w:szCs w:val="30"/>
        </w:rPr>
        <w:t>我单位对2019年部门整体支出进行了自评</w:t>
      </w:r>
      <w:r>
        <w:rPr>
          <w:rFonts w:hint="eastAsia" w:ascii="仿宋_GB2312" w:eastAsia="仿宋_GB2312"/>
          <w:color w:val="auto"/>
          <w:sz w:val="30"/>
          <w:szCs w:val="30"/>
        </w:rPr>
        <w:t>，形成本评价报告。</w:t>
      </w:r>
    </w:p>
    <w:p>
      <w:pPr>
        <w:adjustRightInd w:val="0"/>
        <w:snapToGrid w:val="0"/>
        <w:spacing w:line="360" w:lineRule="auto"/>
        <w:rPr>
          <w:rFonts w:ascii="仿宋_GB2312" w:eastAsia="仿宋_GB2312"/>
          <w:b/>
          <w:bCs/>
          <w:color w:val="auto"/>
          <w:sz w:val="30"/>
          <w:szCs w:val="30"/>
        </w:rPr>
      </w:pPr>
      <w:r>
        <w:rPr>
          <w:rFonts w:hint="eastAsia" w:ascii="仿宋_GB2312" w:eastAsia="仿宋_GB2312"/>
          <w:color w:val="auto"/>
          <w:sz w:val="30"/>
          <w:szCs w:val="30"/>
        </w:rPr>
        <w:t>一、项目基本情况</w:t>
      </w:r>
    </w:p>
    <w:p>
      <w:pPr>
        <w:adjustRightInd w:val="0"/>
        <w:snapToGrid w:val="0"/>
        <w:spacing w:line="360" w:lineRule="auto"/>
        <w:ind w:firstLine="600" w:firstLineChars="200"/>
        <w:rPr>
          <w:rFonts w:ascii="仿宋_GB2312" w:hAnsi="楷体_GB2312" w:eastAsia="仿宋_GB2312" w:cs="楷体_GB2312"/>
          <w:color w:val="auto"/>
          <w:sz w:val="30"/>
          <w:szCs w:val="30"/>
        </w:rPr>
      </w:pPr>
      <w:r>
        <w:rPr>
          <w:rFonts w:hint="eastAsia" w:ascii="仿宋_GB2312" w:hAnsi="楷体_GB2312" w:eastAsia="仿宋_GB2312" w:cs="楷体_GB2312"/>
          <w:color w:val="auto"/>
          <w:sz w:val="30"/>
          <w:szCs w:val="30"/>
        </w:rPr>
        <w:t>（一）项目概况</w:t>
      </w:r>
    </w:p>
    <w:p>
      <w:pPr>
        <w:tabs>
          <w:tab w:val="left" w:pos="4438"/>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 w:val="left" w:pos="9660"/>
        </w:tabs>
        <w:autoSpaceDE w:val="0"/>
        <w:autoSpaceDN w:val="0"/>
        <w:adjustRightInd w:val="0"/>
        <w:ind w:firstLine="720"/>
        <w:rPr>
          <w:rFonts w:ascii="仿宋_GB2312" w:hAnsi="Times New Roman" w:eastAsia="仿宋_GB2312" w:cs="宋体"/>
          <w:color w:val="auto"/>
          <w:kern w:val="0"/>
          <w:sz w:val="30"/>
          <w:szCs w:val="30"/>
          <w:lang w:val="zh-CN"/>
        </w:rPr>
      </w:pPr>
      <w:r>
        <w:rPr>
          <w:rFonts w:hint="eastAsia" w:ascii="仿宋_GB2312" w:eastAsia="仿宋_GB2312" w:cs="仿宋"/>
          <w:color w:val="auto"/>
          <w:kern w:val="0"/>
          <w:sz w:val="30"/>
          <w:szCs w:val="30"/>
          <w:lang w:val="zh-CN"/>
        </w:rPr>
        <w:t>1.普法经费，县(区）级不低于人均0.4元，我区39万人，需15.6万</w:t>
      </w:r>
      <w:r>
        <w:rPr>
          <w:rFonts w:hint="eastAsia" w:ascii="仿宋_GB2312" w:eastAsia="仿宋_GB2312" w:cs="宋体"/>
          <w:color w:val="auto"/>
          <w:kern w:val="0"/>
          <w:sz w:val="30"/>
          <w:szCs w:val="30"/>
          <w:lang w:val="zh-CN"/>
        </w:rPr>
        <w:t>。</w:t>
      </w:r>
      <w:r>
        <w:rPr>
          <w:rFonts w:hint="eastAsia" w:ascii="仿宋_GB2312" w:eastAsia="仿宋_GB2312" w:cs="仿宋"/>
          <w:color w:val="auto"/>
          <w:kern w:val="0"/>
          <w:sz w:val="30"/>
          <w:szCs w:val="30"/>
          <w:lang w:val="zh-CN"/>
        </w:rPr>
        <w:t>财政补贴15.6万元。</w:t>
      </w:r>
      <w:r>
        <w:rPr>
          <w:rFonts w:hint="eastAsia" w:ascii="仿宋_GB2312" w:eastAsia="仿宋_GB2312" w:cs="仿宋"/>
          <w:color w:val="auto"/>
          <w:kern w:val="0"/>
          <w:sz w:val="30"/>
          <w:szCs w:val="30"/>
        </w:rPr>
        <w:t>组织开展“七五”普法规划，落实“谁执法谁普法”责任制，建设完成宪法主题广场，筹办《法治时间》栏目，开展“12.4”等各项主题法治宣传活动，开展普法讲师团巡讲活动，加强基层法治创建活动，提高全区公民法律意识和法律素质，增强法治化管理水平，促进全区民主与法治建设，更好地服务保障</w:t>
      </w:r>
      <w:r>
        <w:rPr>
          <w:rFonts w:hint="eastAsia" w:ascii="仿宋_GB2312" w:hAnsi="Times New Roman" w:eastAsia="仿宋_GB2312" w:cs="Times New Roman"/>
          <w:color w:val="auto"/>
          <w:kern w:val="0"/>
          <w:sz w:val="30"/>
          <w:szCs w:val="30"/>
        </w:rPr>
        <w:t>“</w:t>
      </w:r>
      <w:r>
        <w:rPr>
          <w:rFonts w:hint="eastAsia" w:ascii="仿宋_GB2312" w:hAnsi="Times New Roman" w:eastAsia="仿宋_GB2312" w:cs="仿宋"/>
          <w:color w:val="auto"/>
          <w:kern w:val="0"/>
          <w:sz w:val="30"/>
          <w:szCs w:val="30"/>
        </w:rPr>
        <w:t>法治鹿泉、平安鹿泉</w:t>
      </w:r>
      <w:r>
        <w:rPr>
          <w:rFonts w:hint="eastAsia" w:ascii="仿宋_GB2312" w:hAnsi="Times New Roman" w:eastAsia="仿宋_GB2312" w:cs="Times New Roman"/>
          <w:color w:val="auto"/>
          <w:kern w:val="0"/>
          <w:sz w:val="30"/>
          <w:szCs w:val="30"/>
        </w:rPr>
        <w:t>”</w:t>
      </w:r>
      <w:r>
        <w:rPr>
          <w:rFonts w:hint="eastAsia" w:ascii="仿宋_GB2312" w:hAnsi="Times New Roman" w:eastAsia="仿宋_GB2312" w:cs="仿宋"/>
          <w:color w:val="auto"/>
          <w:kern w:val="0"/>
          <w:sz w:val="30"/>
          <w:szCs w:val="30"/>
        </w:rPr>
        <w:t>建设。</w:t>
      </w:r>
    </w:p>
    <w:p>
      <w:pPr>
        <w:adjustRightInd w:val="0"/>
        <w:snapToGrid w:val="0"/>
        <w:spacing w:line="360" w:lineRule="auto"/>
        <w:ind w:firstLine="450" w:firstLineChars="150"/>
        <w:rPr>
          <w:rFonts w:ascii="仿宋_GB2312" w:eastAsia="仿宋_GB2312"/>
          <w:color w:val="auto"/>
          <w:sz w:val="30"/>
          <w:szCs w:val="30"/>
        </w:rPr>
      </w:pPr>
      <w:r>
        <w:rPr>
          <w:rFonts w:hint="eastAsia" w:ascii="仿宋_GB2312" w:hAnsi="楷体_GB2312" w:eastAsia="仿宋_GB2312" w:cs="楷体_GB2312"/>
          <w:color w:val="auto"/>
          <w:sz w:val="30"/>
          <w:szCs w:val="30"/>
        </w:rPr>
        <w:t>（二）项目预期绩效目标</w:t>
      </w:r>
    </w:p>
    <w:p>
      <w:pPr>
        <w:adjustRightInd w:val="0"/>
        <w:snapToGrid w:val="0"/>
        <w:spacing w:line="360" w:lineRule="auto"/>
        <w:ind w:firstLine="750" w:firstLineChars="250"/>
        <w:rPr>
          <w:rFonts w:ascii="仿宋_GB2312" w:eastAsia="仿宋_GB2312"/>
          <w:color w:val="auto"/>
          <w:sz w:val="30"/>
          <w:szCs w:val="30"/>
        </w:rPr>
      </w:pPr>
      <w:r>
        <w:rPr>
          <w:rFonts w:hint="eastAsia" w:ascii="仿宋_GB2312" w:eastAsia="仿宋_GB2312"/>
          <w:color w:val="auto"/>
          <w:sz w:val="30"/>
          <w:szCs w:val="30"/>
        </w:rPr>
        <w:t>1.财政补贴经费15.6万元。用于：在石柏公园建设完成宪法主题广场，在电视台开办《法治时间》栏目，组织、督导各单位落实“谁执法谁普法”责任制；开展“12·4”国家宪法日宣传活动以及各专项主题宣传活动；编印普法宣传材料20000份。调整普法讲师团成员，组织成员深入到机关、农村、学校开展法治讲座活动，累计培训人员5000余人；组织全区干部法律知识培训、考试工作；编印普法教材、展牌等宣传资料；打造基层法治示范点。提高全区公民法律知晓率。</w:t>
      </w:r>
    </w:p>
    <w:p>
      <w:pPr>
        <w:adjustRightInd w:val="0"/>
        <w:snapToGrid w:val="0"/>
        <w:spacing w:line="360" w:lineRule="auto"/>
        <w:ind w:firstLine="600" w:firstLineChars="200"/>
        <w:rPr>
          <w:rFonts w:ascii="仿宋_GB2312" w:hAnsi="黑体" w:eastAsia="仿宋_GB2312" w:cs="黑体"/>
          <w:b w:val="0"/>
          <w:bCs w:val="0"/>
          <w:color w:val="auto"/>
          <w:sz w:val="30"/>
          <w:szCs w:val="30"/>
        </w:rPr>
      </w:pPr>
      <w:r>
        <w:rPr>
          <w:rFonts w:hint="eastAsia" w:ascii="仿宋_GB2312" w:hAnsi="黑体" w:eastAsia="仿宋_GB2312" w:cs="黑体"/>
          <w:b w:val="0"/>
          <w:bCs w:val="0"/>
          <w:color w:val="auto"/>
          <w:sz w:val="30"/>
          <w:szCs w:val="30"/>
        </w:rPr>
        <w:t>二、绩效评价工作情况</w:t>
      </w:r>
    </w:p>
    <w:p>
      <w:pPr>
        <w:widowControl/>
        <w:shd w:val="clear" w:color="auto" w:fill="FFFFFF"/>
        <w:spacing w:line="480" w:lineRule="auto"/>
        <w:ind w:firstLine="480"/>
        <w:jc w:val="left"/>
        <w:rPr>
          <w:rFonts w:ascii="仿宋_GB2312" w:hAnsi="微软雅黑" w:eastAsia="仿宋_GB2312" w:cs="宋体"/>
          <w:color w:val="auto"/>
          <w:kern w:val="0"/>
          <w:sz w:val="30"/>
          <w:szCs w:val="30"/>
        </w:rPr>
      </w:pPr>
      <w:r>
        <w:rPr>
          <w:rFonts w:hint="eastAsia" w:ascii="仿宋_GB2312" w:hAnsi="微软雅黑" w:eastAsia="仿宋_GB2312" w:cs="宋体"/>
          <w:color w:val="auto"/>
          <w:kern w:val="0"/>
          <w:sz w:val="30"/>
          <w:szCs w:val="30"/>
        </w:rPr>
        <w:t>我局成立了以分管财务的副局长为组长，相关科室负责人为成员的预算绩效评价工作小组，明确熟悉财务工作的同志具体负责绩效评价工作，机关各科室密切配合，提供绩效评价所需要的数据和材料，力争做好2019年预算绩效评价工作。</w:t>
      </w:r>
    </w:p>
    <w:p>
      <w:pPr>
        <w:widowControl/>
        <w:shd w:val="clear" w:color="auto" w:fill="FFFFFF"/>
        <w:spacing w:line="480" w:lineRule="auto"/>
        <w:ind w:firstLine="480"/>
        <w:jc w:val="left"/>
        <w:rPr>
          <w:rFonts w:ascii="仿宋_GB2312" w:hAnsi="微软雅黑" w:eastAsia="仿宋_GB2312" w:cs="宋体"/>
          <w:color w:val="auto"/>
          <w:kern w:val="0"/>
          <w:sz w:val="30"/>
          <w:szCs w:val="30"/>
        </w:rPr>
      </w:pPr>
      <w:r>
        <w:rPr>
          <w:rFonts w:hint="eastAsia" w:ascii="仿宋_GB2312" w:hAnsi="微软雅黑" w:eastAsia="仿宋_GB2312" w:cs="宋体"/>
          <w:color w:val="auto"/>
          <w:kern w:val="0"/>
          <w:sz w:val="30"/>
          <w:szCs w:val="30"/>
        </w:rPr>
        <w:t>2019年，全区司法行政工作深入贯彻党的十九大和十九届二中、三中、四中全会精神,认真贯彻习近平新时代中国特色社会主义思想，全面落实区委区政府和省司法厅工作部署，较好地完成了各项绩效工作任务。</w:t>
      </w:r>
    </w:p>
    <w:p>
      <w:pPr>
        <w:widowControl/>
        <w:shd w:val="clear" w:color="auto" w:fill="FFFFFF"/>
        <w:spacing w:line="480" w:lineRule="auto"/>
        <w:ind w:firstLine="983" w:firstLineChars="328"/>
        <w:jc w:val="left"/>
        <w:rPr>
          <w:rFonts w:ascii="仿宋_GB2312" w:eastAsia="仿宋_GB2312"/>
          <w:color w:val="auto"/>
          <w:sz w:val="30"/>
          <w:szCs w:val="30"/>
        </w:rPr>
      </w:pPr>
      <w:r>
        <w:rPr>
          <w:rFonts w:hint="eastAsia" w:ascii="仿宋_GB2312" w:hAnsi="微软雅黑" w:eastAsia="仿宋_GB2312" w:cs="宋体"/>
          <w:color w:val="auto"/>
          <w:kern w:val="0"/>
          <w:sz w:val="30"/>
          <w:szCs w:val="30"/>
        </w:rPr>
        <w:t>法治宣传教育全覆盖</w:t>
      </w:r>
      <w:r>
        <w:rPr>
          <w:rFonts w:hint="eastAsia" w:ascii="仿宋_GB2312" w:hAnsi="微软雅黑" w:eastAsia="仿宋_GB2312" w:cs="宋体"/>
          <w:color w:val="auto"/>
          <w:kern w:val="0"/>
          <w:sz w:val="30"/>
          <w:szCs w:val="30"/>
          <w:lang w:eastAsia="zh-CN"/>
        </w:rPr>
        <w:t>，</w:t>
      </w:r>
      <w:r>
        <w:rPr>
          <w:rFonts w:hint="eastAsia" w:ascii="仿宋_GB2312" w:hAnsi="微软雅黑" w:eastAsia="仿宋_GB2312" w:cs="宋体"/>
          <w:color w:val="auto"/>
          <w:kern w:val="0"/>
          <w:sz w:val="30"/>
          <w:szCs w:val="30"/>
        </w:rPr>
        <w:t>“精心”提档升级，开创法治宣传新篇章。2019年我区法治宣传工作坚持以建设“法治鹿泉、和谐鹿泉”为目标，发挥法治宣传教育服务保障引领作用，建设社会主义法治文化，积极开展丰富多彩的法治宣传主题活动。一是加强法治文化阵地建设。在城区内建设完成宪法主题广场，让人民群众在家门口接受法律熏陶，在休闲中感受法律、学习法律。二是多举措加强领导干部学法用法。在河北省干部网络学院开通宪法法律专题网班，调整充实普法讲师团队伍，实现精准普法供给。组织全区35名县处级领导和3600余名干部参加宪法法律知识考试。三是筹办鹿泉《法治时间》栏目。栏目设法治快递、法治资讯、以案释法、直击现场4个版块，已播出7期。四是组织督促各单位落实“谁执法谁普法”的普法责任制。与税务局联合在土门关驿道小镇打造建成全省首个景区税收法治宣传示范基地。五是组织开展“12·4”国家宪法日大型宣传活动。举行宪法法律集中宣传活动启动仪式，区长李为军作致辞。举办“法润鹿泉 宪法先行”专场法治文艺汇演。34家“谁执法谁普法”责任单位开展集中宣传活动。运用短信平台向市民推送10万条国家宪法日主题短信。六是圆满完成全国、全省民主法治示范村复核，迎接石家庄普法效果第三方评估等工作。</w:t>
      </w:r>
    </w:p>
    <w:p>
      <w:pPr>
        <w:ind w:firstLine="600" w:firstLineChars="200"/>
        <w:rPr>
          <w:rFonts w:ascii="仿宋_GB2312" w:hAnsi="楷体_GB2312" w:eastAsia="仿宋_GB2312" w:cs="楷体_GB2312"/>
          <w:color w:val="auto"/>
          <w:sz w:val="30"/>
          <w:szCs w:val="30"/>
        </w:rPr>
      </w:pPr>
      <w:r>
        <w:rPr>
          <w:rFonts w:hint="eastAsia" w:ascii="仿宋_GB2312" w:hAnsi="黑体" w:eastAsia="仿宋_GB2312" w:cs="黑体"/>
          <w:color w:val="auto"/>
          <w:sz w:val="30"/>
          <w:szCs w:val="30"/>
        </w:rPr>
        <w:t>三、项目执行及绩效实现情况</w:t>
      </w:r>
    </w:p>
    <w:p>
      <w:pPr>
        <w:pStyle w:val="4"/>
        <w:spacing w:before="0" w:beforeAutospacing="0" w:after="0" w:afterAutospacing="0" w:line="450" w:lineRule="atLeast"/>
        <w:ind w:firstLine="495"/>
        <w:rPr>
          <w:rFonts w:ascii="仿宋_GB2312" w:eastAsia="仿宋_GB2312"/>
          <w:color w:val="auto"/>
          <w:sz w:val="30"/>
          <w:szCs w:val="30"/>
        </w:rPr>
      </w:pPr>
      <w:r>
        <w:rPr>
          <w:rFonts w:hint="eastAsia" w:ascii="仿宋_GB2312" w:eastAsia="仿宋_GB2312"/>
          <w:color w:val="auto"/>
          <w:sz w:val="30"/>
          <w:szCs w:val="30"/>
          <w:shd w:val="clear" w:color="auto" w:fill="FFFFFF"/>
        </w:rPr>
        <w:t>项目实施后，经费到位及时，经费支出合理合规，各个项目结案率80%，受援对象满意度100%，实现了预定的绩效目标。项目设立依据充分，并且目标明确，符合中央有关加强绩效工作的要求，在推进依法治区进程、维护社会和谐稳定中发挥了重要作用。</w:t>
      </w:r>
    </w:p>
    <w:p>
      <w:pPr>
        <w:pStyle w:val="4"/>
        <w:spacing w:before="0" w:beforeAutospacing="0" w:after="0" w:afterAutospacing="0" w:line="450" w:lineRule="atLeast"/>
        <w:ind w:firstLine="495"/>
        <w:rPr>
          <w:rFonts w:ascii="仿宋_GB2312" w:eastAsia="仿宋_GB2312"/>
          <w:color w:val="auto"/>
          <w:sz w:val="30"/>
          <w:szCs w:val="30"/>
        </w:rPr>
      </w:pPr>
      <w:r>
        <w:rPr>
          <w:rFonts w:hint="eastAsia" w:ascii="仿宋_GB2312" w:eastAsia="仿宋_GB2312"/>
          <w:color w:val="auto"/>
          <w:sz w:val="30"/>
          <w:szCs w:val="30"/>
        </w:rPr>
        <w:t>财务管理。经费</w:t>
      </w:r>
      <w:r>
        <w:rPr>
          <w:rFonts w:hint="eastAsia" w:ascii="仿宋_GB2312" w:eastAsia="仿宋_GB2312"/>
          <w:color w:val="auto"/>
          <w:sz w:val="30"/>
          <w:szCs w:val="30"/>
          <w:shd w:val="clear" w:color="auto" w:fill="FFFFFF"/>
        </w:rPr>
        <w:t>项目下达后严格会计核算，确保专款专用，实行专账核算；加强财务管理，除国家规定可以用现金支付的外，其余一律都要通过银行进行</w:t>
      </w:r>
      <w:r>
        <w:rPr>
          <w:rFonts w:hint="eastAsia" w:ascii="仿宋_GB2312" w:eastAsia="仿宋_GB2312"/>
          <w:color w:val="auto"/>
          <w:sz w:val="30"/>
          <w:szCs w:val="30"/>
          <w:shd w:val="clear" w:color="auto" w:fill="FFFFFF"/>
          <w:lang w:eastAsia="zh-CN"/>
        </w:rPr>
        <w:t>转账</w:t>
      </w:r>
      <w:r>
        <w:rPr>
          <w:rFonts w:hint="eastAsia" w:ascii="仿宋_GB2312" w:eastAsia="仿宋_GB2312"/>
          <w:color w:val="auto"/>
          <w:sz w:val="30"/>
          <w:szCs w:val="30"/>
          <w:shd w:val="clear" w:color="auto" w:fill="FFFFFF"/>
        </w:rPr>
        <w:t>结算；在资金使用过程中，严把监督审核关，建立健全内部审核制度，坚持经手、复核、领导审签后财务划款原则。</w:t>
      </w:r>
    </w:p>
    <w:p>
      <w:pPr>
        <w:rPr>
          <w:rFonts w:ascii="仿宋_GB2312" w:hAnsi="楷体_GB2312" w:eastAsia="仿宋_GB2312" w:cs="楷体_GB2312"/>
          <w:color w:val="auto"/>
          <w:sz w:val="30"/>
          <w:szCs w:val="30"/>
        </w:rPr>
      </w:pPr>
      <w:r>
        <w:rPr>
          <w:rFonts w:hint="eastAsia" w:ascii="仿宋_GB2312" w:hAnsi="楷体_GB2312" w:eastAsia="仿宋_GB2312" w:cs="楷体_GB2312"/>
          <w:color w:val="auto"/>
          <w:sz w:val="30"/>
          <w:szCs w:val="30"/>
        </w:rPr>
        <w:t>（三）项目效果</w:t>
      </w:r>
    </w:p>
    <w:p>
      <w:pPr>
        <w:adjustRightInd w:val="0"/>
        <w:spacing w:line="360" w:lineRule="auto"/>
        <w:ind w:firstLine="600" w:firstLineChars="200"/>
        <w:rPr>
          <w:rFonts w:ascii="仿宋_GB2312" w:eastAsia="仿宋_GB2312"/>
          <w:color w:val="auto"/>
          <w:sz w:val="30"/>
          <w:szCs w:val="30"/>
        </w:rPr>
      </w:pPr>
      <w:r>
        <w:rPr>
          <w:rFonts w:hint="eastAsia" w:ascii="仿宋_GB2312" w:eastAsia="仿宋_GB2312" w:cs="仿宋"/>
          <w:color w:val="auto"/>
          <w:kern w:val="0"/>
          <w:sz w:val="30"/>
          <w:szCs w:val="30"/>
        </w:rPr>
        <w:t>据2019年《工作计划》结合我区实际，统筹推进我区法治宣传育民工程，法律服务利民工程，法律援助济民工程、人民调解和民生工程，特殊人群安民工程的深度和广度，不断增强公共法律服务的标准化、精确化、便捷化，更好地服务保障</w:t>
      </w:r>
      <w:r>
        <w:rPr>
          <w:rFonts w:hint="eastAsia" w:ascii="仿宋_GB2312" w:hAnsi="Times New Roman" w:eastAsia="仿宋_GB2312" w:cs="Times New Roman"/>
          <w:color w:val="auto"/>
          <w:kern w:val="0"/>
          <w:sz w:val="30"/>
          <w:szCs w:val="30"/>
        </w:rPr>
        <w:t>“</w:t>
      </w:r>
      <w:r>
        <w:rPr>
          <w:rFonts w:hint="eastAsia" w:ascii="仿宋_GB2312" w:hAnsi="Times New Roman" w:eastAsia="仿宋_GB2312" w:cs="仿宋"/>
          <w:color w:val="auto"/>
          <w:kern w:val="0"/>
          <w:sz w:val="30"/>
          <w:szCs w:val="30"/>
        </w:rPr>
        <w:t>法治鹿泉、平安鹿泉</w:t>
      </w:r>
      <w:r>
        <w:rPr>
          <w:rFonts w:hint="eastAsia" w:ascii="仿宋_GB2312" w:hAnsi="Times New Roman" w:eastAsia="仿宋_GB2312" w:cs="Times New Roman"/>
          <w:color w:val="auto"/>
          <w:kern w:val="0"/>
          <w:sz w:val="30"/>
          <w:szCs w:val="30"/>
        </w:rPr>
        <w:t>”</w:t>
      </w:r>
      <w:r>
        <w:rPr>
          <w:rFonts w:hint="eastAsia" w:ascii="仿宋_GB2312" w:hAnsi="Times New Roman" w:eastAsia="仿宋_GB2312" w:cs="仿宋"/>
          <w:color w:val="auto"/>
          <w:kern w:val="0"/>
          <w:sz w:val="30"/>
          <w:szCs w:val="30"/>
        </w:rPr>
        <w:t>建设。</w:t>
      </w:r>
    </w:p>
    <w:p>
      <w:pPr>
        <w:ind w:firstLine="600" w:firstLineChars="200"/>
        <w:rPr>
          <w:rFonts w:ascii="仿宋_GB2312" w:eastAsia="仿宋_GB2312"/>
          <w:color w:val="auto"/>
          <w:sz w:val="30"/>
          <w:szCs w:val="30"/>
        </w:rPr>
      </w:pPr>
      <w:r>
        <w:rPr>
          <w:rFonts w:hint="eastAsia" w:ascii="仿宋_GB2312" w:hAnsi="黑体" w:eastAsia="仿宋_GB2312"/>
          <w:color w:val="auto"/>
          <w:sz w:val="30"/>
          <w:szCs w:val="30"/>
          <w:lang w:eastAsia="zh-CN"/>
        </w:rPr>
        <w:t>四</w:t>
      </w:r>
      <w:r>
        <w:rPr>
          <w:rFonts w:hint="eastAsia" w:ascii="仿宋_GB2312" w:hAnsi="黑体" w:eastAsia="仿宋_GB2312"/>
          <w:color w:val="auto"/>
          <w:sz w:val="30"/>
          <w:szCs w:val="30"/>
        </w:rPr>
        <w:t>、存在的问题及改进措施</w:t>
      </w:r>
    </w:p>
    <w:p>
      <w:pPr>
        <w:spacing w:line="580" w:lineRule="exact"/>
        <w:ind w:firstLine="640" w:firstLineChars="200"/>
        <w:contextualSpacing/>
        <w:rPr>
          <w:rFonts w:hint="eastAsia" w:ascii="仿宋_GB2312" w:hAnsi="仿宋" w:eastAsia="仿宋_GB2312" w:cs="Times New Roman"/>
          <w:color w:val="auto"/>
          <w:sz w:val="32"/>
          <w:szCs w:val="32"/>
          <w:shd w:val="clear" w:color="auto" w:fill="auto"/>
        </w:rPr>
      </w:pPr>
      <w:r>
        <w:rPr>
          <w:rFonts w:hint="eastAsia" w:ascii="仿宋_GB2312" w:hAnsi="仿宋" w:eastAsia="仿宋_GB2312" w:cs="Times New Roman"/>
          <w:color w:val="auto"/>
          <w:sz w:val="32"/>
          <w:szCs w:val="32"/>
          <w:shd w:val="clear" w:color="auto" w:fill="auto"/>
        </w:rPr>
        <w:t>问题：虽然我区法治宣传工作取得了一定的成绩，但依然存在不可忽视的问题。主要是：个别乡镇和部门对</w:t>
      </w:r>
      <w:bookmarkStart w:id="0" w:name="_GoBack"/>
      <w:bookmarkEnd w:id="0"/>
      <w:r>
        <w:rPr>
          <w:rFonts w:hint="eastAsia" w:ascii="仿宋_GB2312" w:hAnsi="仿宋" w:eastAsia="仿宋_GB2312" w:cs="Times New Roman"/>
          <w:color w:val="auto"/>
          <w:sz w:val="32"/>
          <w:szCs w:val="32"/>
          <w:shd w:val="clear" w:color="auto" w:fill="auto"/>
        </w:rPr>
        <w:t>法治宣传教育重要性认识不到位，带头学法用法、依法办事的示范作用发挥不够；“谁执法谁普法”工作资源整合度不够；法治宣传创新形式和载体、提高宣传实效上仍大有文章可做。</w:t>
      </w:r>
    </w:p>
    <w:p>
      <w:pPr>
        <w:spacing w:line="580" w:lineRule="exact"/>
        <w:ind w:firstLine="640" w:firstLineChars="200"/>
        <w:contextualSpacing/>
        <w:rPr>
          <w:rFonts w:hint="eastAsia" w:ascii="仿宋_GB2312" w:hAnsi="仿宋" w:eastAsia="仿宋_GB2312" w:cs="Times New Roman"/>
          <w:color w:val="auto"/>
          <w:sz w:val="32"/>
          <w:szCs w:val="32"/>
          <w:shd w:val="clear" w:color="auto" w:fill="auto"/>
        </w:rPr>
      </w:pPr>
      <w:r>
        <w:rPr>
          <w:rFonts w:hint="eastAsia" w:ascii="仿宋_GB2312" w:hAnsi="仿宋" w:eastAsia="仿宋_GB2312" w:cs="Times New Roman"/>
          <w:color w:val="auto"/>
          <w:sz w:val="32"/>
          <w:szCs w:val="32"/>
          <w:shd w:val="clear" w:color="auto" w:fill="auto"/>
        </w:rPr>
        <w:t>建议：根据实际情况，逐年增加相关工作经费，充分发挥法治宣传教育服务保障引领作用，创新法治宣传形式和载体，推进法治文化阵地建设，加强宣传力度，组织人员培训，提高各单位参加法治宣传活动的紧迫感和责任感。</w:t>
      </w:r>
    </w:p>
    <w:p>
      <w:pPr>
        <w:rPr>
          <w:rFonts w:ascii="仿宋_GB2312" w:hAnsi="仿宋" w:eastAsia="仿宋_GB2312" w:cs="Times New Roman"/>
          <w:color w:val="auto"/>
          <w:sz w:val="32"/>
          <w:szCs w:val="32"/>
          <w:shd w:val="clear" w:color="auto" w:fill="auto"/>
        </w:rPr>
      </w:pPr>
    </w:p>
    <w:p>
      <w:pPr>
        <w:rPr>
          <w:rFonts w:ascii="仿宋_GB2312" w:eastAsia="仿宋_GB2312"/>
          <w:color w:val="auto"/>
          <w:sz w:val="30"/>
          <w:szCs w:val="30"/>
          <w:shd w:val="clear" w:color="auto" w:fill="auto"/>
        </w:rPr>
      </w:pPr>
    </w:p>
    <w:p>
      <w:pPr>
        <w:rPr>
          <w:color w:val="auto"/>
          <w:shd w:val="clear" w:color="auto" w:fill="auto"/>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22E18"/>
    <w:rsid w:val="00045879"/>
    <w:rsid w:val="00104508"/>
    <w:rsid w:val="001115C7"/>
    <w:rsid w:val="00160DAD"/>
    <w:rsid w:val="001A309B"/>
    <w:rsid w:val="001C5401"/>
    <w:rsid w:val="00276B08"/>
    <w:rsid w:val="00292992"/>
    <w:rsid w:val="003578CF"/>
    <w:rsid w:val="00372CB4"/>
    <w:rsid w:val="003743D4"/>
    <w:rsid w:val="00380CBD"/>
    <w:rsid w:val="003B1B23"/>
    <w:rsid w:val="003E0598"/>
    <w:rsid w:val="00417441"/>
    <w:rsid w:val="00436284"/>
    <w:rsid w:val="004A1308"/>
    <w:rsid w:val="00574162"/>
    <w:rsid w:val="005858E8"/>
    <w:rsid w:val="005F13D4"/>
    <w:rsid w:val="00637A5D"/>
    <w:rsid w:val="008159B6"/>
    <w:rsid w:val="008609A7"/>
    <w:rsid w:val="00867C65"/>
    <w:rsid w:val="00934BE2"/>
    <w:rsid w:val="009552E5"/>
    <w:rsid w:val="00991C04"/>
    <w:rsid w:val="009A4B55"/>
    <w:rsid w:val="009E3003"/>
    <w:rsid w:val="009F03D5"/>
    <w:rsid w:val="00A003B8"/>
    <w:rsid w:val="00A077F3"/>
    <w:rsid w:val="00A74571"/>
    <w:rsid w:val="00A76183"/>
    <w:rsid w:val="00AE2C2B"/>
    <w:rsid w:val="00AF2AC5"/>
    <w:rsid w:val="00C12B29"/>
    <w:rsid w:val="00C303FD"/>
    <w:rsid w:val="00C61E3F"/>
    <w:rsid w:val="00C71C33"/>
    <w:rsid w:val="00C732FD"/>
    <w:rsid w:val="00C77BB7"/>
    <w:rsid w:val="00CB3A14"/>
    <w:rsid w:val="00CC44AE"/>
    <w:rsid w:val="00CC58F6"/>
    <w:rsid w:val="00CD77C4"/>
    <w:rsid w:val="00D33831"/>
    <w:rsid w:val="00DD69B8"/>
    <w:rsid w:val="00EB3197"/>
    <w:rsid w:val="00EB7061"/>
    <w:rsid w:val="00EF4E2A"/>
    <w:rsid w:val="00F26A0B"/>
    <w:rsid w:val="00FB7BC5"/>
    <w:rsid w:val="00FE1057"/>
    <w:rsid w:val="03B73BE0"/>
    <w:rsid w:val="1C2B31E5"/>
    <w:rsid w:val="25B005DA"/>
    <w:rsid w:val="2A2941B7"/>
    <w:rsid w:val="2E05712A"/>
    <w:rsid w:val="313F08BC"/>
    <w:rsid w:val="3BD411D7"/>
    <w:rsid w:val="5EFA0D10"/>
    <w:rsid w:val="7DD25F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7">
    <w:name w:val="Strong"/>
    <w:qFormat/>
    <w:uiPriority w:val="0"/>
    <w:rPr>
      <w:b/>
      <w:bCs/>
    </w:rPr>
  </w:style>
  <w:style w:type="character" w:styleId="8">
    <w:name w:val="page number"/>
    <w:basedOn w:val="6"/>
    <w:qFormat/>
    <w:uiPriority w:val="0"/>
  </w:style>
  <w:style w:type="paragraph" w:customStyle="1" w:styleId="9">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236E3D-C35E-4A2F-8A9E-B6AF77198BAD}">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20</Pages>
  <Words>1452</Words>
  <Characters>8279</Characters>
  <Lines>68</Lines>
  <Paragraphs>19</Paragraphs>
  <TotalTime>10</TotalTime>
  <ScaleCrop>false</ScaleCrop>
  <LinksUpToDate>false</LinksUpToDate>
  <CharactersWithSpaces>9712</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2020-01-03T00:32:00Z</dcterms:created>
  <dc:creator>838</dc:creator>
  <cp:lastModifiedBy>Administrator</cp:lastModifiedBy>
  <cp:lastPrinted>2020-01-07T06:52:00Z</cp:lastPrinted>
  <dcterms:modified xsi:type="dcterms:W3CDTF">2025-05-30T02:53:37Z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