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eastAsia="zh-CN"/>
        </w:rPr>
        <w:t>石家庄市鹿泉区文学艺术界联合会</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区文联</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石家庄市鹿泉区文学艺术界联合会是鹿泉区委区政府领导下的群团组织，</w:t>
      </w:r>
      <w:r>
        <w:rPr>
          <w:rFonts w:hint="eastAsia" w:ascii="仿宋" w:hAnsi="仿宋" w:eastAsia="仿宋"/>
          <w:sz w:val="32"/>
          <w:szCs w:val="32"/>
        </w:rPr>
        <w:t>是党和政府联系文艺界的桥梁和纽带，是繁荣发展社会主义文艺事业、建设社会主义先进文化的重要力量。</w:t>
      </w:r>
      <w:r>
        <w:rPr>
          <w:rFonts w:hint="eastAsia" w:ascii="仿宋" w:hAnsi="仿宋" w:eastAsia="仿宋"/>
          <w:sz w:val="32"/>
          <w:szCs w:val="32"/>
          <w:lang w:val="en-US" w:eastAsia="zh-CN"/>
        </w:rPr>
        <w:t>其主要职责为：</w:t>
      </w:r>
    </w:p>
    <w:p>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eastAsia" w:ascii="仿宋_GB2312" w:eastAsia="仿宋_GB2312" w:cs="仿宋_GB2312"/>
          <w:kern w:val="0"/>
          <w:sz w:val="32"/>
          <w:szCs w:val="32"/>
        </w:rPr>
      </w:pPr>
      <w:r>
        <w:rPr>
          <w:rFonts w:hint="eastAsia" w:ascii="仿宋" w:hAnsi="仿宋" w:eastAsia="仿宋"/>
          <w:sz w:val="32"/>
          <w:szCs w:val="32"/>
          <w:lang w:val="en-US" w:eastAsia="zh-CN"/>
        </w:rPr>
        <w:t>1、</w:t>
      </w:r>
      <w:r>
        <w:rPr>
          <w:rFonts w:hint="eastAsia" w:ascii="仿宋" w:hAnsi="仿宋" w:eastAsia="仿宋"/>
          <w:sz w:val="32"/>
          <w:szCs w:val="32"/>
        </w:rPr>
        <w:t>坚持和加强党的全面领导，贯彻落实党对文艺工作的方针政策和决策部署，对各团体</w:t>
      </w:r>
      <w:r>
        <w:rPr>
          <w:rFonts w:hint="eastAsia" w:ascii="仿宋_GB2312" w:eastAsia="仿宋_GB2312" w:cs="仿宋_GB2312"/>
          <w:kern w:val="0"/>
          <w:sz w:val="32"/>
          <w:szCs w:val="32"/>
        </w:rPr>
        <w:t>会员、文艺工作者及新文艺组织、新文艺群体开展团结引导、联络协调、服务管理、自律维权工作。团结广大文艺工作者，反映和听取文艺界的情况和意见，引导广大文艺工作者听党话跟党走。</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组织召开全区文联代表大会，全委会和主席团会议；组织召开全区文艺家协会代表大会、理事会、主席团会议以及全区文联系统工作会议。</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组织开展采风创作、文艺志愿服务、主题文艺活动、展演展示展播等文艺实践活动。组织开展文艺人才教育培训、培养举荐、创作扶持等工作。</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协同有关部门组织文艺活动的重大评奖活动。组织开展文艺评论、文艺理论研究、学术交流研讨等活动。</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5、</w:t>
      </w:r>
      <w:r>
        <w:rPr>
          <w:rFonts w:hint="eastAsia" w:ascii="仿宋_GB2312" w:eastAsia="仿宋_GB2312" w:cs="仿宋_GB2312"/>
          <w:kern w:val="0"/>
          <w:sz w:val="32"/>
          <w:szCs w:val="32"/>
        </w:rPr>
        <w:t>依法开展文艺领域行业教育、行业自律、行业服务和行业管理工作，开展行风建设和职业道德建设。</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6、</w:t>
      </w:r>
      <w:r>
        <w:rPr>
          <w:rFonts w:hint="eastAsia" w:ascii="仿宋_GB2312" w:eastAsia="仿宋_GB2312" w:cs="仿宋_GB2312"/>
          <w:kern w:val="0"/>
          <w:sz w:val="32"/>
          <w:szCs w:val="32"/>
        </w:rPr>
        <w:t>服务区委、区政府工作大局，传播中华优秀传统文化，组织开展文化交流合作。</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7、</w:t>
      </w:r>
      <w:r>
        <w:rPr>
          <w:rFonts w:hint="eastAsia" w:ascii="仿宋_GB2312" w:eastAsia="仿宋_GB2312" w:cs="仿宋_GB2312"/>
          <w:kern w:val="0"/>
          <w:sz w:val="32"/>
          <w:szCs w:val="32"/>
        </w:rPr>
        <w:t>组织开展文艺领域侵权纠纷调解、权益保护协调合作、诉求表达处理、法律志愿服务等维权服务工作，维护文艺工作者合法权益。</w:t>
      </w:r>
    </w:p>
    <w:p>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8、</w:t>
      </w:r>
      <w:r>
        <w:rPr>
          <w:rFonts w:hint="eastAsia" w:ascii="仿宋_GB2312" w:eastAsia="仿宋_GB2312" w:cs="仿宋_GB2312"/>
          <w:kern w:val="0"/>
          <w:sz w:val="32"/>
          <w:szCs w:val="32"/>
        </w:rPr>
        <w:t>引导网络文艺创作生产，促进传统文艺和网络文艺融合发展。</w:t>
      </w:r>
    </w:p>
    <w:p>
      <w:pPr>
        <w:adjustRightInd w:val="0"/>
        <w:snapToGrid w:val="0"/>
        <w:spacing w:line="56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9、</w:t>
      </w:r>
      <w:r>
        <w:rPr>
          <w:rFonts w:hint="eastAsia" w:ascii="仿宋_GB2312" w:eastAsia="仿宋_GB2312" w:cs="仿宋_GB2312"/>
          <w:kern w:val="0"/>
          <w:sz w:val="32"/>
          <w:szCs w:val="32"/>
        </w:rPr>
        <w:t>联络、协调、服务和指导各文艺家协会，对区文联业务主管的社会组织进行日常联系和监督管理，依法依章程指导基层文联工作。编辑出版有关文艺刊物和文艺书籍。</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eastAsia="仿宋_GB2312"/>
          <w:color w:val="auto"/>
          <w:sz w:val="32"/>
          <w:szCs w:val="32"/>
          <w:highlight w:val="none"/>
          <w:lang w:val="en-US" w:eastAsia="zh-CN"/>
        </w:rPr>
        <w:t>2024</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收入</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298.67</w:t>
      </w:r>
      <w:r>
        <w:rPr>
          <w:rFonts w:hint="eastAsia" w:ascii="仿宋_GB2312" w:hAnsi="Times New Roman" w:eastAsia="仿宋_GB2312" w:cs="仿宋_GB2312"/>
          <w:sz w:val="32"/>
          <w:szCs w:val="32"/>
          <w:highlight w:val="none"/>
        </w:rPr>
        <w:t>万元，其中：一般公共预算拨款收入</w:t>
      </w:r>
      <w:r>
        <w:rPr>
          <w:rFonts w:hint="eastAsia" w:ascii="仿宋_GB2312" w:hAnsi="仿宋" w:eastAsia="仿宋_GB2312"/>
          <w:sz w:val="32"/>
          <w:szCs w:val="32"/>
          <w:highlight w:val="none"/>
          <w:lang w:val="en-US" w:eastAsia="zh-CN"/>
        </w:rPr>
        <w:t>298.67</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rPr>
        <w:t>基金预算收入0万元，财政专户核拨收入0万元，其他来源收入0万元。</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highlight w:val="none"/>
        </w:rPr>
      </w:pPr>
      <w:r>
        <w:rPr>
          <w:rFonts w:hint="eastAsia" w:ascii="仿宋_GB2312" w:eastAsia="仿宋_GB2312"/>
          <w:color w:val="auto"/>
          <w:sz w:val="32"/>
          <w:szCs w:val="32"/>
          <w:highlight w:val="none"/>
          <w:lang w:val="en-US" w:eastAsia="zh-CN"/>
        </w:rPr>
        <w:t>2024</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支出</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298.67</w:t>
      </w:r>
      <w:r>
        <w:rPr>
          <w:rFonts w:hint="eastAsia" w:ascii="仿宋_GB2312" w:hAnsi="Times New Roman" w:eastAsia="仿宋_GB2312" w:cs="仿宋_GB2312"/>
          <w:sz w:val="32"/>
          <w:szCs w:val="32"/>
          <w:highlight w:val="none"/>
        </w:rPr>
        <w:t>万元，其中基本支出</w:t>
      </w:r>
      <w:r>
        <w:rPr>
          <w:rFonts w:hint="eastAsia" w:ascii="仿宋" w:hAnsi="仿宋" w:eastAsia="仿宋"/>
          <w:sz w:val="32"/>
          <w:szCs w:val="32"/>
          <w:highlight w:val="none"/>
          <w:lang w:val="en-US" w:eastAsia="zh-CN"/>
        </w:rPr>
        <w:t>182.67</w:t>
      </w:r>
      <w:r>
        <w:rPr>
          <w:rFonts w:hint="eastAsia" w:ascii="仿宋_GB2312" w:hAnsi="Times New Roman" w:eastAsia="仿宋_GB2312" w:cs="仿宋_GB2312"/>
          <w:sz w:val="32"/>
          <w:szCs w:val="32"/>
          <w:highlight w:val="none"/>
        </w:rPr>
        <w:t>万元，包括人员经费</w:t>
      </w:r>
      <w:r>
        <w:rPr>
          <w:rFonts w:hint="eastAsia" w:ascii="仿宋" w:hAnsi="仿宋" w:eastAsia="仿宋"/>
          <w:sz w:val="32"/>
          <w:szCs w:val="32"/>
          <w:highlight w:val="none"/>
          <w:lang w:val="en-US" w:eastAsia="zh-CN"/>
        </w:rPr>
        <w:t>155.81</w:t>
      </w:r>
      <w:r>
        <w:rPr>
          <w:rFonts w:hint="eastAsia" w:ascii="仿宋_GB2312" w:hAnsi="Times New Roman" w:eastAsia="仿宋_GB2312" w:cs="仿宋_GB2312"/>
          <w:sz w:val="32"/>
          <w:szCs w:val="32"/>
          <w:highlight w:val="none"/>
        </w:rPr>
        <w:t>万元和公用经费</w:t>
      </w:r>
      <w:r>
        <w:rPr>
          <w:rFonts w:hint="eastAsia" w:ascii="仿宋" w:hAnsi="仿宋" w:eastAsia="仿宋" w:cs="Times New Roman"/>
          <w:sz w:val="32"/>
          <w:szCs w:val="32"/>
          <w:highlight w:val="none"/>
          <w:lang w:val="en-US" w:eastAsia="zh-CN"/>
        </w:rPr>
        <w:t>26.87</w:t>
      </w:r>
      <w:r>
        <w:rPr>
          <w:rFonts w:hint="eastAsia" w:ascii="仿宋_GB2312" w:hAnsi="Times New Roman" w:eastAsia="仿宋_GB2312" w:cs="仿宋_GB2312"/>
          <w:sz w:val="32"/>
          <w:szCs w:val="32"/>
          <w:highlight w:val="none"/>
        </w:rPr>
        <w:t>万元；项目支出</w:t>
      </w:r>
      <w:r>
        <w:rPr>
          <w:rFonts w:hint="eastAsia" w:ascii="仿宋_GB2312" w:hAnsi="Times New Roman" w:eastAsia="仿宋_GB2312" w:cs="仿宋_GB2312"/>
          <w:sz w:val="32"/>
          <w:szCs w:val="32"/>
          <w:highlight w:val="none"/>
          <w:lang w:val="en-US" w:eastAsia="zh-CN"/>
        </w:rPr>
        <w:t>116</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。其他支出</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eastAsia="仿宋_GB2312"/>
          <w:color w:val="auto"/>
          <w:sz w:val="32"/>
          <w:szCs w:val="32"/>
          <w:highlight w:val="none"/>
          <w:lang w:val="en-US" w:eastAsia="zh-CN"/>
        </w:rPr>
        <w:t>2024</w:t>
      </w:r>
      <w:r>
        <w:rPr>
          <w:rFonts w:hint="eastAsia" w:ascii="仿宋_GB2312" w:eastAsia="仿宋_GB2312"/>
          <w:color w:val="auto"/>
          <w:sz w:val="32"/>
          <w:szCs w:val="32"/>
          <w:highlight w:val="none"/>
        </w:rPr>
        <w:t>年部门</w:t>
      </w:r>
      <w:r>
        <w:rPr>
          <w:rFonts w:hint="eastAsia" w:ascii="仿宋_GB2312" w:eastAsia="仿宋_GB2312"/>
          <w:color w:val="auto"/>
          <w:sz w:val="32"/>
          <w:szCs w:val="32"/>
          <w:highlight w:val="none"/>
          <w:lang w:val="en-US" w:eastAsia="zh-CN"/>
        </w:rPr>
        <w:t>收入决算为213.89万元，其中</w:t>
      </w:r>
      <w:r>
        <w:rPr>
          <w:rFonts w:hint="eastAsia" w:ascii="仿宋_GB2312" w:hAnsi="Times New Roman" w:eastAsia="仿宋_GB2312" w:cs="仿宋_GB2312"/>
          <w:sz w:val="32"/>
          <w:szCs w:val="32"/>
          <w:highlight w:val="none"/>
        </w:rPr>
        <w:t>：一般公共预算拨款收入</w:t>
      </w:r>
      <w:r>
        <w:rPr>
          <w:rFonts w:hint="eastAsia" w:ascii="仿宋_GB2312" w:hAnsi="仿宋" w:eastAsia="仿宋_GB2312"/>
          <w:sz w:val="32"/>
          <w:szCs w:val="32"/>
          <w:highlight w:val="none"/>
          <w:lang w:val="en-US" w:eastAsia="zh-CN"/>
        </w:rPr>
        <w:t>213.89</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rPr>
        <w:t>基金预算收入0万元，财政专户核拨收入0万元，其他来源收入0万元。</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highlight w:val="none"/>
        </w:rPr>
      </w:pPr>
      <w:r>
        <w:rPr>
          <w:rFonts w:hint="eastAsia" w:ascii="仿宋_GB2312" w:eastAsia="仿宋_GB2312"/>
          <w:color w:val="auto"/>
          <w:sz w:val="32"/>
          <w:szCs w:val="32"/>
          <w:highlight w:val="none"/>
          <w:lang w:val="en-US" w:eastAsia="zh-CN"/>
        </w:rPr>
        <w:t>2024</w:t>
      </w:r>
      <w:r>
        <w:rPr>
          <w:rFonts w:hint="eastAsia" w:ascii="仿宋_GB2312" w:eastAsia="仿宋_GB2312"/>
          <w:color w:val="auto"/>
          <w:sz w:val="32"/>
          <w:szCs w:val="32"/>
          <w:highlight w:val="none"/>
        </w:rPr>
        <w:t>年部门</w:t>
      </w:r>
      <w:r>
        <w:rPr>
          <w:rFonts w:hint="eastAsia" w:ascii="仿宋_GB2312" w:eastAsia="仿宋_GB2312"/>
          <w:color w:val="auto"/>
          <w:sz w:val="32"/>
          <w:szCs w:val="32"/>
          <w:highlight w:val="none"/>
          <w:lang w:val="en-US" w:eastAsia="zh-CN"/>
        </w:rPr>
        <w:t>支出决算</w:t>
      </w:r>
      <w:r>
        <w:rPr>
          <w:rFonts w:hint="eastAsia" w:ascii="仿宋_GB2312" w:eastAsia="仿宋_GB2312"/>
          <w:color w:val="auto"/>
          <w:sz w:val="32"/>
          <w:szCs w:val="32"/>
          <w:highlight w:val="none"/>
        </w:rPr>
        <w:t>为</w:t>
      </w:r>
      <w:r>
        <w:rPr>
          <w:rFonts w:hint="eastAsia" w:ascii="仿宋_GB2312" w:eastAsia="仿宋_GB2312"/>
          <w:color w:val="auto"/>
          <w:sz w:val="32"/>
          <w:szCs w:val="32"/>
          <w:highlight w:val="none"/>
          <w:lang w:val="en-US" w:eastAsia="zh-CN"/>
        </w:rPr>
        <w:t>213.89</w:t>
      </w:r>
      <w:r>
        <w:rPr>
          <w:rFonts w:hint="eastAsia" w:ascii="仿宋_GB2312" w:hAnsi="Times New Roman" w:eastAsia="仿宋_GB2312" w:cs="仿宋_GB2312"/>
          <w:sz w:val="32"/>
          <w:szCs w:val="32"/>
          <w:highlight w:val="none"/>
        </w:rPr>
        <w:t>万元，其中基本支出</w:t>
      </w:r>
      <w:r>
        <w:rPr>
          <w:rFonts w:hint="eastAsia" w:ascii="仿宋" w:hAnsi="仿宋" w:eastAsia="仿宋"/>
          <w:sz w:val="32"/>
          <w:szCs w:val="32"/>
          <w:highlight w:val="none"/>
          <w:lang w:val="en-US" w:eastAsia="zh-CN"/>
        </w:rPr>
        <w:t>167.42</w:t>
      </w:r>
      <w:r>
        <w:rPr>
          <w:rFonts w:hint="eastAsia" w:ascii="仿宋_GB2312" w:hAnsi="Times New Roman" w:eastAsia="仿宋_GB2312" w:cs="仿宋_GB2312"/>
          <w:sz w:val="32"/>
          <w:szCs w:val="32"/>
          <w:highlight w:val="none"/>
        </w:rPr>
        <w:t>万元，包括人员经费</w:t>
      </w:r>
      <w:r>
        <w:rPr>
          <w:rFonts w:hint="eastAsia" w:ascii="仿宋" w:hAnsi="仿宋" w:eastAsia="仿宋"/>
          <w:sz w:val="32"/>
          <w:szCs w:val="32"/>
          <w:highlight w:val="none"/>
          <w:lang w:val="en-US" w:eastAsia="zh-CN"/>
        </w:rPr>
        <w:t>144.3</w:t>
      </w:r>
      <w:r>
        <w:rPr>
          <w:rFonts w:hint="eastAsia" w:ascii="仿宋_GB2312" w:hAnsi="Times New Roman" w:eastAsia="仿宋_GB2312" w:cs="仿宋_GB2312"/>
          <w:sz w:val="32"/>
          <w:szCs w:val="32"/>
          <w:highlight w:val="none"/>
        </w:rPr>
        <w:t>万元和公用经费</w:t>
      </w:r>
      <w:r>
        <w:rPr>
          <w:rFonts w:hint="eastAsia" w:ascii="仿宋" w:hAnsi="仿宋" w:eastAsia="仿宋" w:cs="Times New Roman"/>
          <w:sz w:val="32"/>
          <w:szCs w:val="32"/>
          <w:highlight w:val="none"/>
          <w:lang w:val="en-US" w:eastAsia="zh-CN"/>
        </w:rPr>
        <w:t>23.11</w:t>
      </w:r>
      <w:r>
        <w:rPr>
          <w:rFonts w:hint="eastAsia" w:ascii="仿宋_GB2312" w:hAnsi="Times New Roman" w:eastAsia="仿宋_GB2312" w:cs="仿宋_GB2312"/>
          <w:sz w:val="32"/>
          <w:szCs w:val="32"/>
          <w:highlight w:val="none"/>
        </w:rPr>
        <w:t>万元；项目支出</w:t>
      </w:r>
      <w:r>
        <w:rPr>
          <w:rFonts w:hint="eastAsia" w:ascii="仿宋_GB2312" w:hAnsi="Times New Roman" w:eastAsia="仿宋_GB2312" w:cs="仿宋_GB2312"/>
          <w:sz w:val="32"/>
          <w:szCs w:val="32"/>
          <w:highlight w:val="none"/>
          <w:lang w:val="en-US" w:eastAsia="zh-CN"/>
        </w:rPr>
        <w:t>46.47</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。其他支出</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坚持以习近平新时代中国特色社会主义思想为指导，全面贯彻党的</w:t>
      </w:r>
      <w:r>
        <w:rPr>
          <w:rFonts w:hint="eastAsia" w:ascii="仿宋_GB2312" w:hAnsi="Times New Roman" w:eastAsia="仿宋_GB2312" w:cs="仿宋_GB2312"/>
          <w:sz w:val="32"/>
          <w:szCs w:val="32"/>
          <w:lang w:val="en-US" w:eastAsia="zh-CN"/>
        </w:rPr>
        <w:t>二十大</w:t>
      </w:r>
      <w:r>
        <w:rPr>
          <w:rFonts w:hint="eastAsia" w:ascii="仿宋_GB2312" w:hAnsi="Times New Roman" w:eastAsia="仿宋_GB2312" w:cs="仿宋_GB2312"/>
          <w:sz w:val="32"/>
          <w:szCs w:val="32"/>
        </w:rPr>
        <w:t>精神，认真学习贯彻习近平总书记关于文艺工作的重要讲话精神，在区委</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区政府</w:t>
      </w:r>
      <w:r>
        <w:rPr>
          <w:rFonts w:hint="eastAsia" w:ascii="仿宋_GB2312" w:hAnsi="Times New Roman" w:eastAsia="仿宋_GB2312" w:cs="仿宋_GB2312"/>
          <w:sz w:val="32"/>
          <w:szCs w:val="32"/>
        </w:rPr>
        <w:t>的正确领导下，坚持文艺为人民群众共服务的目标任务，不断增强“四个意识”</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坚定“四个自信”</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做到“两个维护”</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不断强化文联组织的政治性、先进性、群众性，切实履行好“团结引导、联络协调、服务管理、自律维权”的基本职能，团结引领广大文艺工作者深入生活、扎根人民，自觉肩负起举旗帜、聚民心、育新人、兴文化、展形象的使命任务，用心用情用功抒写新时代新征程中鹿泉昂扬向上的奋斗历程，推动全区文艺事业高质量发展，加快建设经济强区、魅力鹿泉、生态宜居宜业宜游新城区。</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ascii="仿宋" w:hAnsi="仿宋" w:eastAsia="仿宋"/>
          <w:sz w:val="32"/>
          <w:szCs w:val="32"/>
        </w:rPr>
      </w:pP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对照各实施项目的内容逐条逐项自评。部门整体支出绩效数据采集的主要依据有：年度预算报告、决算报表、金财系统综合业务数据、单位年终考核汇编等资料。</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2024</w:t>
      </w:r>
      <w:r>
        <w:rPr>
          <w:rFonts w:hint="eastAsia" w:ascii="仿宋" w:hAnsi="仿宋" w:eastAsia="仿宋" w:cs="仿宋"/>
          <w:sz w:val="32"/>
          <w:szCs w:val="32"/>
        </w:rPr>
        <w:t>年预算项目共</w:t>
      </w:r>
      <w:r>
        <w:rPr>
          <w:rFonts w:hint="eastAsia" w:ascii="仿宋" w:hAnsi="仿宋" w:eastAsia="仿宋" w:cs="仿宋"/>
          <w:sz w:val="32"/>
          <w:szCs w:val="32"/>
          <w:lang w:val="en-US" w:eastAsia="zh-CN"/>
        </w:rPr>
        <w:t>7</w:t>
      </w:r>
      <w:r>
        <w:rPr>
          <w:rFonts w:hint="eastAsia" w:ascii="仿宋" w:hAnsi="仿宋" w:eastAsia="仿宋" w:cs="仿宋"/>
          <w:sz w:val="32"/>
          <w:szCs w:val="32"/>
        </w:rPr>
        <w:t>个，</w:t>
      </w:r>
      <w:r>
        <w:rPr>
          <w:rFonts w:hint="eastAsia" w:ascii="仿宋" w:hAnsi="仿宋" w:eastAsia="仿宋" w:cs="仿宋"/>
          <w:sz w:val="32"/>
          <w:szCs w:val="32"/>
          <w:highlight w:val="none"/>
        </w:rPr>
        <w:t>涉及专项资金</w:t>
      </w:r>
      <w:r>
        <w:rPr>
          <w:rFonts w:hint="eastAsia" w:ascii="仿宋_GB2312" w:hAnsi="仿宋_GB2312" w:eastAsia="仿宋_GB2312" w:cs="仿宋_GB2312"/>
          <w:sz w:val="32"/>
          <w:szCs w:val="32"/>
          <w:highlight w:val="none"/>
        </w:rPr>
        <w:t>预算</w:t>
      </w:r>
      <w:r>
        <w:rPr>
          <w:rFonts w:hint="eastAsia" w:ascii="仿宋_GB2312" w:hAnsi="Times New Roman" w:eastAsia="仿宋_GB2312" w:cs="仿宋_GB2312"/>
          <w:sz w:val="32"/>
          <w:szCs w:val="32"/>
          <w:highlight w:val="none"/>
          <w:lang w:val="en-US" w:eastAsia="zh-CN"/>
        </w:rPr>
        <w:t>51.47</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其中</w:t>
      </w:r>
      <w:r>
        <w:rPr>
          <w:rFonts w:hint="eastAsia" w:ascii="仿宋" w:hAnsi="仿宋" w:eastAsia="仿宋" w:cs="仿宋"/>
          <w:sz w:val="32"/>
          <w:szCs w:val="32"/>
          <w:highlight w:val="none"/>
          <w:lang w:val="en-US" w:eastAsia="zh-CN"/>
        </w:rPr>
        <w:t>文艺家之家运转费调整预算数2.5万元、第三届文艺繁荣奖经费调整预算数2.5万元财政未拨款，因此全年</w:t>
      </w:r>
      <w:r>
        <w:rPr>
          <w:rFonts w:hint="eastAsia" w:ascii="仿宋" w:hAnsi="仿宋" w:eastAsia="仿宋" w:cs="仿宋"/>
          <w:sz w:val="32"/>
          <w:szCs w:val="32"/>
          <w:highlight w:val="none"/>
        </w:rPr>
        <w:t>实际支出</w:t>
      </w:r>
      <w:r>
        <w:rPr>
          <w:rFonts w:hint="eastAsia" w:ascii="仿宋" w:hAnsi="仿宋" w:eastAsia="仿宋" w:cs="仿宋"/>
          <w:sz w:val="32"/>
          <w:szCs w:val="32"/>
          <w:highlight w:val="none"/>
          <w:lang w:val="en-US" w:eastAsia="zh-CN"/>
        </w:rPr>
        <w:t>46.47</w:t>
      </w:r>
      <w:r>
        <w:rPr>
          <w:rFonts w:hint="eastAsia" w:ascii="仿宋" w:hAnsi="仿宋" w:eastAsia="仿宋" w:cs="仿宋"/>
          <w:sz w:val="32"/>
          <w:szCs w:val="32"/>
          <w:highlight w:val="none"/>
        </w:rPr>
        <w:t>万元，资金支出达</w:t>
      </w:r>
      <w:r>
        <w:rPr>
          <w:rFonts w:hint="eastAsia" w:ascii="仿宋" w:hAnsi="仿宋" w:eastAsia="仿宋" w:cs="仿宋"/>
          <w:sz w:val="32"/>
          <w:szCs w:val="32"/>
          <w:highlight w:val="none"/>
          <w:lang w:val="en-US" w:eastAsia="zh-CN"/>
        </w:rPr>
        <w:t>90.29</w:t>
      </w:r>
      <w:r>
        <w:rPr>
          <w:rFonts w:hint="eastAsia" w:ascii="仿宋" w:hAnsi="仿宋" w:eastAsia="仿宋" w:cs="仿宋"/>
          <w:sz w:val="32"/>
          <w:szCs w:val="32"/>
          <w:highlight w:val="none"/>
        </w:rPr>
        <w:t>%，</w:t>
      </w:r>
      <w:r>
        <w:rPr>
          <w:rFonts w:hint="eastAsia" w:ascii="仿宋" w:hAnsi="仿宋" w:eastAsia="仿宋" w:cs="仿宋"/>
          <w:sz w:val="32"/>
          <w:szCs w:val="32"/>
        </w:rPr>
        <w:t>专项资金支出进度完成</w:t>
      </w:r>
      <w:r>
        <w:rPr>
          <w:rFonts w:hint="eastAsia" w:ascii="仿宋" w:hAnsi="仿宋" w:eastAsia="仿宋" w:cs="仿宋"/>
          <w:sz w:val="32"/>
          <w:szCs w:val="32"/>
          <w:lang w:eastAsia="zh-CN"/>
        </w:rPr>
        <w:t>情况良好</w:t>
      </w:r>
      <w:r>
        <w:rPr>
          <w:rFonts w:hint="eastAsia" w:ascii="仿宋" w:hAnsi="仿宋" w:eastAsia="仿宋" w:cs="仿宋"/>
          <w:sz w:val="32"/>
          <w:szCs w:val="32"/>
        </w:rPr>
        <w:t>。</w:t>
      </w:r>
      <w:r>
        <w:rPr>
          <w:rFonts w:hint="eastAsia" w:ascii="仿宋" w:hAnsi="仿宋" w:eastAsia="仿宋" w:cs="仿宋"/>
          <w:sz w:val="32"/>
          <w:szCs w:val="32"/>
          <w:lang w:eastAsia="zh-CN"/>
        </w:rPr>
        <w:t>大部分项目</w:t>
      </w:r>
      <w:r>
        <w:rPr>
          <w:rFonts w:hint="eastAsia" w:ascii="仿宋" w:hAnsi="仿宋" w:eastAsia="仿宋" w:cs="仿宋"/>
          <w:sz w:val="32"/>
          <w:szCs w:val="32"/>
        </w:rPr>
        <w:t>根据年初绩效目标指标，及时掌握项目实施进展、资金拨付和有关绩效目标指标完成情况，及时纠正预算执行中偏离绩效目标指标的项目管理行为或资金支付行为，做到了预算执行与绩效运行“双监控”。</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1、文艺家之家维修改造项目经费20万元。</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2、文艺家之家加固经费15万元。</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4.2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4.8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2.47</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sz w:val="32"/>
          <w:szCs w:val="32"/>
          <w:lang w:val="en-US" w:eastAsia="zh-CN"/>
        </w:rPr>
        <w:t>6、文艺家之家运转费2.5万元。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2024年</w:t>
      </w:r>
      <w:r>
        <w:rPr>
          <w:rFonts w:hint="eastAsia" w:ascii="仿宋" w:hAnsi="仿宋" w:eastAsia="仿宋" w:cs="仿宋"/>
          <w:sz w:val="32"/>
          <w:szCs w:val="32"/>
          <w:lang w:eastAsia="zh-CN"/>
        </w:rPr>
        <w:t>执行。</w:t>
      </w:r>
    </w:p>
    <w:p>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w:t>
      </w:r>
      <w:r>
        <w:rPr>
          <w:rFonts w:hint="eastAsia" w:ascii="仿宋" w:hAnsi="仿宋" w:eastAsia="仿宋"/>
          <w:sz w:val="32"/>
          <w:szCs w:val="32"/>
          <w:lang w:val="en-US" w:eastAsia="zh-CN"/>
        </w:rPr>
        <w:t>第三届文艺繁荣奖经费2.5万元。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2024年</w:t>
      </w:r>
      <w:r>
        <w:rPr>
          <w:rFonts w:hint="eastAsia" w:ascii="仿宋" w:hAnsi="仿宋" w:eastAsia="仿宋" w:cs="仿宋"/>
          <w:sz w:val="32"/>
          <w:szCs w:val="32"/>
          <w:lang w:eastAsia="zh-CN"/>
        </w:rPr>
        <w:t>执行。</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 w:hAnsi="仿宋" w:eastAsia="仿宋" w:cs="仿宋"/>
          <w:sz w:val="32"/>
          <w:szCs w:val="32"/>
          <w:lang w:val="en-US" w:eastAsia="zh-CN"/>
        </w:rPr>
        <w:t>文艺家之家维修改造项目经费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综合绩效评分为100分，优秀。2、</w:t>
      </w:r>
      <w:r>
        <w:rPr>
          <w:rFonts w:hint="eastAsia" w:ascii="仿宋" w:hAnsi="仿宋" w:eastAsia="仿宋" w:cs="仿宋"/>
          <w:sz w:val="32"/>
          <w:szCs w:val="32"/>
          <w:lang w:val="en-US" w:eastAsia="zh-CN"/>
        </w:rPr>
        <w:t>文艺家之家加固经费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综合绩效评分为100</w:t>
      </w:r>
      <w:bookmarkStart w:id="0" w:name="_GoBack"/>
      <w:bookmarkEnd w:id="0"/>
      <w:r>
        <w:rPr>
          <w:rFonts w:hint="eastAsia" w:ascii="仿宋" w:hAnsi="仿宋" w:eastAsia="仿宋"/>
          <w:sz w:val="32"/>
          <w:szCs w:val="32"/>
          <w:lang w:val="en-US" w:eastAsia="zh-CN"/>
        </w:rPr>
        <w:t>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综合绩效评分为100分，优秀。</w:t>
      </w:r>
      <w:r>
        <w:rPr>
          <w:rFonts w:hint="eastAsia" w:ascii="仿宋" w:hAnsi="仿宋" w:eastAsia="仿宋"/>
          <w:sz w:val="32"/>
          <w:szCs w:val="32"/>
        </w:rPr>
        <w:t>根据部门职责定位和各项工作履职情况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lang w:eastAsia="zh-CN"/>
        </w:rPr>
        <w:t>2024</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综合绩效得分100分，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eastAsia="zh-CN"/>
        </w:rPr>
        <w:t>支出</w:t>
      </w:r>
      <w:r>
        <w:rPr>
          <w:rFonts w:hint="eastAsia" w:ascii="仿宋" w:hAnsi="仿宋" w:eastAsia="仿宋"/>
          <w:sz w:val="32"/>
          <w:szCs w:val="32"/>
          <w:lang w:val="en-US" w:eastAsia="zh-CN"/>
        </w:rPr>
        <w:t>进度不足</w:t>
      </w:r>
      <w:r>
        <w:rPr>
          <w:rFonts w:hint="eastAsia" w:ascii="仿宋" w:hAnsi="仿宋" w:eastAsia="仿宋"/>
          <w:sz w:val="32"/>
          <w:szCs w:val="32"/>
          <w:lang w:eastAsia="zh-CN"/>
        </w:rPr>
        <w:t>，绩效监控</w:t>
      </w:r>
      <w:r>
        <w:rPr>
          <w:rFonts w:hint="eastAsia" w:ascii="仿宋" w:hAnsi="仿宋" w:eastAsia="仿宋"/>
          <w:sz w:val="32"/>
          <w:szCs w:val="32"/>
          <w:lang w:val="en-US" w:eastAsia="zh-CN"/>
        </w:rPr>
        <w:t>还需进一步加强。</w:t>
      </w:r>
    </w:p>
    <w:p>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一是对于绩效目标执行</w:t>
      </w:r>
      <w:r>
        <w:rPr>
          <w:rFonts w:hint="eastAsia" w:ascii="仿宋" w:hAnsi="仿宋" w:eastAsia="仿宋" w:cs="仿宋"/>
          <w:sz w:val="32"/>
          <w:szCs w:val="32"/>
          <w:lang w:val="en-US" w:eastAsia="zh-CN"/>
        </w:rPr>
        <w:t>的</w:t>
      </w:r>
      <w:r>
        <w:rPr>
          <w:rFonts w:hint="eastAsia" w:ascii="仿宋" w:hAnsi="仿宋" w:eastAsia="仿宋" w:cs="仿宋"/>
          <w:sz w:val="32"/>
          <w:szCs w:val="32"/>
        </w:rPr>
        <w:t>项目，</w:t>
      </w:r>
      <w:r>
        <w:rPr>
          <w:rFonts w:hint="eastAsia" w:ascii="仿宋" w:hAnsi="仿宋" w:eastAsia="仿宋" w:cs="仿宋"/>
          <w:sz w:val="32"/>
          <w:szCs w:val="32"/>
          <w:lang w:val="en-US" w:eastAsia="zh-CN"/>
        </w:rPr>
        <w:t>进一步</w:t>
      </w:r>
      <w:r>
        <w:rPr>
          <w:rFonts w:hint="eastAsia" w:ascii="仿宋" w:hAnsi="仿宋" w:eastAsia="仿宋" w:cs="仿宋"/>
          <w:sz w:val="32"/>
          <w:szCs w:val="32"/>
        </w:rPr>
        <w:t>加强财政资金使用效益跟踪“回头看”，针对资金绩效运行状况，及时预控。查找资金使用管理过程中的薄弱环节并及时完善，保障项目正常运行，实现预期绩效目标。</w:t>
      </w:r>
    </w:p>
    <w:p>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ascii="仿宋" w:hAnsi="仿宋" w:eastAsia="仿宋"/>
        </w:rPr>
      </w:pPr>
      <w:r>
        <w:rPr>
          <w:rFonts w:hint="eastAsia" w:ascii="仿宋" w:hAnsi="仿宋" w:eastAsia="仿宋" w:cs="仿宋"/>
          <w:sz w:val="32"/>
          <w:szCs w:val="32"/>
        </w:rPr>
        <w:t>二是加强日常监控工作。严格人员管理，加强人员培训，熟练掌握预算编制和预算执行等各项政策，确保预算指标执行过程不交叉，不断提高绩效目标管理水平。</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WZjMDU0MDdkZDM2MTJhZjE1YTk4YjIwN2ZmYTg4MTg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ACC2CF0"/>
    <w:rsid w:val="1BE140DE"/>
    <w:rsid w:val="248C197D"/>
    <w:rsid w:val="252959AF"/>
    <w:rsid w:val="277A6671"/>
    <w:rsid w:val="292D35B7"/>
    <w:rsid w:val="32817910"/>
    <w:rsid w:val="33EB6CFF"/>
    <w:rsid w:val="35A12947"/>
    <w:rsid w:val="37387040"/>
    <w:rsid w:val="39885D54"/>
    <w:rsid w:val="3B625C0A"/>
    <w:rsid w:val="3CEE1963"/>
    <w:rsid w:val="436B78D3"/>
    <w:rsid w:val="4C9C27FE"/>
    <w:rsid w:val="512260B4"/>
    <w:rsid w:val="52BD6ACB"/>
    <w:rsid w:val="55537534"/>
    <w:rsid w:val="561A74F1"/>
    <w:rsid w:val="597244E8"/>
    <w:rsid w:val="5E306F33"/>
    <w:rsid w:val="5EB71C30"/>
    <w:rsid w:val="66AF0CE5"/>
    <w:rsid w:val="6AC537CF"/>
    <w:rsid w:val="6E5B14A6"/>
    <w:rsid w:val="711B255E"/>
    <w:rsid w:val="77DB2DDC"/>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2780</Words>
  <Characters>2905</Characters>
  <Lines>4</Lines>
  <Paragraphs>1</Paragraphs>
  <TotalTime>0</TotalTime>
  <ScaleCrop>false</ScaleCrop>
  <LinksUpToDate>false</LinksUpToDate>
  <CharactersWithSpaces>2922</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2025-05-29T10:22:58Z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96934721B1514D3FBAA28020338CE855_12</vt:lpwstr>
  </property>
</Properties>
</file>