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4AB119">
      <w:pPr>
        <w:widowControl w:val="0"/>
        <w:wordWrap/>
        <w:spacing w:line="560" w:lineRule="exact"/>
        <w:ind w:left="0" w:leftChars="0" w:right="0"/>
        <w:jc w:val="center"/>
        <w:textAlignment w:val="auto"/>
        <w:outlineLvl w:val="9"/>
        <w:rPr>
          <w:rFonts w:hint="eastAsia" w:ascii="宋体" w:hAnsi="宋体" w:cs="宋体"/>
          <w:b/>
          <w:bCs/>
          <w:sz w:val="44"/>
          <w:szCs w:val="44"/>
        </w:rPr>
      </w:pPr>
    </w:p>
    <w:p w14:paraId="0A92D66A">
      <w:pPr>
        <w:spacing w:line="560" w:lineRule="exact"/>
        <w:jc w:val="center"/>
        <w:rPr>
          <w:rFonts w:hint="eastAsia" w:ascii="宋体" w:hAnsi="宋体" w:cs="宋体"/>
          <w:b/>
          <w:bCs/>
          <w:sz w:val="44"/>
          <w:szCs w:val="44"/>
          <w:lang w:eastAsia="zh-CN"/>
        </w:rPr>
      </w:pPr>
      <w:r>
        <w:rPr>
          <w:rFonts w:hint="eastAsia" w:ascii="宋体" w:hAnsi="宋体" w:cs="宋体"/>
          <w:b/>
          <w:bCs/>
          <w:sz w:val="44"/>
          <w:szCs w:val="44"/>
        </w:rPr>
        <w:t>石家庄市鹿泉区</w:t>
      </w:r>
      <w:r>
        <w:rPr>
          <w:rFonts w:hint="eastAsia" w:ascii="宋体" w:hAnsi="宋体" w:cs="宋体"/>
          <w:b/>
          <w:bCs/>
          <w:sz w:val="44"/>
          <w:szCs w:val="44"/>
          <w:lang w:eastAsia="zh-CN"/>
        </w:rPr>
        <w:t>教育局</w:t>
      </w:r>
    </w:p>
    <w:p w14:paraId="32AA15EF">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204DACF5">
      <w:pPr>
        <w:spacing w:line="560" w:lineRule="exact"/>
        <w:jc w:val="center"/>
        <w:rPr>
          <w:rFonts w:ascii="华文楷体" w:eastAsia="华文楷体"/>
          <w:sz w:val="32"/>
          <w:szCs w:val="32"/>
        </w:rPr>
      </w:pPr>
    </w:p>
    <w:p w14:paraId="361AD8A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贯彻落实石家庄市鹿泉区人民政府《关于全面实施预算绩效管理的实施意见》（鹿发﹝2019﹞8号）文件精神，遵循“科学性、规范性、客观性和公正性”的原则，石家庄市鹿泉区</w:t>
      </w:r>
      <w:r>
        <w:rPr>
          <w:rFonts w:hint="eastAsia" w:ascii="仿宋" w:hAnsi="仿宋" w:eastAsia="仿宋"/>
          <w:sz w:val="32"/>
          <w:szCs w:val="32"/>
          <w:lang w:eastAsia="zh-CN"/>
        </w:rPr>
        <w:t>教育局</w:t>
      </w:r>
      <w:r>
        <w:rPr>
          <w:rFonts w:hint="eastAsia" w:ascii="仿宋" w:hAnsi="仿宋" w:eastAsia="仿宋"/>
          <w:sz w:val="32"/>
          <w:szCs w:val="32"/>
        </w:rPr>
        <w:t>学对202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15B23538">
      <w:pPr>
        <w:adjustRightInd w:val="0"/>
        <w:snapToGrid w:val="0"/>
        <w:spacing w:line="560" w:lineRule="exact"/>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一、单位</w:t>
      </w:r>
      <w:r>
        <w:rPr>
          <w:rFonts w:hint="eastAsia" w:ascii="黑体" w:hAnsi="黑体" w:eastAsia="黑体"/>
          <w:sz w:val="32"/>
          <w:szCs w:val="36"/>
        </w:rPr>
        <w:t>基本情况</w:t>
      </w:r>
    </w:p>
    <w:p w14:paraId="3FDA5116">
      <w:pPr>
        <w:adjustRightInd w:val="0"/>
        <w:snapToGrid w:val="0"/>
        <w:spacing w:line="560" w:lineRule="exact"/>
        <w:ind w:firstLine="643" w:firstLineChars="200"/>
        <w:rPr>
          <w:rFonts w:hint="eastAsia" w:ascii="仿宋" w:hAnsi="仿宋" w:eastAsia="仿宋" w:cs="楷体_GB2312"/>
          <w:b/>
          <w:bCs/>
          <w:sz w:val="32"/>
          <w:szCs w:val="32"/>
          <w:lang w:eastAsia="zh-CN"/>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部门职能</w:t>
      </w:r>
    </w:p>
    <w:p w14:paraId="58AA4726">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1、贯彻执行上级有关教育工作的法律、法规、方针和政策，制定具体实施办法和细则。</w:t>
      </w:r>
    </w:p>
    <w:p w14:paraId="1B0A61E6">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2、按照教育发展要求和我区经济社会发展总体规划，制定全区教育事业发展规划、年度计划，并组织实施。</w:t>
      </w:r>
    </w:p>
    <w:p w14:paraId="728788C3">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3、负责推进义务教育均衡发展和促进教育公平，综合管理全区基础教育、职业技术教育、成人教育及幼儿教育、特殊教育等工作；审核管理权限内的学校的设置、更名和撤销并按程序报批负责教育督导与评估；负责全区语言文字工作。</w:t>
      </w:r>
    </w:p>
    <w:p w14:paraId="1583707A">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4、统筹规划、协调指导全区办学体制和学校内部管理体制改革，逐步建立与社会主义市场经济相适应的教育体制与运行机制。</w:t>
      </w:r>
    </w:p>
    <w:p w14:paraId="5C12B2D0">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5、加强教育行政干部队伍建设；积极开展各类继续教育工作；负责管理权限内，教师专业技术职称评聘工作。</w:t>
      </w:r>
    </w:p>
    <w:p w14:paraId="582D97BC">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6、统筹规划使用教育经费，加强审计，提高教育经费的使用效益，改善全区办学条件。做好校舍建设的规划实施，合理调整农村中小学布局。组织指导教学设备的购置、使用和管理。</w:t>
      </w:r>
    </w:p>
    <w:p w14:paraId="4CC39287">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7、指导各级各类学校的德育、智育、体育、美育、劳动教育、艺术教育、国防教育和法制教育工作；指导学校开展教育</w:t>
      </w:r>
    </w:p>
    <w:p w14:paraId="6FB0A78B">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教学研究；统筹规划、协调指导远程教育和教育信息化工作。</w:t>
      </w:r>
    </w:p>
    <w:p w14:paraId="071151E5">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8、负责教师资格认定相关工作。</w:t>
      </w:r>
    </w:p>
    <w:p w14:paraId="3E544802">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9、组织全区各级各类学校的招生报名、考试和自考、成考工作。</w:t>
      </w:r>
    </w:p>
    <w:p w14:paraId="6BAF4BB9">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10、负责全区教育系统安全和维护稳定工作；会同有关部门开展学校安全、学校及周边环境治理、预防青少年犯罪工作；指导、协调教育系统重大安全事故的处理。</w:t>
      </w:r>
    </w:p>
    <w:p w14:paraId="3F41778F">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11、加强对社会力量办学指导和监督。负责个人或其他组织举办的中等以下（中专类除外）学校的审批和中等学校的报审工作。</w:t>
      </w:r>
    </w:p>
    <w:p w14:paraId="7FB2D31B">
      <w:pPr>
        <w:adjustRightInd w:val="0"/>
        <w:snapToGrid w:val="0"/>
        <w:spacing w:line="560" w:lineRule="exact"/>
        <w:ind w:firstLine="640" w:firstLineChars="200"/>
        <w:rPr>
          <w:rFonts w:hint="eastAsia" w:ascii="仿宋_GB2312" w:hAnsi="宋体" w:eastAsia="仿宋_GB2312"/>
          <w:color w:val="000000"/>
          <w:sz w:val="32"/>
          <w:szCs w:val="32"/>
          <w:lang w:eastAsia="zh-CN"/>
        </w:rPr>
      </w:pPr>
      <w:r>
        <w:rPr>
          <w:rFonts w:hint="eastAsia" w:ascii="仿宋_GB2312" w:hAnsi="宋体" w:eastAsia="仿宋_GB2312"/>
          <w:color w:val="000000"/>
          <w:sz w:val="32"/>
          <w:szCs w:val="32"/>
        </w:rPr>
        <w:t>12、承办区政府交办的其他工作</w:t>
      </w:r>
      <w:r>
        <w:rPr>
          <w:rFonts w:hint="eastAsia" w:ascii="仿宋_GB2312" w:hAnsi="宋体" w:eastAsia="仿宋_GB2312"/>
          <w:color w:val="000000"/>
          <w:sz w:val="32"/>
          <w:szCs w:val="32"/>
          <w:lang w:eastAsia="zh-CN"/>
        </w:rPr>
        <w:t>。</w:t>
      </w:r>
    </w:p>
    <w:p w14:paraId="03C86FBD">
      <w:pPr>
        <w:spacing w:line="580" w:lineRule="exact"/>
        <w:ind w:firstLine="640" w:firstLineChars="200"/>
        <w:rPr>
          <w:rFonts w:hint="eastAsia" w:ascii="黑体" w:eastAsia="黑体" w:cs="黑体"/>
          <w:kern w:val="0"/>
          <w:sz w:val="32"/>
          <w:szCs w:val="32"/>
        </w:rPr>
      </w:pPr>
      <w:r>
        <w:rPr>
          <w:rFonts w:hint="eastAsia" w:ascii="仿宋_GB2312" w:eastAsia="仿宋_GB2312" w:cs="仿宋_GB2312"/>
          <w:kern w:val="0"/>
          <w:sz w:val="32"/>
          <w:szCs w:val="32"/>
          <w:lang w:eastAsia="zh-CN"/>
        </w:rPr>
        <w:t>（二）</w:t>
      </w:r>
      <w:r>
        <w:rPr>
          <w:rFonts w:hint="eastAsia" w:ascii="黑体" w:eastAsia="黑体" w:cs="黑体"/>
          <w:b w:val="0"/>
          <w:bCs w:val="0"/>
          <w:kern w:val="0"/>
          <w:sz w:val="32"/>
          <w:szCs w:val="32"/>
        </w:rPr>
        <w:t>机构设置</w:t>
      </w:r>
    </w:p>
    <w:p w14:paraId="72167ADC">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w:t>
      </w:r>
      <w:r>
        <w:rPr>
          <w:rFonts w:hint="eastAsia" w:ascii="仿宋_GB2312" w:eastAsia="仿宋_GB2312" w:cs="仿宋_GB2312"/>
          <w:kern w:val="0"/>
          <w:sz w:val="32"/>
          <w:szCs w:val="32"/>
          <w:lang w:val="en-US" w:eastAsia="zh-CN"/>
        </w:rPr>
        <w:t>3</w:t>
      </w:r>
      <w:r>
        <w:rPr>
          <w:rFonts w:hint="eastAsia" w:ascii="仿宋_GB2312" w:eastAsia="仿宋_GB2312" w:cs="仿宋_GB2312"/>
          <w:kern w:val="0"/>
          <w:sz w:val="32"/>
          <w:szCs w:val="32"/>
        </w:rPr>
        <w:t>年度本部门决算汇编范围的独立核算单位（以下简称“单位”）共</w:t>
      </w:r>
      <w:r>
        <w:rPr>
          <w:rFonts w:ascii="仿宋_GB2312" w:eastAsia="仿宋_GB2312" w:cs="仿宋_GB2312"/>
          <w:kern w:val="0"/>
          <w:sz w:val="32"/>
          <w:szCs w:val="32"/>
        </w:rPr>
        <w:t xml:space="preserve">  </w:t>
      </w:r>
      <w:r>
        <w:rPr>
          <w:rFonts w:hint="eastAsia" w:ascii="仿宋_GB2312" w:eastAsia="仿宋_GB2312" w:cs="仿宋_GB2312"/>
          <w:kern w:val="0"/>
          <w:sz w:val="32"/>
          <w:szCs w:val="32"/>
          <w:lang w:val="en-US" w:eastAsia="zh-CN"/>
        </w:rPr>
        <w:t>28</w:t>
      </w:r>
      <w:r>
        <w:rPr>
          <w:rFonts w:hint="eastAsia" w:ascii="仿宋_GB2312" w:eastAsia="仿宋_GB2312" w:cs="仿宋_GB2312"/>
          <w:kern w:val="0"/>
          <w:sz w:val="32"/>
          <w:szCs w:val="32"/>
        </w:rPr>
        <w:t>个，具体情况如下：</w:t>
      </w:r>
    </w:p>
    <w:tbl>
      <w:tblPr>
        <w:tblStyle w:val="4"/>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1ABC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F5941B0">
            <w:pPr>
              <w:spacing w:line="560" w:lineRule="exact"/>
              <w:jc w:val="center"/>
              <w:rPr>
                <w:rFonts w:ascii="仿宋_GB2312" w:eastAsia="仿宋_GB2312" w:cs="Times New Roman"/>
                <w:b/>
                <w:bCs/>
                <w:kern w:val="0"/>
                <w:sz w:val="28"/>
                <w:szCs w:val="28"/>
              </w:rPr>
            </w:pPr>
            <w:r>
              <w:rPr>
                <w:rFonts w:hint="eastAsia" w:ascii="仿宋_GB2312" w:hAnsi="Calibri" w:eastAsia="仿宋_GB2312" w:cs="Arial Black"/>
                <w:b/>
                <w:bCs/>
                <w:kern w:val="0"/>
                <w:sz w:val="28"/>
                <w:szCs w:val="28"/>
              </w:rPr>
              <w:t>序号</w:t>
            </w:r>
          </w:p>
        </w:tc>
        <w:tc>
          <w:tcPr>
            <w:tcW w:w="3485" w:type="dxa"/>
            <w:vAlign w:val="center"/>
          </w:tcPr>
          <w:p w14:paraId="3A334276">
            <w:pPr>
              <w:spacing w:line="560" w:lineRule="exact"/>
              <w:jc w:val="center"/>
              <w:rPr>
                <w:rFonts w:ascii="仿宋_GB2312" w:eastAsia="仿宋_GB2312" w:cs="Times New Roman"/>
                <w:b/>
                <w:bCs/>
                <w:kern w:val="0"/>
                <w:sz w:val="28"/>
                <w:szCs w:val="28"/>
              </w:rPr>
            </w:pPr>
            <w:r>
              <w:rPr>
                <w:rFonts w:hint="eastAsia" w:ascii="仿宋_GB2312" w:hAnsi="Calibri" w:eastAsia="仿宋_GB2312" w:cs="Arial Black"/>
                <w:b/>
                <w:bCs/>
                <w:kern w:val="0"/>
                <w:sz w:val="28"/>
                <w:szCs w:val="28"/>
              </w:rPr>
              <w:t>单位名称</w:t>
            </w:r>
          </w:p>
        </w:tc>
        <w:tc>
          <w:tcPr>
            <w:tcW w:w="2445" w:type="dxa"/>
            <w:vAlign w:val="center"/>
          </w:tcPr>
          <w:p w14:paraId="3F92D130">
            <w:pPr>
              <w:spacing w:line="560" w:lineRule="exact"/>
              <w:jc w:val="center"/>
              <w:rPr>
                <w:rFonts w:ascii="仿宋_GB2312" w:eastAsia="仿宋_GB2312" w:cs="Times New Roman"/>
                <w:b/>
                <w:bCs/>
                <w:kern w:val="0"/>
                <w:sz w:val="28"/>
                <w:szCs w:val="28"/>
              </w:rPr>
            </w:pPr>
            <w:r>
              <w:rPr>
                <w:rFonts w:hint="eastAsia" w:ascii="仿宋_GB2312" w:hAnsi="Calibri" w:eastAsia="仿宋_GB2312" w:cs="Arial Black"/>
                <w:b/>
                <w:bCs/>
                <w:kern w:val="0"/>
                <w:sz w:val="28"/>
                <w:szCs w:val="28"/>
              </w:rPr>
              <w:t>单位基本性质</w:t>
            </w:r>
          </w:p>
        </w:tc>
        <w:tc>
          <w:tcPr>
            <w:tcW w:w="2665" w:type="dxa"/>
            <w:vAlign w:val="center"/>
          </w:tcPr>
          <w:p w14:paraId="0E237909">
            <w:pPr>
              <w:spacing w:line="560" w:lineRule="exact"/>
              <w:jc w:val="center"/>
              <w:rPr>
                <w:rFonts w:ascii="仿宋_GB2312" w:eastAsia="仿宋_GB2312" w:cs="Times New Roman"/>
                <w:b/>
                <w:bCs/>
                <w:kern w:val="0"/>
                <w:sz w:val="28"/>
                <w:szCs w:val="28"/>
              </w:rPr>
            </w:pPr>
            <w:r>
              <w:rPr>
                <w:rFonts w:hint="eastAsia" w:ascii="仿宋_GB2312" w:hAnsi="Calibri" w:eastAsia="仿宋_GB2312" w:cs="Arial Black"/>
                <w:b/>
                <w:bCs/>
                <w:kern w:val="0"/>
                <w:sz w:val="28"/>
                <w:szCs w:val="28"/>
              </w:rPr>
              <w:t>经费形式</w:t>
            </w:r>
          </w:p>
        </w:tc>
      </w:tr>
      <w:tr w14:paraId="6653E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vAlign w:val="top"/>
          </w:tcPr>
          <w:p w14:paraId="0CF02894">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1</w:t>
            </w:r>
          </w:p>
        </w:tc>
        <w:tc>
          <w:tcPr>
            <w:tcW w:w="3485" w:type="dxa"/>
            <w:vAlign w:val="center"/>
          </w:tcPr>
          <w:p w14:paraId="626C0AFC">
            <w:pPr>
              <w:jc w:val="center"/>
              <w:rPr>
                <w:rFonts w:ascii="仿宋_GB2312" w:eastAsia="仿宋_GB2312" w:cs="仿宋_GB2312"/>
                <w:kern w:val="0"/>
                <w:sz w:val="18"/>
                <w:szCs w:val="18"/>
              </w:rPr>
            </w:pPr>
            <w:r>
              <w:rPr>
                <w:rFonts w:hint="eastAsia" w:ascii="仿宋_GB2312" w:hAnsi="宋体" w:eastAsia="仿宋_GB2312"/>
                <w:kern w:val="0"/>
                <w:sz w:val="18"/>
                <w:szCs w:val="18"/>
              </w:rPr>
              <w:t>鹿泉区教育局（本级）</w:t>
            </w:r>
          </w:p>
        </w:tc>
        <w:tc>
          <w:tcPr>
            <w:tcW w:w="2445" w:type="dxa"/>
            <w:vAlign w:val="center"/>
          </w:tcPr>
          <w:p w14:paraId="7A51D49D">
            <w:pPr>
              <w:jc w:val="center"/>
              <w:rPr>
                <w:rFonts w:ascii="仿宋_GB2312" w:eastAsia="仿宋_GB2312" w:cs="Times New Roman"/>
                <w:kern w:val="0"/>
                <w:sz w:val="18"/>
                <w:szCs w:val="18"/>
              </w:rPr>
            </w:pPr>
            <w:r>
              <w:rPr>
                <w:rFonts w:hint="eastAsia" w:ascii="仿宋_GB2312" w:hAnsi="宋体" w:eastAsia="仿宋_GB2312"/>
                <w:kern w:val="0"/>
                <w:sz w:val="18"/>
                <w:szCs w:val="18"/>
              </w:rPr>
              <w:t>行政单位</w:t>
            </w:r>
          </w:p>
        </w:tc>
        <w:tc>
          <w:tcPr>
            <w:tcW w:w="2665" w:type="dxa"/>
            <w:vAlign w:val="center"/>
          </w:tcPr>
          <w:p w14:paraId="04E5A9F0">
            <w:pPr>
              <w:jc w:val="center"/>
              <w:rPr>
                <w:rFonts w:ascii="仿宋_GB2312" w:eastAsia="仿宋_GB2312" w:cs="Times New Roman"/>
                <w:kern w:val="0"/>
                <w:sz w:val="18"/>
                <w:szCs w:val="18"/>
              </w:rPr>
            </w:pPr>
            <w:r>
              <w:rPr>
                <w:rFonts w:hint="eastAsia" w:ascii="仿宋_GB2312" w:hAnsi="宋体" w:eastAsia="仿宋_GB2312"/>
                <w:kern w:val="0"/>
                <w:sz w:val="18"/>
                <w:szCs w:val="18"/>
              </w:rPr>
              <w:t>财政拨款</w:t>
            </w:r>
          </w:p>
        </w:tc>
      </w:tr>
      <w:tr w14:paraId="004F5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vAlign w:val="top"/>
          </w:tcPr>
          <w:p w14:paraId="24775E6E">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2</w:t>
            </w:r>
          </w:p>
        </w:tc>
        <w:tc>
          <w:tcPr>
            <w:tcW w:w="3485" w:type="dxa"/>
            <w:vAlign w:val="center"/>
          </w:tcPr>
          <w:p w14:paraId="15B44A10">
            <w:pPr>
              <w:jc w:val="center"/>
              <w:rPr>
                <w:rFonts w:ascii="仿宋_GB2312" w:eastAsia="仿宋_GB2312" w:cs="Times New Roman"/>
                <w:kern w:val="0"/>
                <w:sz w:val="18"/>
                <w:szCs w:val="18"/>
              </w:rPr>
            </w:pPr>
            <w:r>
              <w:rPr>
                <w:rFonts w:hint="eastAsia" w:ascii="仿宋_GB2312" w:hAnsi="宋体" w:eastAsia="仿宋_GB2312"/>
                <w:kern w:val="0"/>
                <w:sz w:val="18"/>
                <w:szCs w:val="18"/>
              </w:rPr>
              <w:t>鹿泉区第一中学</w:t>
            </w:r>
          </w:p>
        </w:tc>
        <w:tc>
          <w:tcPr>
            <w:tcW w:w="2445" w:type="dxa"/>
            <w:vAlign w:val="top"/>
          </w:tcPr>
          <w:p w14:paraId="7FDE425A">
            <w:pPr>
              <w:jc w:val="center"/>
              <w:rPr>
                <w:rFonts w:ascii="仿宋_GB2312" w:eastAsia="仿宋_GB2312" w:cs="Times New Roman"/>
                <w:kern w:val="0"/>
                <w:sz w:val="18"/>
                <w:szCs w:val="18"/>
              </w:rPr>
            </w:pPr>
            <w:r>
              <w:rPr>
                <w:rFonts w:hint="eastAsia" w:ascii="仿宋_GB2312" w:hAnsi="宋体" w:eastAsia="仿宋_GB2312"/>
                <w:kern w:val="0"/>
                <w:sz w:val="18"/>
                <w:szCs w:val="18"/>
              </w:rPr>
              <w:t>财政补助事业单位</w:t>
            </w:r>
          </w:p>
        </w:tc>
        <w:tc>
          <w:tcPr>
            <w:tcW w:w="2665" w:type="dxa"/>
            <w:vAlign w:val="top"/>
          </w:tcPr>
          <w:p w14:paraId="03AD0B43">
            <w:pPr>
              <w:jc w:val="center"/>
              <w:rPr>
                <w:rFonts w:ascii="仿宋_GB2312" w:eastAsia="仿宋_GB2312" w:cs="Times New Roman"/>
                <w:kern w:val="0"/>
                <w:sz w:val="18"/>
                <w:szCs w:val="18"/>
              </w:rPr>
            </w:pPr>
            <w:r>
              <w:rPr>
                <w:rFonts w:hint="eastAsia" w:ascii="仿宋_GB2312" w:hAnsi="宋体" w:eastAsia="仿宋_GB2312"/>
                <w:kern w:val="0"/>
                <w:sz w:val="18"/>
                <w:szCs w:val="18"/>
              </w:rPr>
              <w:t>财政性资金基本保证</w:t>
            </w:r>
          </w:p>
        </w:tc>
      </w:tr>
      <w:tr w14:paraId="6C37B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exact"/>
          <w:jc w:val="center"/>
        </w:trPr>
        <w:tc>
          <w:tcPr>
            <w:tcW w:w="985" w:type="dxa"/>
            <w:vAlign w:val="top"/>
          </w:tcPr>
          <w:p w14:paraId="56AB550A">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3</w:t>
            </w:r>
          </w:p>
        </w:tc>
        <w:tc>
          <w:tcPr>
            <w:tcW w:w="3485" w:type="dxa"/>
            <w:vAlign w:val="center"/>
          </w:tcPr>
          <w:p w14:paraId="3FBE2D7E">
            <w:pPr>
              <w:jc w:val="center"/>
              <w:rPr>
                <w:rFonts w:ascii="仿宋_GB2312" w:eastAsia="仿宋_GB2312" w:cs="Times New Roman"/>
                <w:kern w:val="0"/>
                <w:sz w:val="18"/>
                <w:szCs w:val="18"/>
              </w:rPr>
            </w:pPr>
            <w:r>
              <w:rPr>
                <w:rFonts w:hint="eastAsia" w:ascii="仿宋_GB2312" w:hAnsi="宋体" w:eastAsia="仿宋_GB2312"/>
                <w:kern w:val="0"/>
                <w:sz w:val="18"/>
                <w:szCs w:val="18"/>
              </w:rPr>
              <w:t>鹿泉区第二中学</w:t>
            </w:r>
          </w:p>
        </w:tc>
        <w:tc>
          <w:tcPr>
            <w:tcW w:w="2445" w:type="dxa"/>
            <w:vAlign w:val="top"/>
          </w:tcPr>
          <w:p w14:paraId="0C39686C">
            <w:pPr>
              <w:jc w:val="center"/>
              <w:rPr>
                <w:rFonts w:ascii="仿宋_GB2312" w:eastAsia="仿宋_GB2312" w:cs="Times New Roman"/>
                <w:kern w:val="0"/>
                <w:sz w:val="18"/>
                <w:szCs w:val="18"/>
              </w:rPr>
            </w:pPr>
            <w:r>
              <w:rPr>
                <w:rFonts w:hint="eastAsia" w:ascii="仿宋_GB2312" w:hAnsi="宋体" w:eastAsia="仿宋_GB2312"/>
                <w:kern w:val="0"/>
                <w:sz w:val="18"/>
                <w:szCs w:val="18"/>
              </w:rPr>
              <w:t>财政补助事业单位</w:t>
            </w:r>
          </w:p>
        </w:tc>
        <w:tc>
          <w:tcPr>
            <w:tcW w:w="2665" w:type="dxa"/>
            <w:vAlign w:val="top"/>
          </w:tcPr>
          <w:p w14:paraId="3D017243">
            <w:pPr>
              <w:jc w:val="center"/>
              <w:rPr>
                <w:rFonts w:ascii="仿宋_GB2312" w:eastAsia="仿宋_GB2312" w:cs="Times New Roman"/>
                <w:kern w:val="0"/>
                <w:sz w:val="18"/>
                <w:szCs w:val="18"/>
              </w:rPr>
            </w:pPr>
            <w:r>
              <w:rPr>
                <w:rFonts w:hint="eastAsia" w:ascii="仿宋_GB2312" w:hAnsi="宋体" w:eastAsia="仿宋_GB2312"/>
                <w:kern w:val="0"/>
                <w:sz w:val="18"/>
                <w:szCs w:val="18"/>
              </w:rPr>
              <w:t>财政性资金基本保证</w:t>
            </w:r>
          </w:p>
        </w:tc>
      </w:tr>
      <w:tr w14:paraId="31327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vAlign w:val="top"/>
          </w:tcPr>
          <w:p w14:paraId="77B42C18">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rPr>
              <w:t>4</w:t>
            </w:r>
          </w:p>
        </w:tc>
        <w:tc>
          <w:tcPr>
            <w:tcW w:w="3485" w:type="dxa"/>
            <w:vAlign w:val="center"/>
          </w:tcPr>
          <w:p w14:paraId="4AAB0873">
            <w:pPr>
              <w:jc w:val="center"/>
              <w:rPr>
                <w:rFonts w:ascii="仿宋_GB2312" w:eastAsia="仿宋_GB2312" w:cs="Times New Roman"/>
                <w:kern w:val="0"/>
                <w:sz w:val="18"/>
                <w:szCs w:val="18"/>
              </w:rPr>
            </w:pPr>
            <w:r>
              <w:rPr>
                <w:rFonts w:hint="eastAsia" w:ascii="仿宋_GB2312" w:hAnsi="宋体" w:eastAsia="仿宋_GB2312"/>
                <w:kern w:val="0"/>
                <w:sz w:val="18"/>
                <w:szCs w:val="18"/>
              </w:rPr>
              <w:t>鹿泉区第三中学</w:t>
            </w:r>
          </w:p>
        </w:tc>
        <w:tc>
          <w:tcPr>
            <w:tcW w:w="2445" w:type="dxa"/>
            <w:vAlign w:val="top"/>
          </w:tcPr>
          <w:p w14:paraId="597EE82D">
            <w:pPr>
              <w:jc w:val="center"/>
              <w:rPr>
                <w:rFonts w:ascii="仿宋_GB2312" w:eastAsia="仿宋_GB2312" w:cs="Times New Roman"/>
                <w:kern w:val="0"/>
                <w:sz w:val="18"/>
                <w:szCs w:val="18"/>
              </w:rPr>
            </w:pPr>
            <w:r>
              <w:rPr>
                <w:rFonts w:hint="eastAsia" w:ascii="仿宋_GB2312" w:hAnsi="宋体" w:eastAsia="仿宋_GB2312"/>
                <w:kern w:val="0"/>
                <w:sz w:val="18"/>
                <w:szCs w:val="18"/>
              </w:rPr>
              <w:t>财政补助事业单位</w:t>
            </w:r>
          </w:p>
        </w:tc>
        <w:tc>
          <w:tcPr>
            <w:tcW w:w="2665" w:type="dxa"/>
            <w:vAlign w:val="top"/>
          </w:tcPr>
          <w:p w14:paraId="6D4EB051">
            <w:pPr>
              <w:jc w:val="center"/>
              <w:rPr>
                <w:rFonts w:ascii="仿宋_GB2312" w:eastAsia="仿宋_GB2312" w:cs="Times New Roman"/>
                <w:kern w:val="0"/>
                <w:sz w:val="18"/>
                <w:szCs w:val="18"/>
              </w:rPr>
            </w:pPr>
            <w:r>
              <w:rPr>
                <w:rFonts w:hint="eastAsia" w:ascii="仿宋_GB2312" w:hAnsi="宋体" w:eastAsia="仿宋_GB2312"/>
                <w:kern w:val="0"/>
                <w:sz w:val="18"/>
                <w:szCs w:val="18"/>
              </w:rPr>
              <w:t>财政性资金基本保证</w:t>
            </w:r>
          </w:p>
        </w:tc>
      </w:tr>
      <w:tr w14:paraId="64118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exact"/>
          <w:jc w:val="center"/>
        </w:trPr>
        <w:tc>
          <w:tcPr>
            <w:tcW w:w="985" w:type="dxa"/>
            <w:tcBorders>
              <w:left w:val="single" w:color="auto" w:sz="4" w:space="0"/>
              <w:right w:val="single" w:color="auto" w:sz="4" w:space="0"/>
            </w:tcBorders>
            <w:vAlign w:val="top"/>
          </w:tcPr>
          <w:p w14:paraId="613187F0">
            <w:pPr>
              <w:spacing w:line="560" w:lineRule="exact"/>
              <w:jc w:val="center"/>
              <w:rPr>
                <w:rFonts w:hint="eastAsia"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rPr>
              <w:t>5</w:t>
            </w:r>
          </w:p>
        </w:tc>
        <w:tc>
          <w:tcPr>
            <w:tcW w:w="3485" w:type="dxa"/>
            <w:tcBorders>
              <w:left w:val="single" w:color="auto" w:sz="4" w:space="0"/>
              <w:right w:val="single" w:color="auto" w:sz="4" w:space="0"/>
            </w:tcBorders>
            <w:vAlign w:val="center"/>
          </w:tcPr>
          <w:p w14:paraId="7FE868D6">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鹿泉区实验高级中学（职业中专）</w:t>
            </w:r>
          </w:p>
        </w:tc>
        <w:tc>
          <w:tcPr>
            <w:tcW w:w="2445" w:type="dxa"/>
            <w:tcBorders>
              <w:left w:val="single" w:color="auto" w:sz="4" w:space="0"/>
              <w:right w:val="single" w:color="auto" w:sz="4" w:space="0"/>
            </w:tcBorders>
            <w:vAlign w:val="top"/>
          </w:tcPr>
          <w:p w14:paraId="23356FE6">
            <w:pPr>
              <w:jc w:val="center"/>
              <w:rPr>
                <w:rFonts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20DAB30F">
            <w:pPr>
              <w:jc w:val="center"/>
              <w:rPr>
                <w:rFonts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4EA4F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4F035823">
            <w:pPr>
              <w:spacing w:line="560" w:lineRule="exact"/>
              <w:jc w:val="center"/>
              <w:rPr>
                <w:rFonts w:hint="eastAsia"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rPr>
              <w:t>6</w:t>
            </w:r>
          </w:p>
        </w:tc>
        <w:tc>
          <w:tcPr>
            <w:tcW w:w="3485" w:type="dxa"/>
            <w:tcBorders>
              <w:left w:val="single" w:color="auto" w:sz="4" w:space="0"/>
              <w:right w:val="single" w:color="auto" w:sz="4" w:space="0"/>
            </w:tcBorders>
            <w:vAlign w:val="center"/>
          </w:tcPr>
          <w:p w14:paraId="165F10D4">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鹿泉区职教中心</w:t>
            </w:r>
          </w:p>
        </w:tc>
        <w:tc>
          <w:tcPr>
            <w:tcW w:w="2445" w:type="dxa"/>
            <w:tcBorders>
              <w:left w:val="single" w:color="auto" w:sz="4" w:space="0"/>
              <w:right w:val="single" w:color="auto" w:sz="4" w:space="0"/>
            </w:tcBorders>
            <w:vAlign w:val="top"/>
          </w:tcPr>
          <w:p w14:paraId="2B31CA64">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728AF378">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79885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6C098078">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7</w:t>
            </w:r>
          </w:p>
        </w:tc>
        <w:tc>
          <w:tcPr>
            <w:tcW w:w="3485" w:type="dxa"/>
            <w:tcBorders>
              <w:left w:val="single" w:color="auto" w:sz="4" w:space="0"/>
              <w:right w:val="single" w:color="auto" w:sz="4" w:space="0"/>
            </w:tcBorders>
            <w:vAlign w:val="center"/>
          </w:tcPr>
          <w:p w14:paraId="366CF5EF">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鹿泉区第一幼儿园</w:t>
            </w:r>
          </w:p>
        </w:tc>
        <w:tc>
          <w:tcPr>
            <w:tcW w:w="2445" w:type="dxa"/>
            <w:tcBorders>
              <w:left w:val="single" w:color="auto" w:sz="4" w:space="0"/>
              <w:right w:val="single" w:color="auto" w:sz="4" w:space="0"/>
            </w:tcBorders>
            <w:vAlign w:val="top"/>
          </w:tcPr>
          <w:p w14:paraId="78BBDF9B">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422C3588">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6F9E1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3C7769B6">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8</w:t>
            </w:r>
          </w:p>
        </w:tc>
        <w:tc>
          <w:tcPr>
            <w:tcW w:w="3485" w:type="dxa"/>
            <w:tcBorders>
              <w:left w:val="single" w:color="auto" w:sz="4" w:space="0"/>
              <w:right w:val="single" w:color="auto" w:sz="4" w:space="0"/>
            </w:tcBorders>
            <w:vAlign w:val="center"/>
          </w:tcPr>
          <w:p w14:paraId="77052EF2">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鹿泉区幼儿园</w:t>
            </w:r>
          </w:p>
        </w:tc>
        <w:tc>
          <w:tcPr>
            <w:tcW w:w="2445" w:type="dxa"/>
            <w:tcBorders>
              <w:left w:val="single" w:color="auto" w:sz="4" w:space="0"/>
              <w:right w:val="single" w:color="auto" w:sz="4" w:space="0"/>
            </w:tcBorders>
            <w:vAlign w:val="top"/>
          </w:tcPr>
          <w:p w14:paraId="555FECA6">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52E52BD7">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4A3BC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1443D6F4">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9</w:t>
            </w:r>
          </w:p>
        </w:tc>
        <w:tc>
          <w:tcPr>
            <w:tcW w:w="3485" w:type="dxa"/>
            <w:tcBorders>
              <w:left w:val="single" w:color="auto" w:sz="4" w:space="0"/>
              <w:right w:val="single" w:color="auto" w:sz="4" w:space="0"/>
            </w:tcBorders>
            <w:vAlign w:val="center"/>
          </w:tcPr>
          <w:p w14:paraId="429460F4">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鹿泉区育才小学</w:t>
            </w:r>
          </w:p>
        </w:tc>
        <w:tc>
          <w:tcPr>
            <w:tcW w:w="2445" w:type="dxa"/>
            <w:tcBorders>
              <w:left w:val="single" w:color="auto" w:sz="4" w:space="0"/>
              <w:right w:val="single" w:color="auto" w:sz="4" w:space="0"/>
            </w:tcBorders>
            <w:vAlign w:val="top"/>
          </w:tcPr>
          <w:p w14:paraId="2825C809">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3ACDF823">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299E9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2DEA0B86">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10</w:t>
            </w:r>
          </w:p>
        </w:tc>
        <w:tc>
          <w:tcPr>
            <w:tcW w:w="3485" w:type="dxa"/>
            <w:tcBorders>
              <w:left w:val="single" w:color="auto" w:sz="4" w:space="0"/>
              <w:right w:val="single" w:color="auto" w:sz="4" w:space="0"/>
            </w:tcBorders>
            <w:vAlign w:val="center"/>
          </w:tcPr>
          <w:p w14:paraId="398E0DF2">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鹿泉区实践中心</w:t>
            </w:r>
          </w:p>
        </w:tc>
        <w:tc>
          <w:tcPr>
            <w:tcW w:w="2445" w:type="dxa"/>
            <w:tcBorders>
              <w:left w:val="single" w:color="auto" w:sz="4" w:space="0"/>
              <w:right w:val="single" w:color="auto" w:sz="4" w:space="0"/>
            </w:tcBorders>
            <w:vAlign w:val="top"/>
          </w:tcPr>
          <w:p w14:paraId="2FB01303">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422E876E">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32410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067CB366">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11</w:t>
            </w:r>
          </w:p>
        </w:tc>
        <w:tc>
          <w:tcPr>
            <w:tcW w:w="3485" w:type="dxa"/>
            <w:tcBorders>
              <w:left w:val="single" w:color="auto" w:sz="4" w:space="0"/>
              <w:right w:val="single" w:color="auto" w:sz="4" w:space="0"/>
            </w:tcBorders>
            <w:vAlign w:val="center"/>
          </w:tcPr>
          <w:p w14:paraId="4C6017C9">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鹿泉区实验初级中学</w:t>
            </w:r>
          </w:p>
        </w:tc>
        <w:tc>
          <w:tcPr>
            <w:tcW w:w="2445" w:type="dxa"/>
            <w:tcBorders>
              <w:left w:val="single" w:color="auto" w:sz="4" w:space="0"/>
              <w:right w:val="single" w:color="auto" w:sz="4" w:space="0"/>
            </w:tcBorders>
            <w:vAlign w:val="top"/>
          </w:tcPr>
          <w:p w14:paraId="4EDAA256">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4B7762A4">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3FEE1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3B6458C1">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12</w:t>
            </w:r>
          </w:p>
        </w:tc>
        <w:tc>
          <w:tcPr>
            <w:tcW w:w="3485" w:type="dxa"/>
            <w:tcBorders>
              <w:left w:val="single" w:color="auto" w:sz="4" w:space="0"/>
              <w:right w:val="single" w:color="auto" w:sz="4" w:space="0"/>
            </w:tcBorders>
            <w:vAlign w:val="center"/>
          </w:tcPr>
          <w:p w14:paraId="1E84605B">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鹿泉区教师进修学校</w:t>
            </w:r>
          </w:p>
        </w:tc>
        <w:tc>
          <w:tcPr>
            <w:tcW w:w="2445" w:type="dxa"/>
            <w:tcBorders>
              <w:left w:val="single" w:color="auto" w:sz="4" w:space="0"/>
              <w:right w:val="single" w:color="auto" w:sz="4" w:space="0"/>
            </w:tcBorders>
            <w:vAlign w:val="top"/>
          </w:tcPr>
          <w:p w14:paraId="13C9CA26">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5CBC14A3">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27B7E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06A091C3">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13</w:t>
            </w:r>
          </w:p>
        </w:tc>
        <w:tc>
          <w:tcPr>
            <w:tcW w:w="3485" w:type="dxa"/>
            <w:tcBorders>
              <w:left w:val="single" w:color="auto" w:sz="4" w:space="0"/>
              <w:right w:val="single" w:color="auto" w:sz="4" w:space="0"/>
            </w:tcBorders>
            <w:vAlign w:val="center"/>
          </w:tcPr>
          <w:p w14:paraId="2C2EC30E">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鹿泉区青少年校外活动中心</w:t>
            </w:r>
          </w:p>
        </w:tc>
        <w:tc>
          <w:tcPr>
            <w:tcW w:w="2445" w:type="dxa"/>
            <w:tcBorders>
              <w:left w:val="single" w:color="auto" w:sz="4" w:space="0"/>
              <w:right w:val="single" w:color="auto" w:sz="4" w:space="0"/>
            </w:tcBorders>
            <w:vAlign w:val="top"/>
          </w:tcPr>
          <w:p w14:paraId="23B17961">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23D0C07C">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09BD7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3839C111">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14</w:t>
            </w:r>
          </w:p>
        </w:tc>
        <w:tc>
          <w:tcPr>
            <w:tcW w:w="3485" w:type="dxa"/>
            <w:tcBorders>
              <w:left w:val="single" w:color="auto" w:sz="4" w:space="0"/>
              <w:right w:val="single" w:color="auto" w:sz="4" w:space="0"/>
            </w:tcBorders>
            <w:vAlign w:val="center"/>
          </w:tcPr>
          <w:p w14:paraId="7540C0E8">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鹿泉区特教学校</w:t>
            </w:r>
          </w:p>
        </w:tc>
        <w:tc>
          <w:tcPr>
            <w:tcW w:w="2445" w:type="dxa"/>
            <w:tcBorders>
              <w:left w:val="single" w:color="auto" w:sz="4" w:space="0"/>
              <w:right w:val="single" w:color="auto" w:sz="4" w:space="0"/>
            </w:tcBorders>
            <w:vAlign w:val="top"/>
          </w:tcPr>
          <w:p w14:paraId="7D222342">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5B263FD1">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68092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30C1B236">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15</w:t>
            </w:r>
          </w:p>
        </w:tc>
        <w:tc>
          <w:tcPr>
            <w:tcW w:w="3485" w:type="dxa"/>
            <w:tcBorders>
              <w:left w:val="single" w:color="auto" w:sz="4" w:space="0"/>
              <w:right w:val="single" w:color="auto" w:sz="4" w:space="0"/>
            </w:tcBorders>
            <w:vAlign w:val="center"/>
          </w:tcPr>
          <w:p w14:paraId="7EE132F0">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鹿泉区白鹿泉中心校</w:t>
            </w:r>
          </w:p>
        </w:tc>
        <w:tc>
          <w:tcPr>
            <w:tcW w:w="2445" w:type="dxa"/>
            <w:tcBorders>
              <w:left w:val="single" w:color="auto" w:sz="4" w:space="0"/>
              <w:right w:val="single" w:color="auto" w:sz="4" w:space="0"/>
            </w:tcBorders>
            <w:vAlign w:val="top"/>
          </w:tcPr>
          <w:p w14:paraId="43DB5A58">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3D790399">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06329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46FBF517">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16</w:t>
            </w:r>
          </w:p>
        </w:tc>
        <w:tc>
          <w:tcPr>
            <w:tcW w:w="3485" w:type="dxa"/>
            <w:tcBorders>
              <w:left w:val="single" w:color="auto" w:sz="4" w:space="0"/>
              <w:right w:val="single" w:color="auto" w:sz="4" w:space="0"/>
            </w:tcBorders>
            <w:vAlign w:val="center"/>
          </w:tcPr>
          <w:p w14:paraId="0AED0166">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鹿泉区石井中心校</w:t>
            </w:r>
          </w:p>
        </w:tc>
        <w:tc>
          <w:tcPr>
            <w:tcW w:w="2445" w:type="dxa"/>
            <w:tcBorders>
              <w:left w:val="single" w:color="auto" w:sz="4" w:space="0"/>
              <w:right w:val="single" w:color="auto" w:sz="4" w:space="0"/>
            </w:tcBorders>
            <w:vAlign w:val="top"/>
          </w:tcPr>
          <w:p w14:paraId="736488B1">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0B28F187">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22C7D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4B1B7838">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17</w:t>
            </w:r>
          </w:p>
        </w:tc>
        <w:tc>
          <w:tcPr>
            <w:tcW w:w="3485" w:type="dxa"/>
            <w:tcBorders>
              <w:left w:val="single" w:color="auto" w:sz="4" w:space="0"/>
              <w:right w:val="single" w:color="auto" w:sz="4" w:space="0"/>
            </w:tcBorders>
            <w:vAlign w:val="center"/>
          </w:tcPr>
          <w:p w14:paraId="3E650502">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鹿泉区获鹿中心校</w:t>
            </w:r>
          </w:p>
        </w:tc>
        <w:tc>
          <w:tcPr>
            <w:tcW w:w="2445" w:type="dxa"/>
            <w:tcBorders>
              <w:left w:val="single" w:color="auto" w:sz="4" w:space="0"/>
              <w:right w:val="single" w:color="auto" w:sz="4" w:space="0"/>
            </w:tcBorders>
            <w:vAlign w:val="top"/>
          </w:tcPr>
          <w:p w14:paraId="77B25B42">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05C624F9">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6EB9D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6A8E0BD6">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18</w:t>
            </w:r>
          </w:p>
        </w:tc>
        <w:tc>
          <w:tcPr>
            <w:tcW w:w="3485" w:type="dxa"/>
            <w:tcBorders>
              <w:left w:val="single" w:color="auto" w:sz="4" w:space="0"/>
              <w:right w:val="single" w:color="auto" w:sz="4" w:space="0"/>
            </w:tcBorders>
            <w:vAlign w:val="center"/>
          </w:tcPr>
          <w:p w14:paraId="3CCF68BB">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鹿泉经济开发区中心校</w:t>
            </w:r>
          </w:p>
        </w:tc>
        <w:tc>
          <w:tcPr>
            <w:tcW w:w="2445" w:type="dxa"/>
            <w:tcBorders>
              <w:left w:val="single" w:color="auto" w:sz="4" w:space="0"/>
              <w:right w:val="single" w:color="auto" w:sz="4" w:space="0"/>
            </w:tcBorders>
            <w:vAlign w:val="top"/>
          </w:tcPr>
          <w:p w14:paraId="3B7E1A3E">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2AAE43B7">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4D05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54E653B9">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19</w:t>
            </w:r>
          </w:p>
        </w:tc>
        <w:tc>
          <w:tcPr>
            <w:tcW w:w="3485" w:type="dxa"/>
            <w:tcBorders>
              <w:left w:val="single" w:color="auto" w:sz="4" w:space="0"/>
              <w:right w:val="single" w:color="auto" w:sz="4" w:space="0"/>
            </w:tcBorders>
            <w:vAlign w:val="center"/>
          </w:tcPr>
          <w:p w14:paraId="54E1D24A">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鹿泉区大河中心校</w:t>
            </w:r>
          </w:p>
        </w:tc>
        <w:tc>
          <w:tcPr>
            <w:tcW w:w="2445" w:type="dxa"/>
            <w:tcBorders>
              <w:left w:val="single" w:color="auto" w:sz="4" w:space="0"/>
              <w:right w:val="single" w:color="auto" w:sz="4" w:space="0"/>
            </w:tcBorders>
            <w:vAlign w:val="top"/>
          </w:tcPr>
          <w:p w14:paraId="6ED1336A">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1EF15BBD">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7C2CD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40075895">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20</w:t>
            </w:r>
          </w:p>
        </w:tc>
        <w:tc>
          <w:tcPr>
            <w:tcW w:w="3485" w:type="dxa"/>
            <w:tcBorders>
              <w:left w:val="single" w:color="auto" w:sz="4" w:space="0"/>
              <w:right w:val="single" w:color="auto" w:sz="4" w:space="0"/>
            </w:tcBorders>
            <w:vAlign w:val="center"/>
          </w:tcPr>
          <w:p w14:paraId="73822207">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鹿泉区上庄中心校</w:t>
            </w:r>
          </w:p>
        </w:tc>
        <w:tc>
          <w:tcPr>
            <w:tcW w:w="2445" w:type="dxa"/>
            <w:tcBorders>
              <w:left w:val="single" w:color="auto" w:sz="4" w:space="0"/>
              <w:right w:val="single" w:color="auto" w:sz="4" w:space="0"/>
            </w:tcBorders>
            <w:vAlign w:val="top"/>
          </w:tcPr>
          <w:p w14:paraId="700AFA8A">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2EC9A261">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08146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62EE600F">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21</w:t>
            </w:r>
          </w:p>
        </w:tc>
        <w:tc>
          <w:tcPr>
            <w:tcW w:w="3485" w:type="dxa"/>
            <w:tcBorders>
              <w:left w:val="single" w:color="auto" w:sz="4" w:space="0"/>
              <w:right w:val="single" w:color="auto" w:sz="4" w:space="0"/>
            </w:tcBorders>
            <w:vAlign w:val="center"/>
          </w:tcPr>
          <w:p w14:paraId="57CBCFE4">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鹿泉区铜冶中心校</w:t>
            </w:r>
          </w:p>
        </w:tc>
        <w:tc>
          <w:tcPr>
            <w:tcW w:w="2445" w:type="dxa"/>
            <w:tcBorders>
              <w:left w:val="single" w:color="auto" w:sz="4" w:space="0"/>
              <w:right w:val="single" w:color="auto" w:sz="4" w:space="0"/>
            </w:tcBorders>
            <w:vAlign w:val="top"/>
          </w:tcPr>
          <w:p w14:paraId="41D69560">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6FBF3A32">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531D5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07CD993B">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22</w:t>
            </w:r>
          </w:p>
        </w:tc>
        <w:tc>
          <w:tcPr>
            <w:tcW w:w="3485" w:type="dxa"/>
            <w:tcBorders>
              <w:left w:val="single" w:color="auto" w:sz="4" w:space="0"/>
              <w:right w:val="single" w:color="auto" w:sz="4" w:space="0"/>
            </w:tcBorders>
            <w:vAlign w:val="center"/>
          </w:tcPr>
          <w:p w14:paraId="3DC85E46">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鹿泉区上寨中心校</w:t>
            </w:r>
          </w:p>
        </w:tc>
        <w:tc>
          <w:tcPr>
            <w:tcW w:w="2445" w:type="dxa"/>
            <w:tcBorders>
              <w:left w:val="single" w:color="auto" w:sz="4" w:space="0"/>
              <w:right w:val="single" w:color="auto" w:sz="4" w:space="0"/>
            </w:tcBorders>
            <w:vAlign w:val="top"/>
          </w:tcPr>
          <w:p w14:paraId="24958214">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31FE6742">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66871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224C1702">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23</w:t>
            </w:r>
          </w:p>
        </w:tc>
        <w:tc>
          <w:tcPr>
            <w:tcW w:w="3485" w:type="dxa"/>
            <w:tcBorders>
              <w:left w:val="single" w:color="auto" w:sz="4" w:space="0"/>
              <w:right w:val="single" w:color="auto" w:sz="4" w:space="0"/>
            </w:tcBorders>
            <w:vAlign w:val="center"/>
          </w:tcPr>
          <w:p w14:paraId="699C7C00">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鹿泉区寺家庄中心校</w:t>
            </w:r>
          </w:p>
        </w:tc>
        <w:tc>
          <w:tcPr>
            <w:tcW w:w="2445" w:type="dxa"/>
            <w:tcBorders>
              <w:left w:val="single" w:color="auto" w:sz="4" w:space="0"/>
              <w:right w:val="single" w:color="auto" w:sz="4" w:space="0"/>
            </w:tcBorders>
            <w:vAlign w:val="top"/>
          </w:tcPr>
          <w:p w14:paraId="081E474C">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4A28B7FB">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6082F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7A8289C9">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24</w:t>
            </w:r>
          </w:p>
        </w:tc>
        <w:tc>
          <w:tcPr>
            <w:tcW w:w="3485" w:type="dxa"/>
            <w:tcBorders>
              <w:left w:val="single" w:color="auto" w:sz="4" w:space="0"/>
              <w:right w:val="single" w:color="auto" w:sz="4" w:space="0"/>
            </w:tcBorders>
            <w:vAlign w:val="center"/>
          </w:tcPr>
          <w:p w14:paraId="16CDFDF6">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鹿泉区宜安中心校</w:t>
            </w:r>
          </w:p>
        </w:tc>
        <w:tc>
          <w:tcPr>
            <w:tcW w:w="2445" w:type="dxa"/>
            <w:tcBorders>
              <w:left w:val="single" w:color="auto" w:sz="4" w:space="0"/>
              <w:right w:val="single" w:color="auto" w:sz="4" w:space="0"/>
            </w:tcBorders>
            <w:vAlign w:val="top"/>
          </w:tcPr>
          <w:p w14:paraId="355D7C65">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01D85965">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01E51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6F284CCE">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25</w:t>
            </w:r>
          </w:p>
        </w:tc>
        <w:tc>
          <w:tcPr>
            <w:tcW w:w="3485" w:type="dxa"/>
            <w:tcBorders>
              <w:left w:val="single" w:color="auto" w:sz="4" w:space="0"/>
              <w:right w:val="single" w:color="auto" w:sz="4" w:space="0"/>
            </w:tcBorders>
            <w:vAlign w:val="center"/>
          </w:tcPr>
          <w:p w14:paraId="019B2799">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鹿泉区李村中心校</w:t>
            </w:r>
          </w:p>
        </w:tc>
        <w:tc>
          <w:tcPr>
            <w:tcW w:w="2445" w:type="dxa"/>
            <w:tcBorders>
              <w:left w:val="single" w:color="auto" w:sz="4" w:space="0"/>
              <w:right w:val="single" w:color="auto" w:sz="4" w:space="0"/>
            </w:tcBorders>
            <w:vAlign w:val="top"/>
          </w:tcPr>
          <w:p w14:paraId="6DBCD8CE">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5B755623">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3306E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2E12644D">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26</w:t>
            </w:r>
          </w:p>
        </w:tc>
        <w:tc>
          <w:tcPr>
            <w:tcW w:w="3485" w:type="dxa"/>
            <w:tcBorders>
              <w:left w:val="single" w:color="auto" w:sz="4" w:space="0"/>
              <w:right w:val="single" w:color="auto" w:sz="4" w:space="0"/>
            </w:tcBorders>
            <w:vAlign w:val="center"/>
          </w:tcPr>
          <w:p w14:paraId="23F248EB">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鹿泉区黄壁庄中心校</w:t>
            </w:r>
          </w:p>
        </w:tc>
        <w:tc>
          <w:tcPr>
            <w:tcW w:w="2445" w:type="dxa"/>
            <w:tcBorders>
              <w:left w:val="single" w:color="auto" w:sz="4" w:space="0"/>
              <w:right w:val="single" w:color="auto" w:sz="4" w:space="0"/>
            </w:tcBorders>
            <w:vAlign w:val="top"/>
          </w:tcPr>
          <w:p w14:paraId="27AC80A7">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666C3F75">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51BF0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2C853E1C">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27</w:t>
            </w:r>
          </w:p>
        </w:tc>
        <w:tc>
          <w:tcPr>
            <w:tcW w:w="3485" w:type="dxa"/>
            <w:tcBorders>
              <w:left w:val="single" w:color="auto" w:sz="4" w:space="0"/>
              <w:right w:val="single" w:color="auto" w:sz="4" w:space="0"/>
            </w:tcBorders>
            <w:vAlign w:val="center"/>
          </w:tcPr>
          <w:p w14:paraId="6BBE9F03">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鹿泉区山尹村中心校</w:t>
            </w:r>
          </w:p>
        </w:tc>
        <w:tc>
          <w:tcPr>
            <w:tcW w:w="2445" w:type="dxa"/>
            <w:tcBorders>
              <w:left w:val="single" w:color="auto" w:sz="4" w:space="0"/>
              <w:right w:val="single" w:color="auto" w:sz="4" w:space="0"/>
            </w:tcBorders>
            <w:vAlign w:val="top"/>
          </w:tcPr>
          <w:p w14:paraId="50A24CDB">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7501A299">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39B00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14:paraId="5856E731">
            <w:pPr>
              <w:spacing w:line="560" w:lineRule="exact"/>
              <w:jc w:val="center"/>
              <w:rPr>
                <w:rFonts w:hint="default" w:ascii="仿宋_GB2312" w:eastAsia="仿宋_GB2312" w:cs="ArialUnicodeMS" w:hAnsiTheme="minorHAnsi"/>
                <w:kern w:val="0"/>
                <w:sz w:val="28"/>
                <w:szCs w:val="28"/>
                <w:lang w:val="en-US" w:eastAsia="zh-CN" w:bidi="ar-SA"/>
              </w:rPr>
            </w:pPr>
            <w:r>
              <w:rPr>
                <w:rFonts w:hint="eastAsia" w:ascii="仿宋_GB2312" w:eastAsia="仿宋_GB2312" w:cs="ArialUnicodeMS" w:hAnsiTheme="minorHAnsi"/>
                <w:kern w:val="0"/>
                <w:sz w:val="28"/>
                <w:szCs w:val="28"/>
                <w:lang w:val="en-US" w:eastAsia="zh-CN" w:bidi="ar-SA"/>
              </w:rPr>
              <w:t>28</w:t>
            </w:r>
          </w:p>
        </w:tc>
        <w:tc>
          <w:tcPr>
            <w:tcW w:w="3485" w:type="dxa"/>
            <w:tcBorders>
              <w:left w:val="single" w:color="auto" w:sz="4" w:space="0"/>
              <w:right w:val="single" w:color="auto" w:sz="4" w:space="0"/>
            </w:tcBorders>
            <w:vAlign w:val="center"/>
          </w:tcPr>
          <w:p w14:paraId="0B2B5A1A">
            <w:pPr>
              <w:jc w:val="center"/>
              <w:rPr>
                <w:rFonts w:hint="eastAsia" w:ascii="仿宋_GB2312" w:eastAsia="仿宋_GB2312" w:cs="ArialUnicodeMS" w:hAnsiTheme="minorHAnsi"/>
                <w:kern w:val="0"/>
                <w:sz w:val="18"/>
                <w:szCs w:val="18"/>
                <w:lang w:val="en-US" w:eastAsia="zh-CN" w:bidi="ar-SA"/>
              </w:rPr>
            </w:pPr>
            <w:r>
              <w:rPr>
                <w:rFonts w:hint="eastAsia" w:ascii="仿宋_GB2312" w:eastAsia="仿宋_GB2312" w:cs="ArialUnicodeMS" w:hAnsiTheme="minorHAnsi"/>
                <w:kern w:val="0"/>
                <w:sz w:val="18"/>
                <w:szCs w:val="18"/>
                <w:lang w:val="en-US" w:eastAsia="zh-CN" w:bidi="ar-SA"/>
              </w:rPr>
              <w:t>鹿泉区育才中学</w:t>
            </w:r>
          </w:p>
        </w:tc>
        <w:tc>
          <w:tcPr>
            <w:tcW w:w="2445" w:type="dxa"/>
            <w:tcBorders>
              <w:left w:val="single" w:color="auto" w:sz="4" w:space="0"/>
              <w:right w:val="single" w:color="auto" w:sz="4" w:space="0"/>
            </w:tcBorders>
            <w:vAlign w:val="top"/>
          </w:tcPr>
          <w:p w14:paraId="0CE2A6E5">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14:paraId="5578EF91">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14:paraId="1EA8D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vAlign w:val="top"/>
          </w:tcPr>
          <w:p w14:paraId="2DB0C20E">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14:paraId="6654644C">
            <w:pPr>
              <w:spacing w:line="560" w:lineRule="exact"/>
              <w:jc w:val="left"/>
              <w:rPr>
                <w:rFonts w:hint="eastAsia" w:ascii="仿宋_GB2312" w:hAnsi="宋体" w:eastAsia="仿宋_GB2312"/>
                <w:kern w:val="0"/>
                <w:sz w:val="21"/>
                <w:szCs w:val="21"/>
              </w:rPr>
            </w:pPr>
            <w:r>
              <w:rPr>
                <w:rFonts w:hint="eastAsia" w:ascii="仿宋_GB2312" w:eastAsia="仿宋_GB2312" w:cs="Arial Black"/>
                <w:kern w:val="0"/>
                <w:sz w:val="28"/>
                <w:szCs w:val="28"/>
                <w:lang w:val="en-US" w:eastAsia="zh-CN"/>
              </w:rPr>
              <w:t xml:space="preserve">   </w:t>
            </w: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14:paraId="1A47A26B">
      <w:pPr>
        <w:numPr>
          <w:ilvl w:val="0"/>
          <w:numId w:val="1"/>
        </w:numPr>
        <w:adjustRightInd w:val="0"/>
        <w:snapToGrid w:val="0"/>
        <w:spacing w:line="560" w:lineRule="exact"/>
        <w:ind w:firstLine="640" w:firstLineChars="200"/>
        <w:rPr>
          <w:rFonts w:hint="eastAsia" w:ascii="黑体" w:hAnsi="黑体" w:eastAsia="黑体" w:cs="黑体"/>
          <w:sz w:val="32"/>
          <w:szCs w:val="32"/>
          <w:lang w:eastAsia="zh-CN"/>
        </w:rPr>
      </w:pPr>
      <w:r>
        <w:rPr>
          <w:rFonts w:hint="eastAsia" w:ascii="黑体" w:hAnsi="黑体" w:eastAsia="黑体" w:cs="黑体"/>
          <w:sz w:val="32"/>
          <w:szCs w:val="32"/>
          <w:lang w:eastAsia="zh-CN"/>
        </w:rPr>
        <w:t>资产占用情况</w:t>
      </w:r>
    </w:p>
    <w:p w14:paraId="71E70978">
      <w:pPr>
        <w:numPr>
          <w:ilvl w:val="0"/>
          <w:numId w:val="0"/>
        </w:numPr>
        <w:adjustRightInd w:val="0"/>
        <w:snapToGrid w:val="0"/>
        <w:spacing w:line="560" w:lineRule="exact"/>
        <w:ind w:firstLine="640" w:firstLineChars="200"/>
        <w:rPr>
          <w:rFonts w:ascii="仿宋" w:hAnsi="仿宋" w:eastAsia="仿宋"/>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4</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日，本部门共有车辆</w:t>
      </w:r>
      <w:r>
        <w:rPr>
          <w:rFonts w:hint="eastAsia" w:ascii="仿宋_GB2312" w:hAnsi="Times New Roman" w:eastAsia="仿宋_GB2312" w:cs="仿宋_GB2312"/>
          <w:sz w:val="32"/>
          <w:szCs w:val="32"/>
          <w:lang w:val="en-US" w:eastAsia="zh-CN"/>
        </w:rPr>
        <w:t>30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上年</w:t>
      </w:r>
      <w:r>
        <w:rPr>
          <w:rFonts w:hint="eastAsia" w:ascii="仿宋_GB2312" w:hAnsi="Times New Roman" w:eastAsia="仿宋_GB2312" w:cs="仿宋_GB2312"/>
          <w:sz w:val="32"/>
          <w:szCs w:val="32"/>
          <w:lang w:eastAsia="zh-CN"/>
        </w:rPr>
        <w:t>持平，</w:t>
      </w:r>
      <w:r>
        <w:rPr>
          <w:rFonts w:hint="eastAsia" w:ascii="仿宋_GB2312" w:hAnsi="Times New Roman" w:eastAsia="仿宋_GB2312" w:cs="仿宋_GB2312"/>
          <w:sz w:val="32"/>
          <w:szCs w:val="32"/>
        </w:rPr>
        <w:t>其中，副部（省）级及以上领导用车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辆，主要领导干部用车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辆，机要通信用车</w:t>
      </w:r>
      <w:r>
        <w:rPr>
          <w:rFonts w:hint="eastAsia" w:ascii="仿宋_GB2312" w:hAnsi="Times New Roman" w:eastAsia="仿宋_GB2312" w:cs="仿宋_GB2312"/>
          <w:sz w:val="32"/>
          <w:szCs w:val="32"/>
          <w:lang w:val="en-US" w:eastAsia="zh-CN"/>
        </w:rPr>
        <w:t>11</w:t>
      </w:r>
      <w:r>
        <w:rPr>
          <w:rFonts w:hint="eastAsia" w:ascii="仿宋_GB2312" w:hAnsi="Times New Roman" w:eastAsia="仿宋_GB2312" w:cs="仿宋_GB2312"/>
          <w:sz w:val="32"/>
          <w:szCs w:val="32"/>
        </w:rPr>
        <w:t>辆，应急保障用车</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辆，执法执勤用车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辆，特种专业技术用车</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辆，离退休干部用车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辆，其他用车</w:t>
      </w:r>
      <w:r>
        <w:rPr>
          <w:rFonts w:hint="eastAsia" w:ascii="仿宋_GB2312" w:hAnsi="Times New Roman" w:eastAsia="仿宋_GB2312" w:cs="仿宋_GB2312"/>
          <w:sz w:val="32"/>
          <w:szCs w:val="32"/>
          <w:lang w:val="en-US" w:eastAsia="zh-CN"/>
        </w:rPr>
        <w:t>15</w:t>
      </w:r>
      <w:r>
        <w:rPr>
          <w:rFonts w:hint="eastAsia" w:ascii="仿宋_GB2312" w:hAnsi="Times New Roman" w:eastAsia="仿宋_GB2312" w:cs="仿宋_GB2312"/>
          <w:sz w:val="32"/>
          <w:szCs w:val="32"/>
        </w:rPr>
        <w:t>辆，其他用车主要是</w:t>
      </w:r>
      <w:r>
        <w:rPr>
          <w:rFonts w:hint="eastAsia" w:ascii="仿宋_GB2312" w:hAnsi="Times New Roman" w:eastAsia="仿宋_GB2312" w:cs="仿宋_GB2312"/>
          <w:sz w:val="32"/>
          <w:szCs w:val="32"/>
          <w:lang w:eastAsia="zh-CN"/>
        </w:rPr>
        <w:t>各单位日常办公用车</w:t>
      </w:r>
      <w:r>
        <w:rPr>
          <w:rFonts w:hint="eastAsia" w:ascii="仿宋_GB2312" w:hAnsi="Times New Roman" w:eastAsia="仿宋_GB2312" w:cs="仿宋_GB2312"/>
          <w:sz w:val="32"/>
          <w:szCs w:val="32"/>
        </w:rPr>
        <w:t>；单位价值</w:t>
      </w:r>
      <w:r>
        <w:rPr>
          <w:rFonts w:ascii="仿宋_GB2312" w:hAnsi="Times New Roman" w:eastAsia="仿宋_GB2312" w:cs="仿宋_GB2312"/>
          <w:sz w:val="32"/>
          <w:szCs w:val="32"/>
        </w:rPr>
        <w:t>100</w:t>
      </w:r>
      <w:r>
        <w:rPr>
          <w:rFonts w:hint="eastAsia" w:ascii="仿宋_GB2312" w:hAnsi="Times New Roman" w:eastAsia="仿宋_GB2312" w:cs="仿宋_GB2312"/>
          <w:sz w:val="32"/>
          <w:szCs w:val="32"/>
        </w:rPr>
        <w:t>万元以上设备</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台（套）。</w:t>
      </w:r>
    </w:p>
    <w:p w14:paraId="1C51D576">
      <w:pPr>
        <w:adjustRightInd w:val="0"/>
        <w:snapToGrid w:val="0"/>
        <w:spacing w:line="560" w:lineRule="exact"/>
        <w:ind w:firstLine="643" w:firstLineChars="200"/>
        <w:rPr>
          <w:rFonts w:hint="eastAsia" w:ascii="仿宋" w:hAnsi="仿宋" w:eastAsia="仿宋" w:cs="楷体_GB2312"/>
          <w:b/>
          <w:bCs/>
          <w:sz w:val="32"/>
          <w:szCs w:val="32"/>
        </w:rPr>
      </w:pPr>
      <w:r>
        <w:rPr>
          <w:rFonts w:hint="eastAsia" w:ascii="仿宋" w:hAnsi="仿宋" w:eastAsia="仿宋" w:cs="楷体_GB2312"/>
          <w:b/>
          <w:bCs/>
          <w:sz w:val="32"/>
          <w:szCs w:val="32"/>
        </w:rPr>
        <w:t>（二）单位收支预决算情况</w:t>
      </w:r>
    </w:p>
    <w:p w14:paraId="1BED54AA">
      <w:pPr>
        <w:autoSpaceDE w:val="0"/>
        <w:autoSpaceDN w:val="0"/>
        <w:adjustRightInd w:val="0"/>
        <w:ind w:firstLine="640" w:firstLineChars="200"/>
        <w:jc w:val="left"/>
        <w:rPr>
          <w:rFonts w:hint="eastAsia" w:ascii="仿宋_GB2312" w:hAnsi="Times New Roman" w:eastAsia="仿宋_GB2312" w:cs="仿宋_GB2312"/>
          <w:sz w:val="32"/>
          <w:szCs w:val="32"/>
          <w:highlight w:val="yellow"/>
        </w:rPr>
      </w:pPr>
      <w:r>
        <w:rPr>
          <w:rFonts w:hint="eastAsia" w:ascii="仿宋_GB2312" w:hAnsi="Times New Roman" w:eastAsia="仿宋_GB2312" w:cs="仿宋_GB2312"/>
          <w:sz w:val="32"/>
          <w:szCs w:val="32"/>
          <w:highlight w:val="none"/>
        </w:rPr>
        <w:t>本部门</w:t>
      </w:r>
      <w:r>
        <w:rPr>
          <w:rFonts w:ascii="仿宋_GB2312" w:hAnsi="Times New Roman" w:eastAsia="仿宋_GB2312" w:cs="仿宋_GB2312"/>
          <w:sz w:val="32"/>
          <w:szCs w:val="32"/>
          <w:highlight w:val="none"/>
        </w:rPr>
        <w:t>202</w:t>
      </w:r>
      <w:r>
        <w:rPr>
          <w:rFonts w:hint="eastAsia" w:ascii="仿宋_GB2312" w:hAnsi="Times New Roman" w:eastAsia="仿宋_GB2312" w:cs="仿宋_GB2312"/>
          <w:sz w:val="32"/>
          <w:szCs w:val="32"/>
          <w:highlight w:val="none"/>
          <w:lang w:val="en-US" w:eastAsia="zh-CN"/>
        </w:rPr>
        <w:t>4</w:t>
      </w:r>
      <w:r>
        <w:rPr>
          <w:rFonts w:hint="eastAsia" w:ascii="仿宋_GB2312" w:hAnsi="Times New Roman" w:eastAsia="仿宋_GB2312" w:cs="仿宋_GB2312"/>
          <w:sz w:val="32"/>
          <w:szCs w:val="32"/>
          <w:highlight w:val="none"/>
        </w:rPr>
        <w:t>年度收入合计</w:t>
      </w:r>
      <w:r>
        <w:rPr>
          <w:rFonts w:hint="eastAsia" w:ascii="仿宋_GB2312" w:hAnsi="Times New Roman" w:eastAsia="仿宋_GB2312" w:cs="仿宋_GB2312"/>
          <w:sz w:val="32"/>
          <w:szCs w:val="32"/>
          <w:highlight w:val="none"/>
          <w:lang w:val="en-US" w:eastAsia="zh-CN"/>
        </w:rPr>
        <w:t>141815.74</w:t>
      </w:r>
      <w:r>
        <w:rPr>
          <w:rFonts w:hint="eastAsia" w:ascii="仿宋_GB2312" w:hAnsi="Times New Roman" w:eastAsia="仿宋_GB2312" w:cs="仿宋_GB2312"/>
          <w:sz w:val="32"/>
          <w:szCs w:val="32"/>
          <w:highlight w:val="none"/>
        </w:rPr>
        <w:t>万元，其中：</w:t>
      </w:r>
      <w:r>
        <w:rPr>
          <w:rFonts w:hint="eastAsia" w:ascii="仿宋_GB2312" w:hAnsi="Times New Roman" w:eastAsia="仿宋_GB2312" w:cs="仿宋_GB2312"/>
          <w:sz w:val="32"/>
          <w:szCs w:val="32"/>
          <w:highlight w:val="none"/>
          <w:lang w:eastAsia="zh-CN"/>
        </w:rPr>
        <w:t>一般公共预算</w:t>
      </w:r>
      <w:r>
        <w:rPr>
          <w:rFonts w:hint="eastAsia" w:ascii="仿宋_GB2312" w:hAnsi="Times New Roman" w:eastAsia="仿宋_GB2312" w:cs="仿宋_GB2312"/>
          <w:sz w:val="32"/>
          <w:szCs w:val="32"/>
          <w:highlight w:val="none"/>
        </w:rPr>
        <w:t>财政拨款收入</w:t>
      </w:r>
      <w:r>
        <w:rPr>
          <w:rFonts w:hint="eastAsia" w:ascii="仿宋_GB2312" w:hAnsi="Times New Roman" w:eastAsia="仿宋_GB2312" w:cs="仿宋_GB2312"/>
          <w:sz w:val="32"/>
          <w:szCs w:val="32"/>
          <w:highlight w:val="none"/>
          <w:lang w:val="en-US" w:eastAsia="zh-CN"/>
        </w:rPr>
        <w:t>140793.05</w:t>
      </w:r>
      <w:r>
        <w:rPr>
          <w:rFonts w:hint="eastAsia" w:ascii="仿宋_GB2312" w:hAnsi="Times New Roman" w:eastAsia="仿宋_GB2312" w:cs="仿宋_GB2312"/>
          <w:sz w:val="32"/>
          <w:szCs w:val="32"/>
          <w:highlight w:val="none"/>
        </w:rPr>
        <w:t>万元，占</w:t>
      </w:r>
      <w:r>
        <w:rPr>
          <w:rFonts w:hint="eastAsia" w:ascii="仿宋_GB2312" w:hAnsi="Times New Roman" w:eastAsia="仿宋_GB2312" w:cs="仿宋_GB2312"/>
          <w:sz w:val="32"/>
          <w:szCs w:val="32"/>
          <w:highlight w:val="none"/>
          <w:lang w:val="en-US" w:eastAsia="zh-CN"/>
        </w:rPr>
        <w:t>99.28</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lang w:eastAsia="zh-CN"/>
        </w:rPr>
        <w:t>政府性基金预算财政拨款收入</w:t>
      </w:r>
      <w:r>
        <w:rPr>
          <w:rFonts w:hint="eastAsia" w:ascii="仿宋_GB2312" w:hAnsi="Times New Roman" w:eastAsia="仿宋_GB2312" w:cs="仿宋_GB2312"/>
          <w:sz w:val="32"/>
          <w:szCs w:val="32"/>
          <w:highlight w:val="none"/>
          <w:lang w:val="en-US" w:eastAsia="zh-CN"/>
        </w:rPr>
        <w:t>123.89万元；占0.09%；</w:t>
      </w:r>
      <w:r>
        <w:rPr>
          <w:rFonts w:hint="eastAsia" w:ascii="仿宋_GB2312" w:hAnsi="Times New Roman" w:eastAsia="仿宋_GB2312" w:cs="仿宋_GB2312"/>
          <w:sz w:val="32"/>
          <w:szCs w:val="32"/>
          <w:highlight w:val="none"/>
          <w:lang w:eastAsia="zh-CN"/>
        </w:rPr>
        <w:t>上级单位补助收入</w:t>
      </w:r>
      <w:r>
        <w:rPr>
          <w:rFonts w:hint="eastAsia" w:ascii="仿宋_GB2312" w:hAnsi="Times New Roman" w:eastAsia="仿宋_GB2312" w:cs="仿宋_GB2312"/>
          <w:sz w:val="32"/>
          <w:szCs w:val="32"/>
          <w:highlight w:val="none"/>
          <w:lang w:val="en-US" w:eastAsia="zh-CN"/>
        </w:rPr>
        <w:t>0万元，占0%；</w:t>
      </w:r>
      <w:r>
        <w:rPr>
          <w:rFonts w:hint="eastAsia" w:ascii="仿宋_GB2312" w:hAnsi="Times New Roman" w:eastAsia="仿宋_GB2312" w:cs="仿宋_GB2312"/>
          <w:sz w:val="32"/>
          <w:szCs w:val="32"/>
          <w:highlight w:val="none"/>
        </w:rPr>
        <w:t>事业收入</w:t>
      </w:r>
      <w:r>
        <w:rPr>
          <w:rFonts w:hint="eastAsia" w:ascii="仿宋_GB2312" w:hAnsi="Times New Roman" w:eastAsia="仿宋_GB2312" w:cs="仿宋_GB2312"/>
          <w:sz w:val="32"/>
          <w:szCs w:val="32"/>
          <w:highlight w:val="none"/>
          <w:lang w:val="en-US" w:eastAsia="zh-CN"/>
        </w:rPr>
        <w:t>739.52</w:t>
      </w:r>
      <w:r>
        <w:rPr>
          <w:rFonts w:hint="eastAsia" w:ascii="仿宋_GB2312" w:hAnsi="Times New Roman" w:eastAsia="仿宋_GB2312" w:cs="仿宋_GB2312"/>
          <w:sz w:val="32"/>
          <w:szCs w:val="32"/>
          <w:highlight w:val="none"/>
        </w:rPr>
        <w:t>万元，占</w:t>
      </w:r>
      <w:r>
        <w:rPr>
          <w:rFonts w:hint="eastAsia" w:ascii="仿宋_GB2312" w:hAnsi="Times New Roman" w:eastAsia="仿宋_GB2312" w:cs="仿宋_GB2312"/>
          <w:sz w:val="32"/>
          <w:szCs w:val="32"/>
          <w:highlight w:val="none"/>
          <w:lang w:val="en-US" w:eastAsia="zh-CN"/>
        </w:rPr>
        <w:t>0.52</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；经营收入</w:t>
      </w:r>
      <w:r>
        <w:rPr>
          <w:rFonts w:hint="eastAsia" w:ascii="仿宋_GB2312" w:hAnsi="Times New Roman" w:eastAsia="仿宋_GB2312" w:cs="仿宋_GB2312"/>
          <w:sz w:val="32"/>
          <w:szCs w:val="32"/>
          <w:highlight w:val="none"/>
          <w:lang w:val="en-US" w:eastAsia="zh-CN"/>
        </w:rPr>
        <w:t>0</w:t>
      </w:r>
      <w:r>
        <w:rPr>
          <w:rFonts w:hint="eastAsia" w:ascii="仿宋_GB2312" w:hAnsi="Times New Roman" w:eastAsia="仿宋_GB2312" w:cs="仿宋_GB2312"/>
          <w:sz w:val="32"/>
          <w:szCs w:val="32"/>
          <w:highlight w:val="none"/>
        </w:rPr>
        <w:t>万元，占</w:t>
      </w:r>
      <w:r>
        <w:rPr>
          <w:rFonts w:hint="eastAsia" w:ascii="仿宋_GB2312" w:hAnsi="Times New Roman" w:eastAsia="仿宋_GB2312" w:cs="仿宋_GB2312"/>
          <w:sz w:val="32"/>
          <w:szCs w:val="32"/>
          <w:highlight w:val="none"/>
          <w:lang w:val="en-US" w:eastAsia="zh-CN"/>
        </w:rPr>
        <w:t>0</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；附属单位上缴收入</w:t>
      </w:r>
      <w:r>
        <w:rPr>
          <w:rFonts w:hint="eastAsia" w:ascii="仿宋_GB2312" w:hAnsi="Times New Roman" w:eastAsia="仿宋_GB2312" w:cs="仿宋_GB2312"/>
          <w:sz w:val="32"/>
          <w:szCs w:val="32"/>
          <w:highlight w:val="none"/>
          <w:lang w:val="en-US" w:eastAsia="zh-CN"/>
        </w:rPr>
        <w:t>0</w:t>
      </w:r>
      <w:r>
        <w:rPr>
          <w:rFonts w:hint="eastAsia" w:ascii="仿宋_GB2312" w:hAnsi="Times New Roman" w:eastAsia="仿宋_GB2312" w:cs="仿宋_GB2312"/>
          <w:sz w:val="32"/>
          <w:szCs w:val="32"/>
          <w:highlight w:val="none"/>
        </w:rPr>
        <w:t>万元，占</w:t>
      </w:r>
      <w:r>
        <w:rPr>
          <w:rFonts w:hint="eastAsia" w:ascii="仿宋_GB2312" w:hAnsi="Times New Roman" w:eastAsia="仿宋_GB2312" w:cs="仿宋_GB2312"/>
          <w:sz w:val="32"/>
          <w:szCs w:val="32"/>
          <w:highlight w:val="none"/>
          <w:lang w:val="en-US" w:eastAsia="zh-CN"/>
        </w:rPr>
        <w:t>0</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；其他收入</w:t>
      </w:r>
      <w:r>
        <w:rPr>
          <w:rFonts w:hint="eastAsia" w:ascii="仿宋_GB2312" w:hAnsi="Times New Roman" w:eastAsia="仿宋_GB2312" w:cs="仿宋_GB2312"/>
          <w:sz w:val="32"/>
          <w:szCs w:val="32"/>
          <w:highlight w:val="none"/>
          <w:lang w:val="en-US" w:eastAsia="zh-CN"/>
        </w:rPr>
        <w:t>159</w:t>
      </w:r>
      <w:bookmarkStart w:id="0" w:name="_GoBack"/>
      <w:bookmarkEnd w:id="0"/>
      <w:r>
        <w:rPr>
          <w:rFonts w:hint="eastAsia" w:ascii="仿宋_GB2312" w:hAnsi="Times New Roman" w:eastAsia="仿宋_GB2312" w:cs="仿宋_GB2312"/>
          <w:sz w:val="32"/>
          <w:szCs w:val="32"/>
          <w:highlight w:val="none"/>
          <w:lang w:val="en-US" w:eastAsia="zh-CN"/>
        </w:rPr>
        <w:t>.28</w:t>
      </w:r>
      <w:r>
        <w:rPr>
          <w:rFonts w:hint="eastAsia" w:ascii="仿宋_GB2312" w:hAnsi="Times New Roman" w:eastAsia="仿宋_GB2312" w:cs="仿宋_GB2312"/>
          <w:sz w:val="32"/>
          <w:szCs w:val="32"/>
          <w:highlight w:val="none"/>
        </w:rPr>
        <w:t>万元，占</w:t>
      </w:r>
      <w:r>
        <w:rPr>
          <w:rFonts w:hint="eastAsia" w:ascii="仿宋_GB2312" w:hAnsi="Times New Roman" w:eastAsia="仿宋_GB2312" w:cs="仿宋_GB2312"/>
          <w:sz w:val="32"/>
          <w:szCs w:val="32"/>
          <w:highlight w:val="none"/>
          <w:lang w:val="en-US" w:eastAsia="zh-CN"/>
        </w:rPr>
        <w:t>0.11</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w:t>
      </w:r>
    </w:p>
    <w:p w14:paraId="167123C3">
      <w:pPr>
        <w:autoSpaceDE w:val="0"/>
        <w:autoSpaceDN w:val="0"/>
        <w:adjustRightInd w:val="0"/>
        <w:ind w:firstLine="640" w:firstLineChars="200"/>
        <w:jc w:val="left"/>
        <w:rPr>
          <w:rFonts w:hint="eastAsia" w:ascii="仿宋_GB2312" w:hAnsi="Times New Roman" w:eastAsia="仿宋_GB2312" w:cs="仿宋_GB2312"/>
          <w:sz w:val="32"/>
          <w:szCs w:val="32"/>
          <w:highlight w:val="none"/>
        </w:rPr>
      </w:pPr>
      <w:r>
        <w:rPr>
          <w:rFonts w:hint="eastAsia" w:ascii="仿宋_GB2312" w:hAnsi="Times New Roman" w:eastAsia="仿宋_GB2312" w:cs="仿宋_GB2312"/>
          <w:sz w:val="32"/>
          <w:szCs w:val="32"/>
          <w:highlight w:val="none"/>
        </w:rPr>
        <w:t>本部门</w:t>
      </w:r>
      <w:r>
        <w:rPr>
          <w:rFonts w:ascii="仿宋_GB2312" w:hAnsi="Times New Roman" w:eastAsia="仿宋_GB2312" w:cs="仿宋_GB2312"/>
          <w:sz w:val="32"/>
          <w:szCs w:val="32"/>
          <w:highlight w:val="none"/>
        </w:rPr>
        <w:t>202</w:t>
      </w:r>
      <w:r>
        <w:rPr>
          <w:rFonts w:hint="eastAsia" w:ascii="仿宋_GB2312" w:hAnsi="Times New Roman" w:eastAsia="仿宋_GB2312" w:cs="仿宋_GB2312"/>
          <w:sz w:val="32"/>
          <w:szCs w:val="32"/>
          <w:highlight w:val="none"/>
          <w:lang w:val="en-US" w:eastAsia="zh-CN"/>
        </w:rPr>
        <w:t>4</w:t>
      </w:r>
      <w:r>
        <w:rPr>
          <w:rFonts w:hint="eastAsia" w:ascii="仿宋_GB2312" w:hAnsi="Times New Roman" w:eastAsia="仿宋_GB2312" w:cs="仿宋_GB2312"/>
          <w:sz w:val="32"/>
          <w:szCs w:val="32"/>
          <w:highlight w:val="none"/>
        </w:rPr>
        <w:t>年度支出合计</w:t>
      </w:r>
      <w:r>
        <w:rPr>
          <w:rFonts w:hint="eastAsia" w:ascii="仿宋_GB2312" w:hAnsi="Times New Roman" w:eastAsia="仿宋_GB2312" w:cs="仿宋_GB2312"/>
          <w:sz w:val="32"/>
          <w:szCs w:val="32"/>
          <w:highlight w:val="none"/>
          <w:lang w:val="en-US" w:eastAsia="zh-CN"/>
        </w:rPr>
        <w:t>141781.89</w:t>
      </w:r>
      <w:r>
        <w:rPr>
          <w:rFonts w:hint="eastAsia" w:ascii="仿宋_GB2312" w:hAnsi="Times New Roman" w:eastAsia="仿宋_GB2312" w:cs="仿宋_GB2312"/>
          <w:sz w:val="32"/>
          <w:szCs w:val="32"/>
          <w:highlight w:val="none"/>
        </w:rPr>
        <w:t>万元，其中：基本支出</w:t>
      </w:r>
      <w:r>
        <w:rPr>
          <w:rFonts w:hint="eastAsia" w:ascii="仿宋_GB2312" w:hAnsi="Times New Roman" w:eastAsia="仿宋_GB2312" w:cs="仿宋_GB2312"/>
          <w:sz w:val="32"/>
          <w:szCs w:val="32"/>
          <w:highlight w:val="none"/>
          <w:lang w:val="en-US" w:eastAsia="zh-CN"/>
        </w:rPr>
        <w:t>112476.38</w:t>
      </w:r>
      <w:r>
        <w:rPr>
          <w:rFonts w:hint="eastAsia" w:ascii="仿宋_GB2312" w:hAnsi="Times New Roman" w:eastAsia="仿宋_GB2312" w:cs="仿宋_GB2312"/>
          <w:sz w:val="32"/>
          <w:szCs w:val="32"/>
          <w:highlight w:val="none"/>
        </w:rPr>
        <w:t>万元，占</w:t>
      </w:r>
      <w:r>
        <w:rPr>
          <w:rFonts w:hint="eastAsia" w:ascii="仿宋_GB2312" w:hAnsi="Times New Roman" w:eastAsia="仿宋_GB2312" w:cs="仿宋_GB2312"/>
          <w:sz w:val="32"/>
          <w:szCs w:val="32"/>
          <w:highlight w:val="none"/>
          <w:lang w:val="en-US" w:eastAsia="zh-CN"/>
        </w:rPr>
        <w:t>79.33</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；项目支出</w:t>
      </w:r>
      <w:r>
        <w:rPr>
          <w:rFonts w:hint="eastAsia" w:ascii="仿宋_GB2312" w:hAnsi="Times New Roman" w:eastAsia="仿宋_GB2312" w:cs="仿宋_GB2312"/>
          <w:sz w:val="32"/>
          <w:szCs w:val="32"/>
          <w:highlight w:val="none"/>
          <w:lang w:val="en-US" w:eastAsia="zh-CN"/>
        </w:rPr>
        <w:t>29305.51</w:t>
      </w:r>
      <w:r>
        <w:rPr>
          <w:rFonts w:hint="eastAsia" w:ascii="仿宋_GB2312" w:hAnsi="Times New Roman" w:eastAsia="仿宋_GB2312" w:cs="仿宋_GB2312"/>
          <w:sz w:val="32"/>
          <w:szCs w:val="32"/>
          <w:highlight w:val="none"/>
        </w:rPr>
        <w:t>万元，占</w:t>
      </w:r>
      <w:r>
        <w:rPr>
          <w:rFonts w:hint="eastAsia" w:ascii="仿宋_GB2312" w:hAnsi="Times New Roman" w:eastAsia="仿宋_GB2312" w:cs="仿宋_GB2312"/>
          <w:sz w:val="32"/>
          <w:szCs w:val="32"/>
          <w:highlight w:val="none"/>
          <w:lang w:val="en-US" w:eastAsia="zh-CN"/>
        </w:rPr>
        <w:t>20.67</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；经营支出</w:t>
      </w:r>
      <w:r>
        <w:rPr>
          <w:rFonts w:hint="eastAsia" w:ascii="仿宋_GB2312" w:hAnsi="Times New Roman" w:eastAsia="仿宋_GB2312" w:cs="仿宋_GB2312"/>
          <w:sz w:val="32"/>
          <w:szCs w:val="32"/>
          <w:highlight w:val="none"/>
          <w:lang w:val="en-US" w:eastAsia="zh-CN"/>
        </w:rPr>
        <w:t>0</w:t>
      </w:r>
      <w:r>
        <w:rPr>
          <w:rFonts w:hint="eastAsia" w:ascii="仿宋_GB2312" w:hAnsi="Times New Roman" w:eastAsia="仿宋_GB2312" w:cs="仿宋_GB2312"/>
          <w:sz w:val="32"/>
          <w:szCs w:val="32"/>
          <w:highlight w:val="none"/>
        </w:rPr>
        <w:t>万元，占</w:t>
      </w:r>
      <w:r>
        <w:rPr>
          <w:rFonts w:hint="eastAsia" w:ascii="仿宋_GB2312" w:hAnsi="Times New Roman" w:eastAsia="仿宋_GB2312" w:cs="仿宋_GB2312"/>
          <w:sz w:val="32"/>
          <w:szCs w:val="32"/>
          <w:highlight w:val="none"/>
          <w:lang w:val="en-US" w:eastAsia="zh-CN"/>
        </w:rPr>
        <w:t>0</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；对附属单位补助支出</w:t>
      </w:r>
      <w:r>
        <w:rPr>
          <w:rFonts w:hint="eastAsia" w:ascii="仿宋_GB2312" w:hAnsi="Times New Roman" w:eastAsia="仿宋_GB2312" w:cs="仿宋_GB2312"/>
          <w:sz w:val="32"/>
          <w:szCs w:val="32"/>
          <w:highlight w:val="none"/>
          <w:lang w:val="en-US" w:eastAsia="zh-CN"/>
        </w:rPr>
        <w:t>0</w:t>
      </w:r>
      <w:r>
        <w:rPr>
          <w:rFonts w:hint="eastAsia" w:ascii="仿宋_GB2312" w:hAnsi="Times New Roman" w:eastAsia="仿宋_GB2312" w:cs="仿宋_GB2312"/>
          <w:sz w:val="32"/>
          <w:szCs w:val="32"/>
          <w:highlight w:val="none"/>
        </w:rPr>
        <w:t>万元，占</w:t>
      </w:r>
      <w:r>
        <w:rPr>
          <w:rFonts w:hint="eastAsia" w:ascii="仿宋_GB2312" w:hAnsi="Times New Roman" w:eastAsia="仿宋_GB2312" w:cs="仿宋_GB2312"/>
          <w:sz w:val="32"/>
          <w:szCs w:val="32"/>
          <w:highlight w:val="none"/>
          <w:lang w:val="en-US" w:eastAsia="zh-CN"/>
        </w:rPr>
        <w:t>0</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w:t>
      </w:r>
    </w:p>
    <w:p w14:paraId="14C4B1FD">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29760EF">
      <w:pPr>
        <w:spacing w:line="560" w:lineRule="exact"/>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14:paraId="46D324F6">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14:paraId="01863270">
      <w:pPr>
        <w:numPr>
          <w:ilvl w:val="0"/>
          <w:numId w:val="2"/>
        </w:numPr>
        <w:spacing w:line="560" w:lineRule="exact"/>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5AD85F53">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14:paraId="665F531B">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评价指标体系：主要从项目资金的投入、业务管理和财务管理过程、项目计划产出和项目计划效益四个方面对评价目标进行逐步分解，从定性和定量两个角度综合考量。</w:t>
      </w:r>
    </w:p>
    <w:p w14:paraId="18C42C06">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评价方法：绩效评价工作采用单位自评价和财政再评价相结合的方式开展。自评价采取数据收集汇总、指标分析、询问查证等方法，形成了自评价报告。</w:t>
      </w:r>
    </w:p>
    <w:p w14:paraId="125F3542">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（三）评价工作过程</w:t>
      </w:r>
    </w:p>
    <w:p w14:paraId="73794E82">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本次绩效评价自评价工作分为三个阶段：</w:t>
      </w:r>
    </w:p>
    <w:p w14:paraId="3ABA196D">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第一阶段：成立评价工作小组，制定项目绩效评价具体实施方案。</w:t>
      </w:r>
    </w:p>
    <w:p w14:paraId="1250B5C8">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第二阶段：按照区财政局要求，进行自查。</w:t>
      </w:r>
    </w:p>
    <w:p w14:paraId="67F0AC7C">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第三阶段：由评价工作小组对项目进行抽样核查，总结评价结论，最终形成自评价报告，报区财政局。</w:t>
      </w:r>
    </w:p>
    <w:p w14:paraId="332BAB1D">
      <w:pPr>
        <w:spacing w:line="560" w:lineRule="exact"/>
        <w:ind w:firstLine="643" w:firstLineChars="200"/>
        <w:jc w:val="left"/>
        <w:rPr>
          <w:rFonts w:ascii="仿宋" w:hAnsi="仿宋" w:eastAsia="仿宋" w:cs="楷体_GB2312"/>
          <w:b/>
          <w:bCs/>
          <w:sz w:val="32"/>
          <w:szCs w:val="32"/>
        </w:rPr>
      </w:pPr>
    </w:p>
    <w:p w14:paraId="61B9217C">
      <w:pPr>
        <w:spacing w:line="560" w:lineRule="exact"/>
        <w:rPr>
          <w:rFonts w:ascii="黑体" w:hAnsi="黑体" w:eastAsia="黑体"/>
          <w:b/>
          <w:bCs/>
          <w:sz w:val="32"/>
          <w:szCs w:val="32"/>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三、单位整体支出绩效目标实现情况及指标分析</w:t>
      </w:r>
    </w:p>
    <w:p w14:paraId="14B2D074">
      <w:pPr>
        <w:numPr>
          <w:ilvl w:val="0"/>
          <w:numId w:val="3"/>
        </w:num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14:paraId="7F6B543A">
      <w:pPr>
        <w:spacing w:line="560" w:lineRule="exact"/>
        <w:ind w:firstLine="640" w:firstLineChars="200"/>
        <w:rPr>
          <w:rFonts w:ascii="仿宋" w:hAnsi="仿宋" w:eastAsia="仿宋"/>
          <w:sz w:val="32"/>
          <w:szCs w:val="32"/>
        </w:rPr>
      </w:pPr>
      <w:r>
        <w:rPr>
          <w:rFonts w:hint="eastAsia" w:ascii="仿宋" w:hAnsi="仿宋" w:eastAsia="仿宋"/>
          <w:sz w:val="32"/>
          <w:szCs w:val="32"/>
        </w:rPr>
        <w:t>根据各自评情况，我</w:t>
      </w:r>
      <w:r>
        <w:rPr>
          <w:rFonts w:hint="eastAsia" w:ascii="仿宋" w:hAnsi="仿宋" w:eastAsia="仿宋"/>
          <w:sz w:val="32"/>
          <w:szCs w:val="32"/>
          <w:lang w:eastAsia="zh-CN"/>
        </w:rPr>
        <w:t>局</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年整体绩效目标良好。</w:t>
      </w:r>
    </w:p>
    <w:p w14:paraId="250195F4">
      <w:pPr>
        <w:spacing w:line="560" w:lineRule="exact"/>
        <w:rPr>
          <w:rFonts w:ascii="仿宋" w:hAnsi="仿宋" w:eastAsia="仿宋"/>
          <w:b/>
          <w:bCs/>
          <w:sz w:val="32"/>
          <w:szCs w:val="32"/>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（二）分项绩效目标实现情况及指标分析</w:t>
      </w:r>
    </w:p>
    <w:p w14:paraId="7EF57F31">
      <w:pPr>
        <w:spacing w:line="560" w:lineRule="exact"/>
        <w:ind w:firstLine="640" w:firstLineChars="200"/>
        <w:rPr>
          <w:rFonts w:ascii="仿宋" w:hAnsi="仿宋" w:eastAsia="仿宋"/>
          <w:sz w:val="32"/>
          <w:szCs w:val="32"/>
        </w:rPr>
      </w:pPr>
      <w:r>
        <w:rPr>
          <w:rFonts w:hint="eastAsia" w:ascii="仿宋" w:hAnsi="仿宋" w:eastAsia="仿宋"/>
          <w:sz w:val="32"/>
          <w:szCs w:val="32"/>
        </w:rPr>
        <w:t>根据各自评情况，各分项绩效目标、指标，完成情况较好，除</w:t>
      </w:r>
      <w:r>
        <w:rPr>
          <w:rFonts w:hint="eastAsia" w:ascii="仿宋" w:hAnsi="仿宋" w:eastAsia="仿宋"/>
          <w:sz w:val="32"/>
          <w:szCs w:val="32"/>
          <w:lang w:eastAsia="zh-CN"/>
        </w:rPr>
        <w:t>个别项目未实现年初绩效目标</w:t>
      </w:r>
      <w:r>
        <w:rPr>
          <w:rFonts w:hint="eastAsia" w:ascii="仿宋" w:hAnsi="仿宋" w:eastAsia="仿宋"/>
          <w:sz w:val="32"/>
          <w:szCs w:val="32"/>
        </w:rPr>
        <w:t>外，其余项目无论从完成数量、质量、时效、成本效益等方面都较好的完成了既定目标，得分依据充分。</w:t>
      </w:r>
    </w:p>
    <w:p w14:paraId="5E4CF78A">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E0882DC">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根据部门职责定位和各项工作履职情况进行综合评价，给出总得分，满分100分，得出综合绩效评价等级。其中优秀等级：</w:t>
      </w:r>
      <w:r>
        <w:rPr>
          <w:rFonts w:hint="eastAsia" w:ascii="仿宋" w:hAnsi="仿宋" w:eastAsia="仿宋"/>
          <w:sz w:val="32"/>
          <w:szCs w:val="32"/>
          <w:lang w:val="en-US" w:eastAsia="zh-CN"/>
        </w:rPr>
        <w:t>784</w:t>
      </w:r>
      <w:r>
        <w:rPr>
          <w:rFonts w:hint="eastAsia" w:ascii="仿宋" w:hAnsi="仿宋" w:eastAsia="仿宋"/>
          <w:sz w:val="32"/>
          <w:szCs w:val="32"/>
        </w:rPr>
        <w:t>个，</w:t>
      </w:r>
      <w:r>
        <w:rPr>
          <w:rFonts w:hint="eastAsia" w:ascii="仿宋" w:hAnsi="仿宋" w:eastAsia="仿宋"/>
          <w:sz w:val="32"/>
          <w:szCs w:val="32"/>
          <w:lang w:eastAsia="zh-CN"/>
        </w:rPr>
        <w:t>良好</w:t>
      </w:r>
      <w:r>
        <w:rPr>
          <w:rFonts w:hint="eastAsia" w:ascii="仿宋" w:hAnsi="仿宋" w:eastAsia="仿宋"/>
          <w:sz w:val="32"/>
          <w:szCs w:val="32"/>
          <w:lang w:val="en-US" w:eastAsia="zh-CN"/>
        </w:rPr>
        <w:t>72个，一般18个，</w:t>
      </w:r>
      <w:r>
        <w:rPr>
          <w:rFonts w:hint="eastAsia" w:ascii="仿宋" w:hAnsi="仿宋" w:eastAsia="仿宋"/>
          <w:sz w:val="32"/>
          <w:szCs w:val="32"/>
        </w:rPr>
        <w:t>较差等级</w:t>
      </w:r>
      <w:r>
        <w:rPr>
          <w:rFonts w:hint="eastAsia" w:ascii="仿宋" w:hAnsi="仿宋" w:eastAsia="仿宋"/>
          <w:sz w:val="32"/>
          <w:szCs w:val="32"/>
          <w:lang w:val="en-US" w:eastAsia="zh-CN"/>
        </w:rPr>
        <w:t>69</w:t>
      </w:r>
      <w:r>
        <w:rPr>
          <w:rFonts w:hint="eastAsia" w:ascii="仿宋" w:hAnsi="仿宋" w:eastAsia="仿宋"/>
          <w:sz w:val="32"/>
          <w:szCs w:val="32"/>
        </w:rPr>
        <w:t>个。</w:t>
      </w:r>
    </w:p>
    <w:p w14:paraId="60B3D60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2DE774C">
      <w:pPr>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（一）存在的主要问题</w:t>
      </w:r>
    </w:p>
    <w:p w14:paraId="2710D5EB">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 xml:space="preserve"> 无</w:t>
      </w:r>
    </w:p>
    <w:p w14:paraId="5DC1E34F">
      <w:pPr>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14:paraId="7F344C8E">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无</w:t>
      </w:r>
    </w:p>
    <w:p w14:paraId="60B378CB">
      <w:pPr>
        <w:widowControl w:val="0"/>
        <w:wordWrap/>
        <w:spacing w:line="560" w:lineRule="exact"/>
        <w:ind w:left="0" w:leftChars="0" w:right="0"/>
        <w:textAlignment w:val="auto"/>
        <w:outlineLvl w:val="9"/>
        <w:rPr>
          <w:rFonts w:ascii="仿宋" w:hAnsi="仿宋" w:eastAsia="仿宋"/>
        </w:rPr>
      </w:pPr>
    </w:p>
    <w:p w14:paraId="420716F4">
      <w:pPr>
        <w:widowControl w:val="0"/>
        <w:wordWrap/>
        <w:spacing w:line="560" w:lineRule="exact"/>
        <w:ind w:left="0" w:leftChars="0" w:right="0"/>
        <w:textAlignment w:val="auto"/>
        <w:outlineLvl w:val="9"/>
        <w:rPr>
          <w:rFonts w:ascii="仿宋" w:hAnsi="仿宋" w:eastAsia="仿宋"/>
        </w:rPr>
      </w:pPr>
    </w:p>
    <w:p w14:paraId="28960F0C">
      <w:pPr>
        <w:widowControl w:val="0"/>
        <w:wordWrap/>
        <w:spacing w:line="560" w:lineRule="exact"/>
        <w:ind w:left="0" w:leftChars="0" w:right="0"/>
        <w:textAlignment w:val="auto"/>
        <w:outlineLvl w:val="9"/>
        <w:rPr>
          <w:rFonts w:ascii="仿宋" w:hAnsi="仿宋" w:eastAsia="仿宋"/>
        </w:rPr>
      </w:pPr>
    </w:p>
    <w:p w14:paraId="1EBD09AB">
      <w:pPr>
        <w:widowControl w:val="0"/>
        <w:wordWrap/>
        <w:spacing w:line="560" w:lineRule="exact"/>
        <w:ind w:left="0" w:leftChars="0" w:right="0"/>
        <w:textAlignment w:val="auto"/>
        <w:outlineLvl w:val="9"/>
        <w:rPr>
          <w:rFonts w:ascii="仿宋" w:hAnsi="仿宋" w:eastAsia="仿宋"/>
        </w:rPr>
      </w:pPr>
    </w:p>
    <w:p w14:paraId="315C5416">
      <w:pPr>
        <w:widowControl w:val="0"/>
        <w:wordWrap/>
        <w:spacing w:line="560" w:lineRule="exact"/>
        <w:ind w:left="0" w:leftChars="0" w:right="0"/>
        <w:textAlignment w:val="auto"/>
        <w:outlineLvl w:val="9"/>
        <w:rPr>
          <w:rFonts w:ascii="仿宋" w:hAnsi="仿宋" w:eastAsia="仿宋"/>
        </w:rPr>
      </w:pPr>
    </w:p>
    <w:p w14:paraId="6EC627F0">
      <w:pPr>
        <w:widowControl w:val="0"/>
        <w:wordWrap/>
        <w:spacing w:line="560" w:lineRule="exact"/>
        <w:ind w:left="0" w:leftChars="0" w:right="0"/>
        <w:textAlignment w:val="auto"/>
        <w:outlineLvl w:val="9"/>
        <w:rPr>
          <w:rFonts w:hint="eastAsia" w:ascii="仿宋_GB2312" w:hAnsi="仿宋_GB2312" w:eastAsia="仿宋_GB2312" w:cs="仿宋_GB2312"/>
          <w:sz w:val="32"/>
          <w:szCs w:val="32"/>
          <w:lang w:val="en-US" w:eastAsia="zh-CN"/>
        </w:rPr>
      </w:pPr>
      <w:r>
        <w:rPr>
          <w:rFonts w:hint="eastAsia" w:ascii="仿宋" w:hAnsi="仿宋" w:eastAsia="仿宋"/>
          <w:lang w:val="en-US" w:eastAsia="zh-CN"/>
        </w:rPr>
        <w:t xml:space="preserve">                                                </w:t>
      </w:r>
      <w:r>
        <w:rPr>
          <w:rFonts w:hint="eastAsia" w:ascii="仿宋_GB2312" w:hAnsi="仿宋_GB2312" w:eastAsia="仿宋_GB2312" w:cs="仿宋_GB2312"/>
          <w:sz w:val="32"/>
          <w:szCs w:val="32"/>
          <w:lang w:val="en-US" w:eastAsia="zh-CN"/>
        </w:rPr>
        <w:t>石家庄市鹿泉区教育局</w:t>
      </w:r>
    </w:p>
    <w:p w14:paraId="1EF86996">
      <w:pPr>
        <w:widowControl w:val="0"/>
        <w:wordWrap/>
        <w:spacing w:line="560" w:lineRule="exact"/>
        <w:ind w:left="0" w:leftChars="0" w:right="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2025年5月18日</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 Black">
    <w:panose1 w:val="020B0A04020102020204"/>
    <w:charset w:val="00"/>
    <w:family w:val="swiss"/>
    <w:pitch w:val="default"/>
    <w:sig w:usb0="A00002AF" w:usb1="400078FB" w:usb2="00000000" w:usb3="00000000" w:csb0="6000009F" w:csb1="DFD7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00A32">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2F0F7E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72F0F7E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45D3862F"/>
    <w:multiLevelType w:val="singleLevel"/>
    <w:tmpl w:val="45D3862F"/>
    <w:lvl w:ilvl="0" w:tentative="0">
      <w:start w:val="3"/>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lNjM0OTUzNmJhZDY2YzJhMjQ5MGJkY2M0OTAxMmQifQ=="/>
  </w:docVars>
  <w:rsids>
    <w:rsidRoot w:val="0EBD2122"/>
    <w:rsid w:val="007E6C1F"/>
    <w:rsid w:val="00AF566A"/>
    <w:rsid w:val="00B6553A"/>
    <w:rsid w:val="01B104CA"/>
    <w:rsid w:val="02106AB0"/>
    <w:rsid w:val="02B43A28"/>
    <w:rsid w:val="046F331E"/>
    <w:rsid w:val="07956271"/>
    <w:rsid w:val="09721397"/>
    <w:rsid w:val="0BB63BED"/>
    <w:rsid w:val="0C4072B2"/>
    <w:rsid w:val="0EB97A43"/>
    <w:rsid w:val="0EBD2122"/>
    <w:rsid w:val="0F214EAE"/>
    <w:rsid w:val="0FE41F35"/>
    <w:rsid w:val="11B71E6A"/>
    <w:rsid w:val="157E0040"/>
    <w:rsid w:val="16C8242B"/>
    <w:rsid w:val="1AAF0063"/>
    <w:rsid w:val="1BE140DE"/>
    <w:rsid w:val="21346987"/>
    <w:rsid w:val="21D5717B"/>
    <w:rsid w:val="22D64075"/>
    <w:rsid w:val="248C197D"/>
    <w:rsid w:val="252959AF"/>
    <w:rsid w:val="277A6671"/>
    <w:rsid w:val="283A3EBB"/>
    <w:rsid w:val="292D35B7"/>
    <w:rsid w:val="29625DA1"/>
    <w:rsid w:val="2A594280"/>
    <w:rsid w:val="33EB6CFF"/>
    <w:rsid w:val="35A12947"/>
    <w:rsid w:val="37387040"/>
    <w:rsid w:val="39736CE6"/>
    <w:rsid w:val="3B400EC8"/>
    <w:rsid w:val="3B625C0A"/>
    <w:rsid w:val="3CEE1963"/>
    <w:rsid w:val="3EB05C6A"/>
    <w:rsid w:val="3F2F156C"/>
    <w:rsid w:val="44C9647E"/>
    <w:rsid w:val="4607616F"/>
    <w:rsid w:val="48AF1AE5"/>
    <w:rsid w:val="4C9C27FE"/>
    <w:rsid w:val="4ECF7A46"/>
    <w:rsid w:val="512260B4"/>
    <w:rsid w:val="52BD6ACB"/>
    <w:rsid w:val="53AF6BFF"/>
    <w:rsid w:val="55537534"/>
    <w:rsid w:val="55744A29"/>
    <w:rsid w:val="56190220"/>
    <w:rsid w:val="561A74F1"/>
    <w:rsid w:val="597244E8"/>
    <w:rsid w:val="5A596185"/>
    <w:rsid w:val="5C140A9D"/>
    <w:rsid w:val="5EB71C30"/>
    <w:rsid w:val="66AF0CE5"/>
    <w:rsid w:val="6AC537CF"/>
    <w:rsid w:val="6CCD33BF"/>
    <w:rsid w:val="6E5B14A6"/>
    <w:rsid w:val="711B255E"/>
    <w:rsid w:val="7317199D"/>
    <w:rsid w:val="731F531E"/>
    <w:rsid w:val="77CE3F17"/>
    <w:rsid w:val="7A7819F3"/>
    <w:rsid w:val="7BB51E06"/>
    <w:rsid w:val="7C387F7C"/>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autoRedefine/>
    <w:unhideWhenUsed/>
    <w:qFormat/>
    <w:uiPriority w:val="1"/>
  </w:style>
  <w:style w:type="table" w:default="1" w:styleId="4">
    <w:name w:val="Normal Table"/>
    <w:autoRedefine/>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2945</Words>
  <Characters>3096</Characters>
  <Lines>7</Lines>
  <Paragraphs>2</Paragraphs>
  <TotalTime>80</TotalTime>
  <ScaleCrop>false</ScaleCrop>
  <LinksUpToDate>false</LinksUpToDate>
  <CharactersWithSpaces>3205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诗韵枫桥</cp:lastModifiedBy>
  <cp:lastPrinted>2024-01-07T07:11:00Z</cp:lastPrinted>
  <dcterms:modified xsi:type="dcterms:W3CDTF">2025-05-29T03:46:48Z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978B7A84771D4A0395CEE5F1B6C40783_12</vt:lpwstr>
  </property>
  <property fmtid="{D5CDD505-2E9C-101B-9397-08002B2CF9AE}" pid="4" name="KSOTemplateDocerSaveRecord">
    <vt:lpwstr>eyJoZGlkIjoiOTY2MGY2YTM5ZTRkYzZmYjkzYTkzMWY3MjI5ZjdjN2MiLCJ1c2VySWQiOiI2NDk3MjA5NjcifQ==</vt:lpwstr>
  </property>
</Properties>
</file>