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E87B654">
      <w:pPr>
        <w:adjustRightInd w:val="0"/>
        <w:snapToGrid w:val="0"/>
        <w:spacing w:line="560" w:lineRule="exact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附件3</w:t>
      </w:r>
    </w:p>
    <w:p w14:paraId="4EDB0805">
      <w:pPr>
        <w:spacing w:line="560" w:lineRule="exact"/>
        <w:jc w:val="center"/>
        <w:rPr>
          <w:rFonts w:ascii="宋体" w:hAnsi="宋体" w:cs="宋体"/>
          <w:b/>
          <w:bCs/>
          <w:sz w:val="44"/>
          <w:szCs w:val="44"/>
        </w:rPr>
      </w:pPr>
    </w:p>
    <w:p w14:paraId="0A63587A">
      <w:pPr>
        <w:spacing w:line="560" w:lineRule="exact"/>
        <w:jc w:val="center"/>
        <w:rPr>
          <w:rFonts w:ascii="宋体" w:hAnsi="宋体" w:cs="宋体"/>
          <w:b/>
          <w:bCs/>
          <w:sz w:val="44"/>
          <w:szCs w:val="44"/>
        </w:rPr>
      </w:pPr>
      <w:r>
        <w:rPr>
          <w:rFonts w:hint="eastAsia" w:ascii="宋体" w:hAnsi="宋体" w:cs="宋体"/>
          <w:b/>
          <w:bCs/>
          <w:sz w:val="44"/>
          <w:szCs w:val="44"/>
        </w:rPr>
        <w:t>石家庄市鹿泉区公用事业管理中心</w:t>
      </w:r>
    </w:p>
    <w:p w14:paraId="43DA8D6F">
      <w:pPr>
        <w:spacing w:line="560" w:lineRule="exact"/>
        <w:jc w:val="center"/>
        <w:rPr>
          <w:rFonts w:ascii="宋体" w:hAnsi="宋体" w:cs="宋体"/>
          <w:b/>
          <w:bCs/>
          <w:sz w:val="44"/>
          <w:szCs w:val="44"/>
        </w:rPr>
      </w:pPr>
      <w:r>
        <w:rPr>
          <w:rFonts w:hint="eastAsia" w:ascii="宋体" w:hAnsi="宋体" w:cs="宋体"/>
          <w:b/>
          <w:bCs/>
          <w:sz w:val="44"/>
          <w:szCs w:val="44"/>
        </w:rPr>
        <w:t>部门202</w:t>
      </w:r>
      <w:r>
        <w:rPr>
          <w:rFonts w:hint="eastAsia" w:ascii="宋体" w:hAnsi="宋体" w:cs="宋体"/>
          <w:b/>
          <w:bCs/>
          <w:sz w:val="44"/>
          <w:szCs w:val="44"/>
          <w:lang w:val="en-US" w:eastAsia="zh-CN"/>
        </w:rPr>
        <w:t>4</w:t>
      </w:r>
      <w:r>
        <w:rPr>
          <w:rFonts w:hint="eastAsia" w:ascii="宋体" w:hAnsi="宋体" w:cs="宋体"/>
          <w:b/>
          <w:bCs/>
          <w:sz w:val="44"/>
          <w:szCs w:val="44"/>
        </w:rPr>
        <w:t>年度整体支出绩效自评报告</w:t>
      </w:r>
    </w:p>
    <w:p w14:paraId="1FFDE09D">
      <w:pPr>
        <w:spacing w:line="560" w:lineRule="exact"/>
        <w:jc w:val="center"/>
        <w:rPr>
          <w:rFonts w:ascii="华文楷体" w:eastAsia="华文楷体"/>
          <w:sz w:val="32"/>
          <w:szCs w:val="32"/>
        </w:rPr>
      </w:pPr>
    </w:p>
    <w:p w14:paraId="531BB680"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贯彻落实石家庄市鹿泉区人民政府《关于全面实施预算绩效管理的实施意见》（鹿发〔2019〕8号）文件精神，遵循“科学性、规范性、客观性和公正性”的原则，对</w:t>
      </w:r>
      <w:r>
        <w:rPr>
          <w:rFonts w:hint="eastAsia" w:ascii="仿宋" w:hAnsi="仿宋" w:eastAsia="仿宋" w:cs="仿宋"/>
          <w:sz w:val="32"/>
          <w:szCs w:val="32"/>
        </w:rPr>
        <w:t>石家庄市鹿泉区公用事业管理中心部门</w:t>
      </w:r>
      <w:r>
        <w:rPr>
          <w:rFonts w:hint="eastAsia" w:ascii="仿宋" w:hAnsi="仿宋" w:eastAsia="仿宋"/>
          <w:sz w:val="32"/>
          <w:szCs w:val="32"/>
        </w:rPr>
        <w:t>202</w:t>
      </w:r>
      <w:r>
        <w:rPr>
          <w:rFonts w:ascii="仿宋" w:hAnsi="仿宋" w:eastAsia="仿宋"/>
          <w:sz w:val="32"/>
          <w:szCs w:val="32"/>
        </w:rPr>
        <w:t>4</w:t>
      </w:r>
      <w:r>
        <w:rPr>
          <w:rFonts w:hint="eastAsia" w:ascii="仿宋" w:hAnsi="仿宋" w:eastAsia="仿宋"/>
          <w:sz w:val="32"/>
          <w:szCs w:val="32"/>
        </w:rPr>
        <w:t>年整体支出情况实施了财政支出绩效自评价，形成本评价报告。</w:t>
      </w:r>
    </w:p>
    <w:p w14:paraId="0A389ACA">
      <w:pPr>
        <w:adjustRightInd w:val="0"/>
        <w:snapToGrid w:val="0"/>
        <w:spacing w:line="560" w:lineRule="exact"/>
        <w:rPr>
          <w:rFonts w:ascii="黑体" w:hAnsi="黑体" w:eastAsia="黑体"/>
          <w:b/>
          <w:bCs/>
          <w:sz w:val="32"/>
          <w:szCs w:val="36"/>
        </w:rPr>
      </w:pPr>
      <w:r>
        <w:rPr>
          <w:rFonts w:hint="eastAsia" w:ascii="黑体" w:hAnsi="黑体" w:eastAsia="黑体"/>
          <w:sz w:val="32"/>
          <w:szCs w:val="32"/>
        </w:rPr>
        <w:t xml:space="preserve">     一、部门</w:t>
      </w:r>
      <w:r>
        <w:rPr>
          <w:rFonts w:hint="eastAsia" w:ascii="黑体" w:hAnsi="黑体" w:eastAsia="黑体"/>
          <w:sz w:val="32"/>
          <w:szCs w:val="36"/>
        </w:rPr>
        <w:t>基本情况</w:t>
      </w:r>
    </w:p>
    <w:p w14:paraId="15B961C9">
      <w:pPr>
        <w:adjustRightInd w:val="0"/>
        <w:snapToGrid w:val="0"/>
        <w:spacing w:line="560" w:lineRule="exact"/>
        <w:ind w:firstLine="640" w:firstLineChars="200"/>
        <w:rPr>
          <w:rFonts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（一）部门概况</w:t>
      </w:r>
    </w:p>
    <w:p w14:paraId="467FF8AA">
      <w:pPr>
        <w:adjustRightInd w:val="0"/>
        <w:snapToGrid w:val="0"/>
        <w:spacing w:line="560" w:lineRule="exact"/>
        <w:ind w:firstLine="643" w:firstLineChars="200"/>
        <w:rPr>
          <w:rFonts w:ascii="仿宋" w:hAnsi="仿宋" w:eastAsia="仿宋" w:cs="楷体_GB2312"/>
          <w:b/>
          <w:bCs/>
          <w:sz w:val="32"/>
          <w:szCs w:val="32"/>
        </w:rPr>
      </w:pPr>
      <w:r>
        <w:rPr>
          <w:rFonts w:hint="eastAsia" w:ascii="仿宋" w:hAnsi="仿宋" w:eastAsia="仿宋" w:cs="楷体_GB2312"/>
          <w:b/>
          <w:bCs/>
          <w:sz w:val="32"/>
          <w:szCs w:val="32"/>
        </w:rPr>
        <w:t>部门职责：</w:t>
      </w:r>
    </w:p>
    <w:p w14:paraId="41E6197A">
      <w:pPr>
        <w:spacing w:line="600" w:lineRule="exact"/>
        <w:ind w:firstLine="420" w:firstLineChars="200"/>
        <w:jc w:val="left"/>
        <w:rPr>
          <w:rFonts w:ascii="仿宋" w:hAnsi="仿宋" w:eastAsia="仿宋" w:cs="仿宋"/>
          <w:bCs/>
          <w:szCs w:val="32"/>
        </w:rPr>
      </w:pPr>
      <w:r>
        <w:rPr>
          <w:rFonts w:hint="eastAsia" w:ascii="仿宋" w:hAnsi="仿宋" w:eastAsia="仿宋" w:cs="仿宋"/>
        </w:rPr>
        <w:t xml:space="preserve">  </w:t>
      </w:r>
      <w:r>
        <w:rPr>
          <w:rFonts w:hint="eastAsia" w:ascii="仿宋" w:hAnsi="仿宋" w:eastAsia="仿宋" w:cs="仿宋"/>
          <w:bCs/>
          <w:sz w:val="32"/>
          <w:szCs w:val="32"/>
          <w:lang w:bidi="ar"/>
        </w:rPr>
        <w:t>1、贯彻落实国家、省、市园林绿化方面的方针政策、法律法规，制定本市相关政策性文件，并组织实施；制定园林绿化发展中长期规划和年度计划，会同有关部门编制城市园林专业规划和绿地系统详细规划，并组织实施。</w:t>
      </w:r>
    </w:p>
    <w:p w14:paraId="605EB8BE">
      <w:pPr>
        <w:spacing w:line="600" w:lineRule="exact"/>
        <w:ind w:firstLine="640" w:firstLineChars="200"/>
        <w:rPr>
          <w:rFonts w:ascii="仿宋" w:hAnsi="仿宋" w:eastAsia="仿宋" w:cs="仿宋"/>
          <w:bCs/>
          <w:szCs w:val="32"/>
        </w:rPr>
      </w:pPr>
      <w:r>
        <w:rPr>
          <w:rFonts w:hint="eastAsia" w:ascii="仿宋" w:hAnsi="仿宋" w:eastAsia="仿宋" w:cs="仿宋"/>
          <w:bCs/>
          <w:sz w:val="32"/>
          <w:szCs w:val="32"/>
          <w:lang w:bidi="ar"/>
        </w:rPr>
        <w:t>2、负责全市城乡公园绿地、风景林地和主要道路绿化的方案设计和建设管理；负责城市绿化“绿线”管理，并监督检查；参与风景名胜区的规划编制、建设工作。</w:t>
      </w:r>
    </w:p>
    <w:p w14:paraId="61E08958">
      <w:pPr>
        <w:spacing w:line="600" w:lineRule="exact"/>
        <w:ind w:firstLine="640" w:firstLineChars="200"/>
        <w:rPr>
          <w:rFonts w:ascii="仿宋" w:hAnsi="仿宋" w:eastAsia="仿宋" w:cs="仿宋"/>
          <w:bCs/>
          <w:szCs w:val="32"/>
        </w:rPr>
      </w:pPr>
      <w:r>
        <w:rPr>
          <w:rFonts w:hint="eastAsia" w:ascii="仿宋" w:hAnsi="仿宋" w:eastAsia="仿宋" w:cs="仿宋"/>
          <w:bCs/>
          <w:sz w:val="32"/>
          <w:szCs w:val="32"/>
          <w:lang w:bidi="ar"/>
        </w:rPr>
        <w:t>3、负责全市城乡新、扩、改建项目配套绿地审查和绿化工程竣工验收；负责全市政府投资城乡园林绿化工程的设计、建设和维护管理并行使法律、法规规定的行政处罚权。</w:t>
      </w:r>
    </w:p>
    <w:p w14:paraId="3A786E3E">
      <w:pPr>
        <w:spacing w:line="600" w:lineRule="exact"/>
        <w:ind w:firstLine="640" w:firstLineChars="200"/>
        <w:rPr>
          <w:rFonts w:ascii="仿宋" w:hAnsi="仿宋" w:eastAsia="仿宋" w:cs="仿宋"/>
          <w:bCs/>
          <w:szCs w:val="32"/>
        </w:rPr>
      </w:pPr>
      <w:r>
        <w:rPr>
          <w:rFonts w:hint="eastAsia" w:ascii="仿宋" w:hAnsi="仿宋" w:eastAsia="仿宋" w:cs="仿宋"/>
          <w:bCs/>
          <w:sz w:val="32"/>
          <w:szCs w:val="32"/>
          <w:lang w:bidi="ar"/>
        </w:rPr>
        <w:t>4、负责城市规划区内砍伐移植树木、绿地占用、异地绿化的审批工作；参与审查新建各类公园的选址定点、规划设计方案和已建成公园规划调整方案。</w:t>
      </w:r>
    </w:p>
    <w:p w14:paraId="03EA12CF">
      <w:pPr>
        <w:spacing w:line="600" w:lineRule="exact"/>
        <w:ind w:firstLine="640" w:firstLineChars="200"/>
        <w:rPr>
          <w:rFonts w:ascii="仿宋" w:hAnsi="仿宋" w:eastAsia="仿宋" w:cs="仿宋"/>
          <w:bCs/>
          <w:szCs w:val="32"/>
        </w:rPr>
      </w:pPr>
      <w:r>
        <w:rPr>
          <w:rFonts w:hint="eastAsia" w:ascii="仿宋" w:hAnsi="仿宋" w:eastAsia="仿宋" w:cs="仿宋"/>
          <w:bCs/>
          <w:sz w:val="32"/>
          <w:szCs w:val="32"/>
          <w:lang w:bidi="ar"/>
        </w:rPr>
        <w:t>5、负责全市城乡绿地广场、公园、小游园等管理工作；监督指导全市企事业单位、住宅小区等绿化达标；组织申报“园林式单位”和“园林式小区”。</w:t>
      </w:r>
    </w:p>
    <w:p w14:paraId="449C23D6">
      <w:pPr>
        <w:numPr>
          <w:ilvl w:val="0"/>
          <w:numId w:val="1"/>
        </w:numPr>
        <w:spacing w:line="600" w:lineRule="exact"/>
        <w:rPr>
          <w:rFonts w:ascii="仿宋" w:hAnsi="仿宋" w:eastAsia="仿宋" w:cs="仿宋"/>
          <w:bCs/>
          <w:szCs w:val="32"/>
        </w:rPr>
      </w:pPr>
      <w:r>
        <w:rPr>
          <w:rFonts w:hint="eastAsia" w:ascii="仿宋" w:hAnsi="仿宋" w:eastAsia="仿宋" w:cs="仿宋"/>
          <w:bCs/>
          <w:sz w:val="32"/>
          <w:szCs w:val="32"/>
          <w:lang w:bidi="ar"/>
        </w:rPr>
        <w:t>负责园林绿化的普法教育和宣传工作。</w:t>
      </w:r>
    </w:p>
    <w:p w14:paraId="016C9110">
      <w:pPr>
        <w:spacing w:line="600" w:lineRule="exact"/>
        <w:ind w:firstLine="640" w:firstLineChars="200"/>
        <w:rPr>
          <w:rFonts w:ascii="仿宋" w:hAnsi="仿宋" w:eastAsia="仿宋" w:cs="仿宋"/>
          <w:bCs/>
          <w:sz w:val="32"/>
          <w:szCs w:val="32"/>
          <w:lang w:bidi="ar"/>
        </w:rPr>
      </w:pPr>
      <w:r>
        <w:rPr>
          <w:rFonts w:hint="eastAsia" w:ascii="仿宋" w:hAnsi="仿宋" w:eastAsia="仿宋" w:cs="仿宋"/>
          <w:bCs/>
          <w:sz w:val="32"/>
          <w:szCs w:val="32"/>
          <w:lang w:bidi="ar"/>
        </w:rPr>
        <w:t>7、加强城区市政基础设施维护、绿化、亮化、城区防汛及公园管理。</w:t>
      </w:r>
    </w:p>
    <w:p w14:paraId="0506D89A">
      <w:pPr>
        <w:spacing w:line="600" w:lineRule="exact"/>
        <w:ind w:firstLine="640" w:firstLineChars="200"/>
        <w:rPr>
          <w:rFonts w:ascii="仿宋" w:hAnsi="仿宋" w:eastAsia="仿宋" w:cs="仿宋"/>
          <w:bCs/>
          <w:szCs w:val="32"/>
        </w:rPr>
      </w:pPr>
      <w:r>
        <w:rPr>
          <w:rFonts w:hint="eastAsia" w:ascii="仿宋" w:hAnsi="仿宋" w:eastAsia="仿宋" w:cs="仿宋"/>
          <w:bCs/>
          <w:sz w:val="32"/>
          <w:szCs w:val="32"/>
          <w:lang w:bidi="ar"/>
        </w:rPr>
        <w:t>8、依法查处破坏市政基础设施行为。</w:t>
      </w:r>
    </w:p>
    <w:p w14:paraId="690EDDE0">
      <w:pPr>
        <w:spacing w:line="600" w:lineRule="exact"/>
        <w:ind w:firstLine="640" w:firstLineChars="200"/>
        <w:rPr>
          <w:rFonts w:ascii="仿宋" w:hAnsi="仿宋" w:eastAsia="仿宋" w:cs="仿宋"/>
          <w:bCs/>
          <w:szCs w:val="32"/>
        </w:rPr>
      </w:pPr>
      <w:r>
        <w:rPr>
          <w:rFonts w:hint="eastAsia" w:ascii="仿宋" w:hAnsi="仿宋" w:eastAsia="仿宋" w:cs="仿宋"/>
          <w:bCs/>
          <w:sz w:val="32"/>
          <w:szCs w:val="32"/>
          <w:lang w:bidi="ar"/>
        </w:rPr>
        <w:t>9、审批占用、挖掘市政基础设施、绿化设施项目。</w:t>
      </w:r>
    </w:p>
    <w:p w14:paraId="694827C1">
      <w:pPr>
        <w:spacing w:line="600" w:lineRule="exact"/>
        <w:ind w:firstLine="640" w:firstLineChars="200"/>
        <w:rPr>
          <w:rFonts w:ascii="仿宋" w:hAnsi="仿宋" w:eastAsia="仿宋" w:cs="仿宋"/>
          <w:bCs/>
          <w:szCs w:val="32"/>
        </w:rPr>
      </w:pPr>
      <w:r>
        <w:rPr>
          <w:rFonts w:hint="eastAsia" w:ascii="仿宋" w:hAnsi="仿宋" w:eastAsia="仿宋" w:cs="仿宋"/>
          <w:bCs/>
          <w:sz w:val="32"/>
          <w:szCs w:val="32"/>
          <w:lang w:bidi="ar"/>
        </w:rPr>
        <w:t>10、负责城区集中供热管理及液化气供应保障工作。</w:t>
      </w:r>
    </w:p>
    <w:p w14:paraId="3A24ED53">
      <w:pPr>
        <w:spacing w:line="600" w:lineRule="exact"/>
        <w:ind w:firstLine="640" w:firstLineChars="200"/>
        <w:rPr>
          <w:rFonts w:ascii="仿宋_GB2312" w:hAnsi="宋体" w:eastAsia="仿宋_GB2312" w:cs="仿宋_GB2312"/>
          <w:bCs/>
          <w:sz w:val="32"/>
          <w:szCs w:val="32"/>
          <w:lang w:bidi="ar"/>
        </w:rPr>
      </w:pPr>
      <w:r>
        <w:rPr>
          <w:rFonts w:hint="eastAsia" w:ascii="仿宋" w:hAnsi="仿宋" w:eastAsia="仿宋" w:cs="仿宋"/>
          <w:bCs/>
          <w:sz w:val="32"/>
          <w:szCs w:val="32"/>
          <w:lang w:bidi="ar"/>
        </w:rPr>
        <w:t>11、承办市委、市政府交办的其他事项。</w:t>
      </w:r>
    </w:p>
    <w:p w14:paraId="48E552D4">
      <w:pPr>
        <w:keepNext/>
        <w:keepLines/>
        <w:spacing w:line="580" w:lineRule="exact"/>
        <w:jc w:val="left"/>
        <w:outlineLvl w:val="0"/>
        <w:rPr>
          <w:rFonts w:ascii="黑体" w:eastAsia="黑体" w:cs="Times New Roman"/>
          <w:kern w:val="0"/>
          <w:sz w:val="32"/>
          <w:szCs w:val="32"/>
        </w:rPr>
      </w:pPr>
      <w:r>
        <w:rPr>
          <w:rFonts w:hint="eastAsia" w:ascii="黑体" w:eastAsia="黑体"/>
          <w:kern w:val="0"/>
          <w:sz w:val="32"/>
          <w:szCs w:val="32"/>
        </w:rPr>
        <w:t>机构设置</w:t>
      </w:r>
    </w:p>
    <w:p w14:paraId="3B2F4700">
      <w:pPr>
        <w:spacing w:line="580" w:lineRule="exact"/>
        <w:ind w:firstLine="640" w:firstLineChars="200"/>
        <w:rPr>
          <w:rFonts w:ascii="仿宋" w:hAnsi="仿宋" w:eastAsia="仿宋" w:cs="仿宋"/>
          <w:kern w:val="0"/>
          <w:sz w:val="32"/>
          <w:szCs w:val="32"/>
        </w:rPr>
      </w:pPr>
      <w:r>
        <w:rPr>
          <w:rFonts w:hint="eastAsia" w:ascii="仿宋" w:hAnsi="仿宋" w:eastAsia="仿宋" w:cs="仿宋"/>
          <w:kern w:val="0"/>
          <w:sz w:val="32"/>
          <w:szCs w:val="32"/>
        </w:rPr>
        <w:t>从决算编报单位构成看，纳入202</w:t>
      </w:r>
      <w:r>
        <w:rPr>
          <w:rFonts w:hint="eastAsia" w:ascii="仿宋" w:hAnsi="仿宋" w:eastAsia="仿宋" w:cs="仿宋"/>
          <w:kern w:val="0"/>
          <w:sz w:val="32"/>
          <w:szCs w:val="32"/>
          <w:lang w:val="en-US" w:eastAsia="zh-CN"/>
        </w:rPr>
        <w:t>4</w:t>
      </w:r>
      <w:r>
        <w:rPr>
          <w:rFonts w:hint="eastAsia" w:ascii="仿宋" w:hAnsi="仿宋" w:eastAsia="仿宋" w:cs="仿宋"/>
          <w:kern w:val="0"/>
          <w:sz w:val="32"/>
          <w:szCs w:val="32"/>
        </w:rPr>
        <w:t>年度本部门决算汇编范围的独立核算单位（以下简称“单位”）共 4 个，具体情况如下：</w:t>
      </w:r>
    </w:p>
    <w:tbl>
      <w:tblPr>
        <w:tblStyle w:val="4"/>
        <w:tblpPr w:leftFromText="180" w:rightFromText="180" w:vertAnchor="text" w:horzAnchor="page" w:tblpXSpec="center" w:tblpY="10"/>
        <w:tblOverlap w:val="never"/>
        <w:tblW w:w="9580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85"/>
        <w:gridCol w:w="3835"/>
        <w:gridCol w:w="2355"/>
        <w:gridCol w:w="2405"/>
      </w:tblGrid>
      <w:tr w14:paraId="56B643D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1" w:hRule="atLeast"/>
          <w:jc w:val="center"/>
        </w:trPr>
        <w:tc>
          <w:tcPr>
            <w:tcW w:w="985" w:type="dxa"/>
            <w:vAlign w:val="center"/>
          </w:tcPr>
          <w:p w14:paraId="46EA723E">
            <w:pPr>
              <w:spacing w:line="560" w:lineRule="exact"/>
              <w:jc w:val="center"/>
              <w:rPr>
                <w:rFonts w:ascii="仿宋" w:hAnsi="仿宋" w:eastAsia="仿宋" w:cs="仿宋"/>
                <w:b/>
                <w:bCs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/>
                <w:bCs/>
                <w:kern w:val="0"/>
                <w:sz w:val="28"/>
                <w:szCs w:val="28"/>
              </w:rPr>
              <w:t>序号</w:t>
            </w:r>
          </w:p>
        </w:tc>
        <w:tc>
          <w:tcPr>
            <w:tcW w:w="3835" w:type="dxa"/>
            <w:vAlign w:val="center"/>
          </w:tcPr>
          <w:p w14:paraId="32B03260">
            <w:pPr>
              <w:spacing w:line="560" w:lineRule="exact"/>
              <w:jc w:val="center"/>
              <w:rPr>
                <w:rFonts w:ascii="仿宋" w:hAnsi="仿宋" w:eastAsia="仿宋" w:cs="仿宋"/>
                <w:b/>
                <w:bCs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/>
                <w:bCs/>
                <w:kern w:val="0"/>
                <w:sz w:val="28"/>
                <w:szCs w:val="28"/>
              </w:rPr>
              <w:t>单位名称</w:t>
            </w:r>
          </w:p>
        </w:tc>
        <w:tc>
          <w:tcPr>
            <w:tcW w:w="2355" w:type="dxa"/>
            <w:vAlign w:val="center"/>
          </w:tcPr>
          <w:p w14:paraId="0F0825FA">
            <w:pPr>
              <w:spacing w:line="560" w:lineRule="exact"/>
              <w:jc w:val="center"/>
              <w:rPr>
                <w:rFonts w:ascii="仿宋" w:hAnsi="仿宋" w:eastAsia="仿宋" w:cs="仿宋"/>
                <w:b/>
                <w:bCs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/>
                <w:bCs/>
                <w:kern w:val="0"/>
                <w:sz w:val="28"/>
                <w:szCs w:val="28"/>
              </w:rPr>
              <w:t>单位基本性质</w:t>
            </w:r>
          </w:p>
        </w:tc>
        <w:tc>
          <w:tcPr>
            <w:tcW w:w="2405" w:type="dxa"/>
            <w:vAlign w:val="center"/>
          </w:tcPr>
          <w:p w14:paraId="73AF3120">
            <w:pPr>
              <w:spacing w:line="560" w:lineRule="exact"/>
              <w:jc w:val="center"/>
              <w:rPr>
                <w:rFonts w:ascii="仿宋" w:hAnsi="仿宋" w:eastAsia="仿宋" w:cs="仿宋"/>
                <w:b/>
                <w:bCs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/>
                <w:bCs/>
                <w:kern w:val="0"/>
                <w:sz w:val="28"/>
                <w:szCs w:val="28"/>
              </w:rPr>
              <w:t>经费形式</w:t>
            </w:r>
          </w:p>
        </w:tc>
      </w:tr>
      <w:tr w14:paraId="3FBCABD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6" w:hRule="atLeast"/>
          <w:jc w:val="center"/>
        </w:trPr>
        <w:tc>
          <w:tcPr>
            <w:tcW w:w="985" w:type="dxa"/>
            <w:vAlign w:val="center"/>
          </w:tcPr>
          <w:p w14:paraId="6AF68D72">
            <w:pPr>
              <w:spacing w:line="560" w:lineRule="exact"/>
              <w:jc w:val="center"/>
              <w:rPr>
                <w:rFonts w:ascii="仿宋" w:hAnsi="仿宋" w:eastAsia="仿宋" w:cs="仿宋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kern w:val="0"/>
                <w:sz w:val="28"/>
                <w:szCs w:val="28"/>
              </w:rPr>
              <w:t>1</w:t>
            </w:r>
          </w:p>
        </w:tc>
        <w:tc>
          <w:tcPr>
            <w:tcW w:w="3835" w:type="dxa"/>
            <w:vAlign w:val="center"/>
          </w:tcPr>
          <w:p w14:paraId="55B291A1">
            <w:pPr>
              <w:spacing w:line="560" w:lineRule="exact"/>
              <w:jc w:val="center"/>
              <w:rPr>
                <w:rFonts w:ascii="仿宋" w:hAnsi="仿宋" w:eastAsia="仿宋" w:cs="仿宋"/>
                <w:kern w:val="0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石家庄市鹿泉区公用事业管理中心</w:t>
            </w:r>
          </w:p>
          <w:p w14:paraId="1F34A42D">
            <w:pPr>
              <w:spacing w:line="560" w:lineRule="exact"/>
              <w:jc w:val="center"/>
              <w:rPr>
                <w:rFonts w:ascii="仿宋" w:hAnsi="仿宋" w:eastAsia="仿宋" w:cs="仿宋"/>
                <w:kern w:val="0"/>
                <w:sz w:val="24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(本级)</w:t>
            </w:r>
          </w:p>
        </w:tc>
        <w:tc>
          <w:tcPr>
            <w:tcW w:w="2355" w:type="dxa"/>
            <w:vAlign w:val="center"/>
          </w:tcPr>
          <w:p w14:paraId="50192A39">
            <w:pPr>
              <w:spacing w:line="560" w:lineRule="exact"/>
              <w:jc w:val="center"/>
              <w:rPr>
                <w:rFonts w:ascii="仿宋" w:hAnsi="仿宋" w:eastAsia="仿宋" w:cs="仿宋"/>
                <w:kern w:val="0"/>
                <w:sz w:val="24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财政补助事业单位</w:t>
            </w:r>
          </w:p>
        </w:tc>
        <w:tc>
          <w:tcPr>
            <w:tcW w:w="2405" w:type="dxa"/>
            <w:vAlign w:val="center"/>
          </w:tcPr>
          <w:p w14:paraId="64DABBD3">
            <w:pPr>
              <w:spacing w:line="560" w:lineRule="exact"/>
              <w:jc w:val="center"/>
              <w:rPr>
                <w:rFonts w:ascii="仿宋" w:hAnsi="仿宋" w:eastAsia="仿宋" w:cs="仿宋"/>
                <w:kern w:val="0"/>
                <w:sz w:val="24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财政性资金基本保证</w:t>
            </w:r>
          </w:p>
        </w:tc>
      </w:tr>
      <w:tr w14:paraId="328C9BD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6" w:hRule="atLeast"/>
          <w:jc w:val="center"/>
        </w:trPr>
        <w:tc>
          <w:tcPr>
            <w:tcW w:w="985" w:type="dxa"/>
            <w:vAlign w:val="center"/>
          </w:tcPr>
          <w:p w14:paraId="58221BE2">
            <w:pPr>
              <w:spacing w:line="560" w:lineRule="exact"/>
              <w:jc w:val="center"/>
              <w:rPr>
                <w:rFonts w:ascii="仿宋" w:hAnsi="仿宋" w:eastAsia="仿宋" w:cs="仿宋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kern w:val="0"/>
                <w:sz w:val="28"/>
                <w:szCs w:val="28"/>
              </w:rPr>
              <w:t>2</w:t>
            </w:r>
          </w:p>
        </w:tc>
        <w:tc>
          <w:tcPr>
            <w:tcW w:w="3835" w:type="dxa"/>
            <w:vAlign w:val="center"/>
          </w:tcPr>
          <w:p w14:paraId="186A91A6">
            <w:pPr>
              <w:spacing w:line="560" w:lineRule="exact"/>
              <w:jc w:val="center"/>
              <w:rPr>
                <w:rFonts w:ascii="仿宋" w:hAnsi="仿宋" w:eastAsia="仿宋" w:cs="仿宋"/>
                <w:kern w:val="0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石家庄市鹿泉区市政公用设施</w:t>
            </w:r>
          </w:p>
          <w:p w14:paraId="6B14912B">
            <w:pPr>
              <w:spacing w:line="560" w:lineRule="exact"/>
              <w:jc w:val="center"/>
              <w:rPr>
                <w:rFonts w:ascii="仿宋" w:hAnsi="仿宋" w:eastAsia="仿宋" w:cs="仿宋"/>
                <w:kern w:val="0"/>
                <w:sz w:val="24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管理维护中心</w:t>
            </w:r>
          </w:p>
        </w:tc>
        <w:tc>
          <w:tcPr>
            <w:tcW w:w="2355" w:type="dxa"/>
            <w:vAlign w:val="center"/>
          </w:tcPr>
          <w:p w14:paraId="6C6F0631">
            <w:pPr>
              <w:spacing w:line="560" w:lineRule="exact"/>
              <w:jc w:val="center"/>
              <w:rPr>
                <w:rFonts w:ascii="仿宋" w:hAnsi="仿宋" w:eastAsia="仿宋" w:cs="仿宋"/>
                <w:kern w:val="0"/>
                <w:sz w:val="24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经费自理事业单位</w:t>
            </w:r>
          </w:p>
        </w:tc>
        <w:tc>
          <w:tcPr>
            <w:tcW w:w="2405" w:type="dxa"/>
            <w:vAlign w:val="center"/>
          </w:tcPr>
          <w:p w14:paraId="003771ED">
            <w:pPr>
              <w:spacing w:line="560" w:lineRule="exact"/>
              <w:jc w:val="center"/>
              <w:rPr>
                <w:rFonts w:ascii="仿宋" w:hAnsi="仿宋" w:eastAsia="仿宋" w:cs="仿宋"/>
                <w:kern w:val="0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财政性资金定额或</w:t>
            </w:r>
          </w:p>
          <w:p w14:paraId="5847DCB3">
            <w:pPr>
              <w:spacing w:line="560" w:lineRule="exact"/>
              <w:jc w:val="center"/>
              <w:rPr>
                <w:rFonts w:ascii="仿宋" w:hAnsi="仿宋" w:eastAsia="仿宋" w:cs="仿宋"/>
                <w:kern w:val="0"/>
                <w:sz w:val="24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定项补助</w:t>
            </w:r>
          </w:p>
        </w:tc>
      </w:tr>
      <w:tr w14:paraId="2592F1B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6" w:hRule="atLeast"/>
          <w:jc w:val="center"/>
        </w:trPr>
        <w:tc>
          <w:tcPr>
            <w:tcW w:w="985" w:type="dxa"/>
            <w:vAlign w:val="center"/>
          </w:tcPr>
          <w:p w14:paraId="29A4019F">
            <w:pPr>
              <w:spacing w:line="560" w:lineRule="exact"/>
              <w:jc w:val="center"/>
              <w:rPr>
                <w:rFonts w:ascii="仿宋" w:hAnsi="仿宋" w:eastAsia="仿宋" w:cs="仿宋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kern w:val="0"/>
                <w:sz w:val="28"/>
                <w:szCs w:val="28"/>
              </w:rPr>
              <w:t>3</w:t>
            </w:r>
          </w:p>
        </w:tc>
        <w:tc>
          <w:tcPr>
            <w:tcW w:w="3835" w:type="dxa"/>
            <w:vAlign w:val="center"/>
          </w:tcPr>
          <w:p w14:paraId="215C6EB6">
            <w:pPr>
              <w:spacing w:line="560" w:lineRule="exact"/>
              <w:jc w:val="center"/>
              <w:rPr>
                <w:rFonts w:ascii="仿宋" w:hAnsi="仿宋" w:eastAsia="仿宋" w:cs="仿宋"/>
                <w:kern w:val="0"/>
                <w:sz w:val="24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石家庄市鹿泉区海山公园</w:t>
            </w:r>
          </w:p>
        </w:tc>
        <w:tc>
          <w:tcPr>
            <w:tcW w:w="2355" w:type="dxa"/>
            <w:vAlign w:val="center"/>
          </w:tcPr>
          <w:p w14:paraId="12775308">
            <w:pPr>
              <w:spacing w:line="560" w:lineRule="exact"/>
              <w:jc w:val="center"/>
              <w:rPr>
                <w:rFonts w:ascii="仿宋" w:hAnsi="仿宋" w:eastAsia="仿宋" w:cs="仿宋"/>
                <w:kern w:val="0"/>
                <w:sz w:val="24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经费自理事业单位</w:t>
            </w:r>
          </w:p>
        </w:tc>
        <w:tc>
          <w:tcPr>
            <w:tcW w:w="2405" w:type="dxa"/>
            <w:vAlign w:val="center"/>
          </w:tcPr>
          <w:p w14:paraId="2A7AE98B">
            <w:pPr>
              <w:spacing w:line="560" w:lineRule="exact"/>
              <w:jc w:val="center"/>
              <w:rPr>
                <w:rFonts w:ascii="仿宋" w:hAnsi="仿宋" w:eastAsia="仿宋" w:cs="仿宋"/>
                <w:kern w:val="0"/>
                <w:sz w:val="24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财政性资金基本保证</w:t>
            </w:r>
          </w:p>
        </w:tc>
      </w:tr>
      <w:tr w14:paraId="466552E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6" w:hRule="atLeast"/>
          <w:jc w:val="center"/>
        </w:trPr>
        <w:tc>
          <w:tcPr>
            <w:tcW w:w="985" w:type="dxa"/>
            <w:vAlign w:val="center"/>
          </w:tcPr>
          <w:p w14:paraId="320FBE08">
            <w:pPr>
              <w:spacing w:line="560" w:lineRule="exact"/>
              <w:jc w:val="center"/>
              <w:rPr>
                <w:rFonts w:ascii="仿宋" w:hAnsi="仿宋" w:eastAsia="仿宋" w:cs="仿宋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kern w:val="0"/>
                <w:sz w:val="28"/>
                <w:szCs w:val="28"/>
              </w:rPr>
              <w:t>4</w:t>
            </w:r>
          </w:p>
        </w:tc>
        <w:tc>
          <w:tcPr>
            <w:tcW w:w="3835" w:type="dxa"/>
            <w:vAlign w:val="center"/>
          </w:tcPr>
          <w:p w14:paraId="1BDA45DB">
            <w:pPr>
              <w:spacing w:line="560" w:lineRule="exact"/>
              <w:jc w:val="center"/>
              <w:rPr>
                <w:rFonts w:ascii="仿宋" w:hAnsi="仿宋" w:eastAsia="仿宋" w:cs="仿宋"/>
                <w:kern w:val="0"/>
                <w:sz w:val="24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石家庄市鹿泉区石柏公园</w:t>
            </w:r>
          </w:p>
        </w:tc>
        <w:tc>
          <w:tcPr>
            <w:tcW w:w="2355" w:type="dxa"/>
            <w:vAlign w:val="center"/>
          </w:tcPr>
          <w:p w14:paraId="14E6458D">
            <w:pPr>
              <w:spacing w:line="560" w:lineRule="exact"/>
              <w:jc w:val="center"/>
              <w:rPr>
                <w:rFonts w:ascii="仿宋" w:hAnsi="仿宋" w:eastAsia="仿宋" w:cs="仿宋"/>
                <w:kern w:val="0"/>
                <w:sz w:val="24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经费自理事业单位</w:t>
            </w:r>
          </w:p>
        </w:tc>
        <w:tc>
          <w:tcPr>
            <w:tcW w:w="2405" w:type="dxa"/>
            <w:vAlign w:val="center"/>
          </w:tcPr>
          <w:p w14:paraId="72CDB8FF">
            <w:pPr>
              <w:spacing w:line="560" w:lineRule="exact"/>
              <w:jc w:val="center"/>
              <w:rPr>
                <w:rFonts w:ascii="仿宋" w:hAnsi="仿宋" w:eastAsia="仿宋" w:cs="仿宋"/>
                <w:kern w:val="0"/>
                <w:sz w:val="24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财政性资金基本保证</w:t>
            </w:r>
          </w:p>
        </w:tc>
      </w:tr>
    </w:tbl>
    <w:p w14:paraId="1735855E">
      <w:pPr>
        <w:numPr>
          <w:ilvl w:val="0"/>
          <w:numId w:val="2"/>
        </w:numPr>
        <w:autoSpaceDE w:val="0"/>
        <w:autoSpaceDN w:val="0"/>
        <w:adjustRightInd w:val="0"/>
        <w:ind w:left="200" w:firstLine="640" w:firstLineChars="200"/>
        <w:jc w:val="left"/>
        <w:rPr>
          <w:rFonts w:hint="eastAsia"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部门收支预决算情况</w:t>
      </w:r>
    </w:p>
    <w:p w14:paraId="13B883E8">
      <w:pPr>
        <w:numPr>
          <w:ilvl w:val="0"/>
          <w:numId w:val="0"/>
        </w:numPr>
        <w:autoSpaceDE w:val="0"/>
        <w:autoSpaceDN w:val="0"/>
        <w:adjustRightInd w:val="0"/>
        <w:ind w:leftChars="200" w:firstLine="640" w:firstLineChars="200"/>
        <w:jc w:val="left"/>
        <w:rPr>
          <w:rFonts w:ascii="仿宋" w:hAnsi="仿宋" w:eastAsia="仿宋" w:cs="仿宋"/>
          <w:color w:val="auto"/>
          <w:sz w:val="32"/>
          <w:szCs w:val="32"/>
        </w:rPr>
      </w:pPr>
      <w:r>
        <w:rPr>
          <w:rFonts w:hint="eastAsia" w:ascii="仿宋" w:hAnsi="仿宋" w:eastAsia="仿宋" w:cs="仿宋"/>
          <w:color w:val="auto"/>
          <w:sz w:val="32"/>
          <w:szCs w:val="32"/>
        </w:rPr>
        <w:t>本部门202</w:t>
      </w:r>
      <w:r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  <w:t>4</w:t>
      </w:r>
      <w:r>
        <w:rPr>
          <w:rFonts w:hint="eastAsia" w:ascii="仿宋" w:hAnsi="仿宋" w:eastAsia="仿宋" w:cs="仿宋"/>
          <w:color w:val="auto"/>
          <w:sz w:val="32"/>
          <w:szCs w:val="32"/>
        </w:rPr>
        <w:t>年度收入合计</w:t>
      </w:r>
      <w:r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  <w:t>11629.257862</w:t>
      </w:r>
      <w:r>
        <w:rPr>
          <w:rFonts w:hint="eastAsia" w:ascii="仿宋" w:hAnsi="仿宋" w:eastAsia="仿宋" w:cs="仿宋"/>
          <w:color w:val="auto"/>
          <w:sz w:val="32"/>
          <w:szCs w:val="32"/>
        </w:rPr>
        <w:t>万元，其中：财政拨款收入</w:t>
      </w:r>
      <w:r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  <w:t>11599.096262</w:t>
      </w:r>
      <w:r>
        <w:rPr>
          <w:rFonts w:hint="eastAsia" w:ascii="仿宋" w:hAnsi="仿宋" w:eastAsia="仿宋" w:cs="仿宋"/>
          <w:color w:val="auto"/>
          <w:sz w:val="32"/>
          <w:szCs w:val="32"/>
        </w:rPr>
        <w:t>万元，占</w:t>
      </w:r>
      <w:r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  <w:t>99.74</w:t>
      </w:r>
      <w:r>
        <w:rPr>
          <w:rFonts w:hint="eastAsia" w:ascii="仿宋" w:hAnsi="仿宋" w:eastAsia="仿宋" w:cs="仿宋"/>
          <w:color w:val="auto"/>
          <w:sz w:val="32"/>
          <w:szCs w:val="32"/>
        </w:rPr>
        <w:t>%；上级补助收入</w:t>
      </w:r>
      <w:r>
        <w:rPr>
          <w:rFonts w:ascii="仿宋" w:hAnsi="仿宋" w:eastAsia="仿宋" w:cs="仿宋"/>
          <w:color w:val="auto"/>
          <w:sz w:val="32"/>
          <w:szCs w:val="32"/>
        </w:rPr>
        <w:t>30.1616</w:t>
      </w:r>
      <w:r>
        <w:rPr>
          <w:rFonts w:hint="eastAsia" w:ascii="仿宋" w:hAnsi="仿宋" w:eastAsia="仿宋" w:cs="仿宋"/>
          <w:color w:val="auto"/>
          <w:sz w:val="32"/>
          <w:szCs w:val="32"/>
        </w:rPr>
        <w:t>万元，占0</w:t>
      </w:r>
      <w:r>
        <w:rPr>
          <w:rFonts w:ascii="仿宋" w:hAnsi="仿宋" w:eastAsia="仿宋" w:cs="仿宋"/>
          <w:color w:val="auto"/>
          <w:sz w:val="32"/>
          <w:szCs w:val="32"/>
        </w:rPr>
        <w:t>.2</w:t>
      </w:r>
      <w:r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  <w:t>6</w:t>
      </w:r>
      <w:r>
        <w:rPr>
          <w:rFonts w:hint="eastAsia" w:ascii="仿宋" w:hAnsi="仿宋" w:eastAsia="仿宋" w:cs="仿宋"/>
          <w:color w:val="auto"/>
          <w:sz w:val="32"/>
          <w:szCs w:val="32"/>
        </w:rPr>
        <w:t>%；事业收入0万元，占0%；经营收入</w:t>
      </w:r>
      <w:r>
        <w:rPr>
          <w:rFonts w:ascii="仿宋" w:hAnsi="仿宋" w:eastAsia="仿宋" w:cs="仿宋"/>
          <w:color w:val="auto"/>
          <w:sz w:val="32"/>
          <w:szCs w:val="32"/>
        </w:rPr>
        <w:t>0</w:t>
      </w:r>
      <w:r>
        <w:rPr>
          <w:rFonts w:hint="eastAsia" w:ascii="仿宋" w:hAnsi="仿宋" w:eastAsia="仿宋" w:cs="仿宋"/>
          <w:color w:val="auto"/>
          <w:sz w:val="32"/>
          <w:szCs w:val="32"/>
        </w:rPr>
        <w:t>万元，占</w:t>
      </w:r>
      <w:r>
        <w:rPr>
          <w:rFonts w:ascii="仿宋" w:hAnsi="仿宋" w:eastAsia="仿宋" w:cs="仿宋"/>
          <w:color w:val="auto"/>
          <w:sz w:val="32"/>
          <w:szCs w:val="32"/>
        </w:rPr>
        <w:t>0</w:t>
      </w:r>
      <w:r>
        <w:rPr>
          <w:rFonts w:hint="eastAsia" w:ascii="仿宋" w:hAnsi="仿宋" w:eastAsia="仿宋" w:cs="仿宋"/>
          <w:color w:val="auto"/>
          <w:sz w:val="32"/>
          <w:szCs w:val="32"/>
        </w:rPr>
        <w:t>%；附属单位上缴收入0万元，占0%；其他收入</w:t>
      </w:r>
      <w:r>
        <w:rPr>
          <w:rFonts w:ascii="仿宋" w:hAnsi="仿宋" w:eastAsia="仿宋" w:cs="仿宋"/>
          <w:color w:val="auto"/>
          <w:sz w:val="32"/>
          <w:szCs w:val="32"/>
        </w:rPr>
        <w:t>230.8</w:t>
      </w:r>
      <w:r>
        <w:rPr>
          <w:rFonts w:hint="eastAsia" w:ascii="仿宋" w:hAnsi="仿宋" w:eastAsia="仿宋" w:cs="仿宋"/>
          <w:color w:val="auto"/>
          <w:sz w:val="32"/>
          <w:szCs w:val="32"/>
        </w:rPr>
        <w:t>万元，占</w:t>
      </w:r>
      <w:r>
        <w:rPr>
          <w:rFonts w:ascii="仿宋" w:hAnsi="仿宋" w:eastAsia="仿宋" w:cs="仿宋"/>
          <w:color w:val="auto"/>
          <w:sz w:val="32"/>
          <w:szCs w:val="32"/>
        </w:rPr>
        <w:t>1.88</w:t>
      </w:r>
      <w:r>
        <w:rPr>
          <w:rFonts w:hint="eastAsia" w:ascii="仿宋" w:hAnsi="仿宋" w:eastAsia="仿宋" w:cs="仿宋"/>
          <w:color w:val="auto"/>
          <w:sz w:val="32"/>
          <w:szCs w:val="32"/>
        </w:rPr>
        <w:t>%；</w:t>
      </w:r>
    </w:p>
    <w:p w14:paraId="7784C6B8">
      <w:pPr>
        <w:autoSpaceDE w:val="0"/>
        <w:autoSpaceDN w:val="0"/>
        <w:adjustRightInd w:val="0"/>
        <w:ind w:left="200" w:firstLine="640" w:firstLineChars="200"/>
        <w:jc w:val="left"/>
        <w:rPr>
          <w:rFonts w:ascii="楷体" w:hAnsi="楷体" w:eastAsia="楷体" w:cs="楷体_GB2312"/>
          <w:bCs/>
          <w:color w:val="auto"/>
          <w:sz w:val="32"/>
          <w:szCs w:val="32"/>
        </w:rPr>
      </w:pPr>
      <w:r>
        <w:rPr>
          <w:rFonts w:hint="eastAsia" w:ascii="仿宋" w:hAnsi="仿宋" w:eastAsia="仿宋" w:cs="仿宋"/>
          <w:color w:val="auto"/>
          <w:sz w:val="32"/>
          <w:szCs w:val="32"/>
        </w:rPr>
        <w:t>本部门202</w:t>
      </w:r>
      <w:r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  <w:t>4</w:t>
      </w:r>
      <w:r>
        <w:rPr>
          <w:rFonts w:hint="eastAsia" w:ascii="仿宋" w:hAnsi="仿宋" w:eastAsia="仿宋" w:cs="仿宋"/>
          <w:color w:val="auto"/>
          <w:sz w:val="32"/>
          <w:szCs w:val="32"/>
        </w:rPr>
        <w:t>年度支出合计</w:t>
      </w:r>
      <w:r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  <w:t>11659.420462</w:t>
      </w:r>
      <w:r>
        <w:rPr>
          <w:rFonts w:hint="eastAsia" w:ascii="仿宋" w:hAnsi="仿宋" w:eastAsia="仿宋" w:cs="仿宋"/>
          <w:color w:val="auto"/>
          <w:sz w:val="32"/>
          <w:szCs w:val="32"/>
        </w:rPr>
        <w:t>万元，其中：基本支出</w:t>
      </w:r>
      <w:r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  <w:t>612.840196</w:t>
      </w:r>
      <w:r>
        <w:rPr>
          <w:rFonts w:hint="eastAsia" w:ascii="仿宋" w:hAnsi="仿宋" w:eastAsia="仿宋" w:cs="仿宋"/>
          <w:color w:val="auto"/>
          <w:sz w:val="32"/>
          <w:szCs w:val="32"/>
        </w:rPr>
        <w:t>万元，占</w:t>
      </w:r>
      <w:r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  <w:t>5.26</w:t>
      </w:r>
      <w:r>
        <w:rPr>
          <w:rFonts w:hint="eastAsia" w:ascii="仿宋" w:hAnsi="仿宋" w:eastAsia="仿宋" w:cs="仿宋"/>
          <w:color w:val="auto"/>
          <w:sz w:val="32"/>
          <w:szCs w:val="32"/>
        </w:rPr>
        <w:t>%；项目支出</w:t>
      </w:r>
      <w:r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  <w:t>11046.579964</w:t>
      </w:r>
      <w:r>
        <w:rPr>
          <w:rFonts w:hint="eastAsia" w:ascii="仿宋" w:hAnsi="仿宋" w:eastAsia="仿宋" w:cs="仿宋"/>
          <w:color w:val="auto"/>
          <w:sz w:val="32"/>
          <w:szCs w:val="32"/>
        </w:rPr>
        <w:t>万元，占</w:t>
      </w:r>
      <w:r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  <w:t>94.74</w:t>
      </w:r>
      <w:r>
        <w:rPr>
          <w:rFonts w:hint="eastAsia" w:ascii="仿宋" w:hAnsi="仿宋" w:eastAsia="仿宋" w:cs="仿宋"/>
          <w:color w:val="auto"/>
          <w:sz w:val="32"/>
          <w:szCs w:val="32"/>
        </w:rPr>
        <w:t>%；经营支出</w:t>
      </w:r>
      <w:r>
        <w:rPr>
          <w:rFonts w:ascii="仿宋" w:hAnsi="仿宋" w:eastAsia="仿宋" w:cs="仿宋"/>
          <w:color w:val="auto"/>
          <w:sz w:val="32"/>
          <w:szCs w:val="32"/>
        </w:rPr>
        <w:t>0</w:t>
      </w:r>
      <w:r>
        <w:rPr>
          <w:rFonts w:hint="eastAsia" w:ascii="仿宋" w:hAnsi="仿宋" w:eastAsia="仿宋" w:cs="仿宋"/>
          <w:color w:val="auto"/>
          <w:sz w:val="32"/>
          <w:szCs w:val="32"/>
        </w:rPr>
        <w:t>万元，占</w:t>
      </w:r>
      <w:r>
        <w:rPr>
          <w:rFonts w:ascii="仿宋" w:hAnsi="仿宋" w:eastAsia="仿宋" w:cs="仿宋"/>
          <w:color w:val="auto"/>
          <w:sz w:val="32"/>
          <w:szCs w:val="32"/>
        </w:rPr>
        <w:t>0</w:t>
      </w:r>
      <w:r>
        <w:rPr>
          <w:rFonts w:hint="eastAsia" w:ascii="仿宋" w:hAnsi="仿宋" w:eastAsia="仿宋" w:cs="仿宋"/>
          <w:color w:val="auto"/>
          <w:sz w:val="32"/>
          <w:szCs w:val="32"/>
        </w:rPr>
        <w:t>%；对附属单位补助支出0万元，占0%。</w:t>
      </w:r>
    </w:p>
    <w:p w14:paraId="6B0F4EF6">
      <w:pPr>
        <w:numPr>
          <w:ilvl w:val="0"/>
          <w:numId w:val="2"/>
        </w:numPr>
        <w:autoSpaceDE w:val="0"/>
        <w:autoSpaceDN w:val="0"/>
        <w:adjustRightInd w:val="0"/>
        <w:ind w:left="200" w:firstLine="640" w:firstLineChars="200"/>
        <w:jc w:val="left"/>
        <w:rPr>
          <w:rFonts w:hint="eastAsia"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部门整体支出绩效目标、指标</w:t>
      </w:r>
    </w:p>
    <w:p w14:paraId="4413B9DB">
      <w:pPr>
        <w:spacing w:line="500" w:lineRule="exact"/>
        <w:ind w:firstLine="56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color w:val="000000"/>
          <w:sz w:val="32"/>
          <w:szCs w:val="32"/>
        </w:rPr>
        <w:t>一</w:t>
      </w:r>
      <w:r>
        <w:rPr>
          <w:rFonts w:hint="eastAsia" w:ascii="仿宋" w:hAnsi="仿宋" w:eastAsia="仿宋" w:cs="仿宋"/>
          <w:color w:val="000000"/>
          <w:sz w:val="32"/>
          <w:szCs w:val="32"/>
          <w:lang w:eastAsia="zh-CN"/>
        </w:rPr>
        <w:t>、</w:t>
      </w:r>
      <w:r>
        <w:rPr>
          <w:rFonts w:hint="eastAsia" w:ascii="仿宋" w:hAnsi="仿宋" w:eastAsia="仿宋" w:cs="仿宋"/>
          <w:color w:val="000000"/>
          <w:sz w:val="32"/>
          <w:szCs w:val="32"/>
        </w:rPr>
        <w:t>总体绩效目标</w:t>
      </w:r>
    </w:p>
    <w:p w14:paraId="27E35689">
      <w:pPr>
        <w:numPr>
          <w:ilvl w:val="0"/>
          <w:numId w:val="0"/>
        </w:numPr>
        <w:autoSpaceDE w:val="0"/>
        <w:autoSpaceDN w:val="0"/>
        <w:adjustRightInd w:val="0"/>
        <w:ind w:leftChars="200" w:firstLine="640" w:firstLineChars="200"/>
        <w:jc w:val="left"/>
        <w:rPr>
          <w:rFonts w:hint="eastAsia" w:ascii="仿宋" w:hAnsi="仿宋" w:eastAsia="仿宋" w:cs="仿宋"/>
          <w:color w:val="auto"/>
          <w:sz w:val="32"/>
          <w:szCs w:val="32"/>
        </w:rPr>
      </w:pPr>
      <w:r>
        <w:rPr>
          <w:rFonts w:hint="eastAsia" w:ascii="仿宋" w:hAnsi="仿宋" w:eastAsia="仿宋" w:cs="仿宋"/>
          <w:color w:val="auto"/>
          <w:sz w:val="32"/>
          <w:szCs w:val="32"/>
        </w:rPr>
        <w:t>2024年，我们将根据城市规划和区政府工作部署，加快区基础设施建设，不断提高保障和服务水平，增强城市综合承载力。突出功能完善，着力提升城市品质。聚焦“民生实事”，持续增强供热保障能力。持续加强城市基础设施建设，完善城市功能，推进服务民生。</w:t>
      </w:r>
    </w:p>
    <w:p w14:paraId="0F0E1284">
      <w:pPr>
        <w:numPr>
          <w:ilvl w:val="0"/>
          <w:numId w:val="0"/>
        </w:numPr>
        <w:autoSpaceDE w:val="0"/>
        <w:autoSpaceDN w:val="0"/>
        <w:adjustRightInd w:val="0"/>
        <w:ind w:left="420" w:leftChars="200" w:firstLine="419" w:firstLineChars="131"/>
        <w:jc w:val="left"/>
        <w:rPr>
          <w:rFonts w:hint="eastAsia" w:ascii="仿宋" w:hAnsi="仿宋" w:eastAsia="仿宋" w:cs="仿宋"/>
          <w:color w:val="auto"/>
          <w:sz w:val="32"/>
          <w:szCs w:val="32"/>
        </w:rPr>
      </w:pPr>
      <w:r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  <w:t>1.</w:t>
      </w:r>
      <w:r>
        <w:rPr>
          <w:rFonts w:hint="eastAsia" w:ascii="仿宋" w:hAnsi="仿宋" w:eastAsia="仿宋" w:cs="仿宋"/>
          <w:color w:val="auto"/>
          <w:sz w:val="32"/>
          <w:szCs w:val="32"/>
        </w:rPr>
        <w:t>实施2024年节日氛围营造工程，对城区</w:t>
      </w:r>
      <w:r>
        <w:rPr>
          <w:rFonts w:hint="eastAsia" w:ascii="仿宋" w:hAnsi="仿宋" w:eastAsia="仿宋" w:cs="仿宋"/>
          <w:color w:val="auto"/>
          <w:sz w:val="32"/>
          <w:szCs w:val="32"/>
        </w:rPr>
        <w:tab/>
      </w:r>
      <w:r>
        <w:rPr>
          <w:rFonts w:hint="eastAsia" w:ascii="仿宋" w:hAnsi="仿宋" w:eastAsia="仿宋" w:cs="仿宋"/>
          <w:color w:val="auto"/>
          <w:sz w:val="32"/>
          <w:szCs w:val="32"/>
        </w:rPr>
        <w:t>(太平河南北路、北斗路、向阳大街、新康路）等五条主要道路两侧树木悬挂灯笼1.8万盏，镇宁路路灯杆安装中国结82套，12处跨街灯笼装饰安装灯笼1416盏；石柏大街路灯杆安装联排灯笼装饰69套，北斗路、观景大街绿篱安装彩色网灯1100套。城区主要节点位置(市政广场、海山公园、石柏公园、鹿源广场)进行春节氛围营造，广场、及主要树木、绿篱安装LED彩色变换网灯650套，安装灯串710套，安装镂空藤球灯480盏，安装亚克力三联排灯笼63套，安装萤火虫灯、鸟巢投光灯74套，安装灯笼1000盏，设置造型拱门等景观小品装饰6套；在市政广场和海山公园主入口设置大型造型灯箱；形成城区点、线、面全方位的节日氛围。</w:t>
      </w:r>
    </w:p>
    <w:p w14:paraId="318D3142">
      <w:pPr>
        <w:numPr>
          <w:ilvl w:val="0"/>
          <w:numId w:val="0"/>
        </w:numPr>
        <w:autoSpaceDE w:val="0"/>
        <w:autoSpaceDN w:val="0"/>
        <w:adjustRightInd w:val="0"/>
        <w:ind w:left="420" w:leftChars="200" w:firstLine="640" w:firstLineChars="200"/>
        <w:jc w:val="left"/>
        <w:rPr>
          <w:rFonts w:hint="eastAsia" w:ascii="仿宋" w:hAnsi="仿宋" w:eastAsia="仿宋"/>
          <w:color w:val="000000" w:themeColor="text1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  <w:t>2.</w:t>
      </w:r>
      <w:r>
        <w:rPr>
          <w:rFonts w:hint="eastAsia" w:ascii="仿宋" w:hAnsi="仿宋" w:eastAsia="仿宋"/>
          <w:color w:val="000000" w:themeColor="text1"/>
          <w:sz w:val="32"/>
          <w:szCs w:val="32"/>
        </w:rPr>
        <w:t>持续增强供热保障能力。为满足主城区供热管网运行需要，进一步提高主城区供热质量</w:t>
      </w:r>
      <w:r>
        <w:rPr>
          <w:rFonts w:hint="eastAsia" w:ascii="仿宋" w:hAnsi="仿宋" w:eastAsia="仿宋"/>
          <w:color w:val="000000" w:themeColor="text1"/>
          <w:sz w:val="32"/>
          <w:szCs w:val="32"/>
          <w:lang w:eastAsia="zh-CN"/>
        </w:rPr>
        <w:t>。</w:t>
      </w:r>
    </w:p>
    <w:p w14:paraId="71599D9F">
      <w:pPr>
        <w:numPr>
          <w:ilvl w:val="0"/>
          <w:numId w:val="0"/>
        </w:numPr>
        <w:spacing w:line="560" w:lineRule="exact"/>
        <w:ind w:firstLine="640" w:firstLineChars="200"/>
        <w:rPr>
          <w:rFonts w:hint="default" w:ascii="仿宋" w:hAnsi="仿宋" w:eastAsia="仿宋"/>
          <w:color w:val="000000" w:themeColor="text1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color w:val="000000" w:themeColor="text1"/>
          <w:sz w:val="32"/>
          <w:szCs w:val="32"/>
          <w:lang w:val="en-US" w:eastAsia="zh-CN"/>
        </w:rPr>
        <w:t>3.</w:t>
      </w:r>
      <w:r>
        <w:rPr>
          <w:rFonts w:hint="eastAsia" w:ascii="仿宋" w:hAnsi="仿宋" w:eastAsia="仿宋"/>
          <w:color w:val="000000" w:themeColor="text1"/>
          <w:sz w:val="32"/>
          <w:szCs w:val="32"/>
        </w:rPr>
        <w:t>开展景观打造，实现设计规划效果，提升城市建设品位。完成</w:t>
      </w:r>
      <w:r>
        <w:rPr>
          <w:rFonts w:ascii="仿宋" w:hAnsi="仿宋" w:eastAsia="仿宋"/>
          <w:color w:val="000000" w:themeColor="text1"/>
          <w:sz w:val="32"/>
          <w:szCs w:val="32"/>
        </w:rPr>
        <w:t>202</w:t>
      </w:r>
      <w:r>
        <w:rPr>
          <w:rFonts w:hint="eastAsia" w:ascii="仿宋" w:hAnsi="仿宋" w:eastAsia="仿宋"/>
          <w:color w:val="000000" w:themeColor="text1"/>
          <w:sz w:val="32"/>
          <w:szCs w:val="32"/>
          <w:lang w:val="en-US" w:eastAsia="zh-CN"/>
        </w:rPr>
        <w:t>4</w:t>
      </w:r>
      <w:r>
        <w:rPr>
          <w:rFonts w:hint="eastAsia" w:ascii="仿宋" w:hAnsi="仿宋" w:eastAsia="仿宋"/>
          <w:color w:val="000000" w:themeColor="text1"/>
          <w:sz w:val="32"/>
          <w:szCs w:val="32"/>
        </w:rPr>
        <w:t>年口袋公园建设</w:t>
      </w:r>
      <w:r>
        <w:rPr>
          <w:rFonts w:hint="eastAsia" w:ascii="仿宋" w:hAnsi="仿宋" w:eastAsia="仿宋"/>
          <w:color w:val="000000" w:themeColor="text1"/>
          <w:sz w:val="32"/>
          <w:szCs w:val="32"/>
          <w:lang w:val="en-US" w:eastAsia="zh-CN"/>
        </w:rPr>
        <w:t>1座</w:t>
      </w:r>
      <w:r>
        <w:rPr>
          <w:rFonts w:hint="eastAsia" w:ascii="仿宋" w:hAnsi="仿宋" w:eastAsia="仿宋"/>
          <w:color w:val="000000" w:themeColor="text1"/>
          <w:sz w:val="32"/>
          <w:szCs w:val="32"/>
        </w:rPr>
        <w:t>。</w:t>
      </w:r>
    </w:p>
    <w:p w14:paraId="67D2639B">
      <w:pPr>
        <w:autoSpaceDE w:val="0"/>
        <w:autoSpaceDN w:val="0"/>
        <w:adjustRightInd w:val="0"/>
        <w:ind w:left="200" w:firstLine="640" w:firstLineChars="200"/>
        <w:jc w:val="left"/>
        <w:rPr>
          <w:rFonts w:hint="eastAsia" w:ascii="仿宋" w:hAnsi="仿宋" w:eastAsia="仿宋" w:cs="仿宋"/>
          <w:color w:val="auto"/>
          <w:sz w:val="32"/>
          <w:szCs w:val="32"/>
        </w:rPr>
      </w:pPr>
      <w:r>
        <w:rPr>
          <w:rFonts w:hint="eastAsia" w:ascii="仿宋" w:hAnsi="仿宋" w:eastAsia="仿宋" w:cs="仿宋"/>
          <w:color w:val="auto"/>
          <w:sz w:val="32"/>
          <w:szCs w:val="32"/>
        </w:rPr>
        <w:t>二</w:t>
      </w:r>
      <w:r>
        <w:rPr>
          <w:rFonts w:hint="eastAsia" w:ascii="仿宋" w:hAnsi="仿宋" w:eastAsia="仿宋" w:cs="仿宋"/>
          <w:color w:val="auto"/>
          <w:sz w:val="32"/>
          <w:szCs w:val="32"/>
          <w:lang w:eastAsia="zh-CN"/>
        </w:rPr>
        <w:t>、</w:t>
      </w:r>
      <w:r>
        <w:rPr>
          <w:rFonts w:hint="eastAsia" w:ascii="仿宋" w:hAnsi="仿宋" w:eastAsia="仿宋" w:cs="仿宋"/>
          <w:color w:val="auto"/>
          <w:sz w:val="32"/>
          <w:szCs w:val="32"/>
        </w:rPr>
        <w:t>分项绩效目标</w:t>
      </w:r>
    </w:p>
    <w:p w14:paraId="58115EE7">
      <w:pPr>
        <w:autoSpaceDE w:val="0"/>
        <w:autoSpaceDN w:val="0"/>
        <w:adjustRightInd w:val="0"/>
        <w:ind w:left="200" w:firstLine="640" w:firstLineChars="200"/>
        <w:jc w:val="left"/>
        <w:rPr>
          <w:rFonts w:hint="eastAsia" w:ascii="仿宋" w:hAnsi="仿宋" w:eastAsia="仿宋" w:cs="仿宋"/>
          <w:color w:val="auto"/>
          <w:sz w:val="32"/>
          <w:szCs w:val="32"/>
        </w:rPr>
      </w:pPr>
      <w:r>
        <w:rPr>
          <w:rFonts w:hint="eastAsia" w:ascii="仿宋" w:hAnsi="仿宋" w:eastAsia="仿宋" w:cs="仿宋"/>
          <w:color w:val="auto"/>
          <w:sz w:val="32"/>
          <w:szCs w:val="32"/>
        </w:rPr>
        <w:t>绩效目标1：实施2024年节日氛围营造工程</w:t>
      </w:r>
    </w:p>
    <w:p w14:paraId="2066142F">
      <w:pPr>
        <w:autoSpaceDE w:val="0"/>
        <w:autoSpaceDN w:val="0"/>
        <w:adjustRightInd w:val="0"/>
        <w:ind w:left="200" w:firstLine="640" w:firstLineChars="200"/>
        <w:jc w:val="left"/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color w:val="auto"/>
          <w:sz w:val="32"/>
          <w:szCs w:val="32"/>
        </w:rPr>
        <w:t>绩效指标1：</w:t>
      </w:r>
      <w:r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  <w:t>在</w:t>
      </w:r>
      <w:r>
        <w:rPr>
          <w:rFonts w:hint="eastAsia" w:ascii="仿宋" w:hAnsi="仿宋" w:eastAsia="仿宋" w:cs="仿宋"/>
          <w:color w:val="auto"/>
          <w:sz w:val="32"/>
          <w:szCs w:val="32"/>
        </w:rPr>
        <w:t>城区主要街道、游园安装灯笼、彩灯等共计</w:t>
      </w:r>
      <w:r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  <w:t>18000套及以上。</w:t>
      </w:r>
    </w:p>
    <w:p w14:paraId="02DCFD36">
      <w:pPr>
        <w:autoSpaceDE w:val="0"/>
        <w:autoSpaceDN w:val="0"/>
        <w:adjustRightInd w:val="0"/>
        <w:ind w:left="200" w:firstLine="640" w:firstLineChars="200"/>
        <w:jc w:val="left"/>
        <w:rPr>
          <w:rFonts w:hint="default" w:ascii="仿宋" w:hAnsi="仿宋" w:eastAsia="仿宋" w:cs="仿宋"/>
          <w:color w:val="auto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  <w:t>绩效指标2：营造欢乐、祥和、平安、吉祥的春节氛围，为市民提供良好的城区游玩环境。</w:t>
      </w:r>
    </w:p>
    <w:p w14:paraId="2A4239BF">
      <w:pPr>
        <w:autoSpaceDE w:val="0"/>
        <w:autoSpaceDN w:val="0"/>
        <w:adjustRightInd w:val="0"/>
        <w:ind w:left="200" w:firstLine="640" w:firstLineChars="200"/>
        <w:jc w:val="left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二、自评工作开展情况</w:t>
      </w:r>
    </w:p>
    <w:p w14:paraId="5008F6AA">
      <w:pPr>
        <w:spacing w:line="560" w:lineRule="exact"/>
        <w:rPr>
          <w:rFonts w:ascii="楷体" w:hAnsi="楷体" w:eastAsia="楷体" w:cs="楷体_GB2312"/>
          <w:sz w:val="32"/>
          <w:szCs w:val="32"/>
        </w:rPr>
      </w:pPr>
      <w:r>
        <w:rPr>
          <w:rFonts w:hint="eastAsia" w:ascii="仿宋" w:hAnsi="仿宋" w:eastAsia="仿宋" w:cs="楷体_GB2312"/>
          <w:b/>
          <w:bCs/>
          <w:sz w:val="32"/>
          <w:szCs w:val="32"/>
        </w:rPr>
        <w:t xml:space="preserve">    </w:t>
      </w:r>
      <w:r>
        <w:rPr>
          <w:rFonts w:hint="eastAsia" w:ascii="楷体" w:hAnsi="楷体" w:eastAsia="楷体" w:cs="楷体_GB2312"/>
          <w:bCs/>
          <w:sz w:val="32"/>
          <w:szCs w:val="32"/>
        </w:rPr>
        <w:t>（一）自评的组织工作</w:t>
      </w:r>
    </w:p>
    <w:p w14:paraId="744A4B2E">
      <w:pPr>
        <w:spacing w:line="560" w:lineRule="exact"/>
        <w:ind w:firstLine="64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 xml:space="preserve"> 评价资料收集：要求业务科室准备好绩效评价所需的佐证材料，其中评价指标应有对应的佐证材料相关指标的实现情况。</w:t>
      </w:r>
    </w:p>
    <w:p w14:paraId="715E4421">
      <w:pPr>
        <w:spacing w:line="560" w:lineRule="exact"/>
        <w:ind w:firstLine="64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评价过程：</w:t>
      </w:r>
      <w:r>
        <w:rPr>
          <w:rFonts w:ascii="仿宋" w:hAnsi="仿宋" w:eastAsia="仿宋"/>
          <w:sz w:val="32"/>
          <w:szCs w:val="32"/>
        </w:rPr>
        <w:t>1</w:t>
      </w:r>
      <w:r>
        <w:rPr>
          <w:rFonts w:hint="eastAsia" w:ascii="仿宋" w:hAnsi="仿宋" w:eastAsia="仿宋"/>
          <w:sz w:val="32"/>
          <w:szCs w:val="32"/>
        </w:rPr>
        <w:t>、通过对相关资料的原件、数据来源及计算方法等，进一步核实自评材料及佐证材料的客观性、真实性、准确性，确保相关内容真实可靠、满足评价报告的需要。</w:t>
      </w:r>
      <w:r>
        <w:rPr>
          <w:rFonts w:ascii="仿宋" w:hAnsi="仿宋" w:eastAsia="仿宋"/>
          <w:sz w:val="32"/>
          <w:szCs w:val="32"/>
        </w:rPr>
        <w:t>2</w:t>
      </w:r>
      <w:r>
        <w:rPr>
          <w:rFonts w:hint="eastAsia" w:ascii="仿宋" w:hAnsi="仿宋" w:eastAsia="仿宋"/>
          <w:sz w:val="32"/>
          <w:szCs w:val="32"/>
        </w:rPr>
        <w:t>、通过仔细查阅实施、管理等各项过程材料、补充评审评价深度的不足，进一步把握评价项目及预算执行的规范性。</w:t>
      </w:r>
    </w:p>
    <w:p w14:paraId="3DABE79D">
      <w:pPr>
        <w:numPr>
          <w:ilvl w:val="0"/>
          <w:numId w:val="3"/>
        </w:numPr>
        <w:spacing w:line="560" w:lineRule="exact"/>
        <w:rPr>
          <w:rFonts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自评的方法和过程</w:t>
      </w:r>
    </w:p>
    <w:p w14:paraId="37877530">
      <w:pPr>
        <w:spacing w:line="560" w:lineRule="exact"/>
        <w:ind w:firstLine="960" w:firstLineChars="300"/>
        <w:rPr>
          <w:rFonts w:ascii="楷体" w:hAnsi="楷体" w:eastAsia="楷体" w:cs="楷体_GB2312"/>
          <w:bCs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202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4</w:t>
      </w:r>
      <w:r>
        <w:rPr>
          <w:rFonts w:hint="eastAsia" w:ascii="仿宋" w:hAnsi="仿宋" w:eastAsia="仿宋" w:cs="仿宋"/>
          <w:sz w:val="32"/>
          <w:szCs w:val="32"/>
        </w:rPr>
        <w:t>年度预算项目绩效自评采用对比法、因素分析法、审核法。主要由项目实施股室对各项目进行综合评价。包括项目预算资金的投入、执行及项目年度预期目标、产出指标、效益指标的预期指标值与实际完成值的评定，以打分的形式评价预算项目年度绩效指标的完成情况。</w:t>
      </w:r>
    </w:p>
    <w:p w14:paraId="5F3588A1">
      <w:pPr>
        <w:spacing w:line="560" w:lineRule="exact"/>
        <w:rPr>
          <w:rFonts w:ascii="黑体" w:hAnsi="黑体" w:eastAsia="黑体"/>
          <w:b/>
          <w:bCs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 xml:space="preserve">    三、部门整体支出绩效目标实现情况及指标分析</w:t>
      </w:r>
    </w:p>
    <w:p w14:paraId="0A9DD648">
      <w:pPr>
        <w:numPr>
          <w:ilvl w:val="0"/>
          <w:numId w:val="4"/>
        </w:numPr>
        <w:spacing w:line="560" w:lineRule="exact"/>
        <w:ind w:firstLine="640" w:firstLineChars="200"/>
        <w:rPr>
          <w:rFonts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总体绩效目标实现情况</w:t>
      </w:r>
    </w:p>
    <w:p w14:paraId="00111487">
      <w:pPr>
        <w:spacing w:line="560" w:lineRule="exact"/>
        <w:ind w:firstLine="640" w:firstLineChars="200"/>
        <w:rPr>
          <w:rFonts w:ascii="仿宋" w:hAnsi="仿宋" w:eastAsia="仿宋"/>
          <w:color w:val="000000" w:themeColor="text1"/>
          <w:sz w:val="32"/>
          <w:szCs w:val="32"/>
        </w:rPr>
      </w:pPr>
      <w:r>
        <w:rPr>
          <w:rFonts w:hint="eastAsia" w:ascii="仿宋" w:hAnsi="仿宋" w:eastAsia="仿宋"/>
          <w:color w:val="000000" w:themeColor="text1"/>
          <w:sz w:val="32"/>
          <w:szCs w:val="32"/>
        </w:rPr>
        <w:t>20</w:t>
      </w:r>
      <w:r>
        <w:rPr>
          <w:rFonts w:ascii="仿宋" w:hAnsi="仿宋" w:eastAsia="仿宋"/>
          <w:color w:val="000000" w:themeColor="text1"/>
          <w:sz w:val="32"/>
          <w:szCs w:val="32"/>
        </w:rPr>
        <w:t>2</w:t>
      </w:r>
      <w:r>
        <w:rPr>
          <w:rFonts w:hint="eastAsia" w:ascii="仿宋" w:hAnsi="仿宋" w:eastAsia="仿宋"/>
          <w:color w:val="000000" w:themeColor="text1"/>
          <w:sz w:val="32"/>
          <w:szCs w:val="32"/>
          <w:lang w:val="en-US" w:eastAsia="zh-CN"/>
        </w:rPr>
        <w:t>4</w:t>
      </w:r>
      <w:r>
        <w:rPr>
          <w:rFonts w:hint="eastAsia" w:ascii="仿宋" w:hAnsi="仿宋" w:eastAsia="仿宋"/>
          <w:color w:val="000000" w:themeColor="text1"/>
          <w:sz w:val="32"/>
          <w:szCs w:val="32"/>
        </w:rPr>
        <w:t>年，我们将根据城市规划和区政府工作部署，积极参与北部区域振兴，加快区基础设施建设，不断提高保障和服务水平，增强城市综合承载力。突出功能完善，着力提升城市品质。</w:t>
      </w:r>
    </w:p>
    <w:p w14:paraId="3C43D2E2">
      <w:pPr>
        <w:numPr>
          <w:ilvl w:val="0"/>
          <w:numId w:val="5"/>
        </w:numPr>
        <w:spacing w:line="560" w:lineRule="exact"/>
        <w:ind w:firstLine="640" w:firstLineChars="200"/>
        <w:rPr>
          <w:rFonts w:ascii="仿宋" w:hAnsi="仿宋" w:eastAsia="仿宋"/>
          <w:color w:val="000000" w:themeColor="text1"/>
          <w:sz w:val="32"/>
          <w:szCs w:val="32"/>
        </w:rPr>
      </w:pPr>
      <w:r>
        <w:rPr>
          <w:rFonts w:hint="eastAsia" w:ascii="仿宋" w:hAnsi="仿宋" w:eastAsia="仿宋"/>
          <w:color w:val="000000" w:themeColor="text1"/>
          <w:sz w:val="32"/>
          <w:szCs w:val="32"/>
        </w:rPr>
        <w:t>聚焦“民生实事”，持续增强供热保障能力。为满足主城区供热管网运行需要，进一步提高主城区供热质量。</w:t>
      </w:r>
    </w:p>
    <w:p w14:paraId="5914A776">
      <w:pPr>
        <w:numPr>
          <w:ilvl w:val="0"/>
          <w:numId w:val="5"/>
        </w:numPr>
        <w:spacing w:line="560" w:lineRule="exact"/>
        <w:ind w:firstLine="640" w:firstLineChars="200"/>
        <w:rPr>
          <w:rFonts w:ascii="仿宋" w:hAnsi="仿宋" w:eastAsia="仿宋"/>
          <w:color w:val="000000" w:themeColor="text1"/>
          <w:sz w:val="32"/>
          <w:szCs w:val="32"/>
        </w:rPr>
      </w:pPr>
      <w:r>
        <w:rPr>
          <w:rFonts w:hint="eastAsia" w:ascii="仿宋" w:hAnsi="仿宋" w:eastAsia="仿宋"/>
          <w:color w:val="000000" w:themeColor="text1"/>
          <w:sz w:val="32"/>
          <w:szCs w:val="32"/>
        </w:rPr>
        <w:t>开展景观打造，实现设计规划效果，提升城市建设品位。完成</w:t>
      </w:r>
      <w:r>
        <w:rPr>
          <w:rFonts w:ascii="仿宋" w:hAnsi="仿宋" w:eastAsia="仿宋"/>
          <w:color w:val="000000" w:themeColor="text1"/>
          <w:sz w:val="32"/>
          <w:szCs w:val="32"/>
        </w:rPr>
        <w:t>202</w:t>
      </w:r>
      <w:r>
        <w:rPr>
          <w:rFonts w:hint="eastAsia" w:ascii="仿宋" w:hAnsi="仿宋" w:eastAsia="仿宋"/>
          <w:color w:val="000000" w:themeColor="text1"/>
          <w:sz w:val="32"/>
          <w:szCs w:val="32"/>
          <w:lang w:val="en-US" w:eastAsia="zh-CN"/>
        </w:rPr>
        <w:t>4</w:t>
      </w:r>
      <w:r>
        <w:rPr>
          <w:rFonts w:hint="eastAsia" w:ascii="仿宋" w:hAnsi="仿宋" w:eastAsia="仿宋"/>
          <w:color w:val="000000" w:themeColor="text1"/>
          <w:sz w:val="32"/>
          <w:szCs w:val="32"/>
        </w:rPr>
        <w:t>年口袋公园建设。</w:t>
      </w:r>
    </w:p>
    <w:p w14:paraId="7745C4A0">
      <w:pPr>
        <w:numPr>
          <w:ilvl w:val="0"/>
          <w:numId w:val="5"/>
        </w:numPr>
        <w:spacing w:line="560" w:lineRule="exact"/>
        <w:ind w:firstLine="640" w:firstLineChars="200"/>
        <w:rPr>
          <w:rFonts w:ascii="仿宋" w:hAnsi="仿宋" w:eastAsia="仿宋"/>
          <w:color w:val="000000" w:themeColor="text1"/>
          <w:sz w:val="32"/>
          <w:szCs w:val="32"/>
        </w:rPr>
      </w:pPr>
      <w:r>
        <w:rPr>
          <w:rFonts w:hint="eastAsia" w:ascii="仿宋" w:hAnsi="仿宋" w:eastAsia="仿宋"/>
          <w:color w:val="000000" w:themeColor="text1"/>
          <w:sz w:val="32"/>
          <w:szCs w:val="32"/>
        </w:rPr>
        <w:t>为了营造欢乐、祥和、平安、吉祥的节日氛围，采用重要节点布置大型造型灯（如市民广场、海山公园正大门等），城区主要街道悬挂灯笼作为装饰；形成点面一体，给人强烈的视觉冲击，突出喜庆大气的广场、公园美化装饰效果，彰显节日新气象，美化城区环境，提高城市形象，为辖区广大市民营造一个欢乐、祥和的节日氛围。</w:t>
      </w:r>
    </w:p>
    <w:p w14:paraId="3AA292D8">
      <w:pPr>
        <w:spacing w:line="560" w:lineRule="exact"/>
        <w:ind w:left="420" w:leftChars="200"/>
        <w:rPr>
          <w:rFonts w:ascii="仿宋" w:hAnsi="仿宋" w:eastAsia="仿宋"/>
          <w:color w:val="000000" w:themeColor="text1"/>
          <w:sz w:val="32"/>
          <w:szCs w:val="32"/>
        </w:rPr>
      </w:pPr>
      <w:r>
        <w:rPr>
          <w:rFonts w:hint="eastAsia" w:ascii="仿宋" w:hAnsi="仿宋" w:eastAsia="仿宋"/>
          <w:color w:val="000000" w:themeColor="text1"/>
          <w:sz w:val="32"/>
          <w:szCs w:val="32"/>
        </w:rPr>
        <w:t xml:space="preserve"> 通过自评，202</w:t>
      </w:r>
      <w:r>
        <w:rPr>
          <w:rFonts w:hint="eastAsia" w:ascii="仿宋" w:hAnsi="仿宋" w:eastAsia="仿宋"/>
          <w:color w:val="000000" w:themeColor="text1"/>
          <w:sz w:val="32"/>
          <w:szCs w:val="32"/>
          <w:lang w:val="en-US" w:eastAsia="zh-CN"/>
        </w:rPr>
        <w:t>4</w:t>
      </w:r>
      <w:r>
        <w:rPr>
          <w:rFonts w:hint="eastAsia" w:ascii="仿宋" w:hAnsi="仿宋" w:eastAsia="仿宋"/>
          <w:color w:val="000000" w:themeColor="text1"/>
          <w:sz w:val="32"/>
          <w:szCs w:val="32"/>
        </w:rPr>
        <w:t>年完成了年初编制的预期绩效目标任务。</w:t>
      </w:r>
    </w:p>
    <w:p w14:paraId="37EA0937">
      <w:pPr>
        <w:numPr>
          <w:ilvl w:val="0"/>
          <w:numId w:val="4"/>
        </w:numPr>
        <w:spacing w:line="560" w:lineRule="exact"/>
        <w:ind w:left="0" w:leftChars="0" w:firstLine="640" w:firstLineChars="200"/>
        <w:rPr>
          <w:rFonts w:hint="eastAsia" w:ascii="楷体" w:hAnsi="楷体" w:eastAsia="楷体" w:cs="楷体_GB2312"/>
          <w:bCs/>
          <w:color w:val="auto"/>
          <w:sz w:val="32"/>
          <w:szCs w:val="32"/>
        </w:rPr>
      </w:pPr>
      <w:r>
        <w:rPr>
          <w:rFonts w:hint="eastAsia" w:ascii="楷体" w:hAnsi="楷体" w:eastAsia="楷体" w:cs="楷体_GB2312"/>
          <w:bCs/>
          <w:color w:val="auto"/>
          <w:sz w:val="32"/>
          <w:szCs w:val="32"/>
        </w:rPr>
        <w:t>分项绩效目标实现情况及指标分析</w:t>
      </w:r>
    </w:p>
    <w:p w14:paraId="49A5D848">
      <w:pPr>
        <w:numPr>
          <w:ilvl w:val="0"/>
          <w:numId w:val="0"/>
        </w:numPr>
        <w:spacing w:line="560" w:lineRule="exact"/>
        <w:ind w:leftChars="200"/>
        <w:rPr>
          <w:rFonts w:hint="eastAsia" w:ascii="楷体" w:hAnsi="楷体" w:eastAsia="楷体" w:cs="楷体_GB2312"/>
          <w:bCs/>
          <w:color w:val="auto"/>
          <w:sz w:val="32"/>
          <w:szCs w:val="32"/>
          <w:lang w:val="en-US" w:eastAsia="zh-CN"/>
        </w:rPr>
      </w:pPr>
      <w:r>
        <w:rPr>
          <w:rFonts w:hint="eastAsia" w:ascii="楷体" w:hAnsi="楷体" w:eastAsia="楷体" w:cs="楷体_GB2312"/>
          <w:bCs/>
          <w:color w:val="auto"/>
          <w:sz w:val="32"/>
          <w:szCs w:val="32"/>
          <w:lang w:val="en-US" w:eastAsia="zh-CN"/>
        </w:rPr>
        <w:t>一、防汛保障房</w:t>
      </w:r>
    </w:p>
    <w:tbl>
      <w:tblPr>
        <w:tblStyle w:val="4"/>
        <w:tblW w:w="9140" w:type="dxa"/>
        <w:tblInd w:w="93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31"/>
        <w:gridCol w:w="1735"/>
        <w:gridCol w:w="1170"/>
        <w:gridCol w:w="1030"/>
        <w:gridCol w:w="750"/>
        <w:gridCol w:w="1154"/>
        <w:gridCol w:w="823"/>
        <w:gridCol w:w="1347"/>
      </w:tblGrid>
      <w:tr w14:paraId="623E580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4" w:hRule="atLeast"/>
        </w:trPr>
        <w:tc>
          <w:tcPr>
            <w:tcW w:w="9140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075793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方正小标宋_GBK" w:hAnsi="方正小标宋_GBK" w:eastAsia="方正小标宋_GBK" w:cs="方正小标宋_GBK"/>
                <w:i w:val="0"/>
                <w:iCs w:val="0"/>
                <w:color w:val="000000"/>
                <w:sz w:val="44"/>
                <w:szCs w:val="44"/>
                <w:u w:val="none"/>
              </w:rPr>
            </w:pPr>
            <w:r>
              <w:rPr>
                <w:rFonts w:hint="default" w:ascii="方正小标宋_GBK" w:hAnsi="方正小标宋_GBK" w:eastAsia="方正小标宋_GBK" w:cs="方正小标宋_GBK"/>
                <w:i w:val="0"/>
                <w:iCs w:val="0"/>
                <w:color w:val="000000"/>
                <w:kern w:val="0"/>
                <w:sz w:val="44"/>
                <w:szCs w:val="44"/>
                <w:u w:val="none"/>
                <w:lang w:val="en-US" w:eastAsia="zh-CN" w:bidi="ar"/>
              </w:rPr>
              <w:t>区级部门预算项目绩效自评表</w:t>
            </w:r>
          </w:p>
        </w:tc>
      </w:tr>
      <w:tr w14:paraId="0DFEF54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7" w:hRule="atLeast"/>
        </w:trPr>
        <w:tc>
          <w:tcPr>
            <w:tcW w:w="9140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2F17542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（   2024   年度）</w:t>
            </w:r>
          </w:p>
        </w:tc>
      </w:tr>
      <w:tr w14:paraId="00C813B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6" w:hRule="atLeast"/>
        </w:trPr>
        <w:tc>
          <w:tcPr>
            <w:tcW w:w="11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0FE0AD2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填报单位：</w:t>
            </w:r>
          </w:p>
        </w:tc>
        <w:tc>
          <w:tcPr>
            <w:tcW w:w="3935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10592E5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石家庄市鹿泉区公用事业管理中心</w:t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7935B9A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1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4916DD9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217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5DE633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金额单位：万元</w:t>
            </w:r>
          </w:p>
        </w:tc>
      </w:tr>
      <w:tr w14:paraId="404C5B1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28" w:hRule="atLeast"/>
        </w:trPr>
        <w:tc>
          <w:tcPr>
            <w:tcW w:w="1131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7EAB610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一、</w:t>
            </w:r>
            <w:r>
              <w:rPr>
                <w:rStyle w:val="6"/>
                <w:rFonts w:eastAsia="宋体"/>
                <w:lang w:val="en-US" w:eastAsia="zh-CN" w:bidi="ar"/>
              </w:rPr>
              <w:t xml:space="preserve"> </w:t>
            </w:r>
            <w:r>
              <w:rPr>
                <w:rStyle w:val="7"/>
                <w:lang w:val="en-US" w:eastAsia="zh-CN" w:bidi="ar"/>
              </w:rPr>
              <w:t>基本情况</w:t>
            </w:r>
          </w:p>
        </w:tc>
        <w:tc>
          <w:tcPr>
            <w:tcW w:w="1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0FF98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项目名称</w:t>
            </w:r>
          </w:p>
        </w:tc>
        <w:tc>
          <w:tcPr>
            <w:tcW w:w="220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EDB7316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防汛保障房</w:t>
            </w:r>
          </w:p>
        </w:tc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B3E40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实施(主管）单位</w:t>
            </w:r>
          </w:p>
        </w:tc>
        <w:tc>
          <w:tcPr>
            <w:tcW w:w="3324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9F9A4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566001 - 石家庄市鹿泉区公用事业管理中心本级</w:t>
            </w:r>
          </w:p>
        </w:tc>
      </w:tr>
      <w:tr w14:paraId="1E5F66A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8" w:hRule="atLeast"/>
        </w:trPr>
        <w:tc>
          <w:tcPr>
            <w:tcW w:w="1131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758C1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二、预算执行情况</w:t>
            </w:r>
          </w:p>
        </w:tc>
        <w:tc>
          <w:tcPr>
            <w:tcW w:w="290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CAEDC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预算安排情况（调整后）</w:t>
            </w:r>
          </w:p>
        </w:tc>
        <w:tc>
          <w:tcPr>
            <w:tcW w:w="178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730BB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资金到位情况</w:t>
            </w:r>
          </w:p>
        </w:tc>
        <w:tc>
          <w:tcPr>
            <w:tcW w:w="197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4564F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资金执行情况</w:t>
            </w:r>
          </w:p>
        </w:tc>
        <w:tc>
          <w:tcPr>
            <w:tcW w:w="13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58ADB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预算执行进度</w:t>
            </w:r>
          </w:p>
        </w:tc>
      </w:tr>
      <w:tr w14:paraId="1DE3747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5" w:hRule="atLeast"/>
        </w:trPr>
        <w:tc>
          <w:tcPr>
            <w:tcW w:w="113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93EB7B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43980F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预算数：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013EA2E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14.25</w:t>
            </w:r>
          </w:p>
        </w:tc>
        <w:tc>
          <w:tcPr>
            <w:tcW w:w="1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3F640E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到位数：</w:t>
            </w:r>
          </w:p>
        </w:tc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AAE1057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14.25</w:t>
            </w:r>
          </w:p>
        </w:tc>
        <w:tc>
          <w:tcPr>
            <w:tcW w:w="11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0C4B7D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执行数：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74B60C6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14.25</w:t>
            </w:r>
          </w:p>
        </w:tc>
        <w:tc>
          <w:tcPr>
            <w:tcW w:w="1347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C4D64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100</w:t>
            </w:r>
          </w:p>
        </w:tc>
      </w:tr>
      <w:tr w14:paraId="5125735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07" w:hRule="atLeast"/>
        </w:trPr>
        <w:tc>
          <w:tcPr>
            <w:tcW w:w="113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66D18C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C9BE5E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其中：                 财政资金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BCF29BE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14.25</w:t>
            </w:r>
          </w:p>
        </w:tc>
        <w:tc>
          <w:tcPr>
            <w:tcW w:w="1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C2BC7D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其中：                      财政资金</w:t>
            </w:r>
          </w:p>
        </w:tc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A5764B1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14.25</w:t>
            </w:r>
          </w:p>
        </w:tc>
        <w:tc>
          <w:tcPr>
            <w:tcW w:w="11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CA590F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其中：                     财政资金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8B4F669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14.25</w:t>
            </w:r>
          </w:p>
        </w:tc>
        <w:tc>
          <w:tcPr>
            <w:tcW w:w="134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703A16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10E0C0D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3" w:hRule="atLeast"/>
        </w:trPr>
        <w:tc>
          <w:tcPr>
            <w:tcW w:w="113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C53D36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27EB63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其他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E82F11E">
            <w:pPr>
              <w:jc w:val="left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387B18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其他</w:t>
            </w:r>
          </w:p>
        </w:tc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7BA6551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1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FA35E6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其他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EE81FEF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34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565338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05CEDA5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6" w:hRule="atLeast"/>
        </w:trPr>
        <w:tc>
          <w:tcPr>
            <w:tcW w:w="1131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6EF41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三、目标完成情况</w:t>
            </w:r>
          </w:p>
        </w:tc>
        <w:tc>
          <w:tcPr>
            <w:tcW w:w="3935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B45C4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年度预期目标</w:t>
            </w:r>
          </w:p>
        </w:tc>
        <w:tc>
          <w:tcPr>
            <w:tcW w:w="2727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41D81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具体完成情况</w:t>
            </w:r>
          </w:p>
        </w:tc>
        <w:tc>
          <w:tcPr>
            <w:tcW w:w="13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5FF26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总体完成率</w:t>
            </w:r>
          </w:p>
        </w:tc>
      </w:tr>
      <w:tr w14:paraId="2EA98CB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</w:trPr>
        <w:tc>
          <w:tcPr>
            <w:tcW w:w="113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EFF17F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935" w:type="dxa"/>
            <w:gridSpan w:val="3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D663C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完成6个防汛保障房的建设，确保汛期安全度汛。</w:t>
            </w:r>
          </w:p>
        </w:tc>
        <w:tc>
          <w:tcPr>
            <w:tcW w:w="2727" w:type="dxa"/>
            <w:gridSpan w:val="3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0C430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完成6个防汛保障房的建设，确保汛期安全度汛。</w:t>
            </w:r>
          </w:p>
        </w:tc>
        <w:tc>
          <w:tcPr>
            <w:tcW w:w="1347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BC989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100%</w:t>
            </w:r>
          </w:p>
        </w:tc>
      </w:tr>
      <w:tr w14:paraId="6DE48D6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2" w:hRule="atLeast"/>
        </w:trPr>
        <w:tc>
          <w:tcPr>
            <w:tcW w:w="113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923D51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935" w:type="dxa"/>
            <w:gridSpan w:val="3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BE68AA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2727" w:type="dxa"/>
            <w:gridSpan w:val="3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292AD6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34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3CB43B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0C74174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</w:trPr>
        <w:tc>
          <w:tcPr>
            <w:tcW w:w="113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F00576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935" w:type="dxa"/>
            <w:gridSpan w:val="3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C70C45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2727" w:type="dxa"/>
            <w:gridSpan w:val="3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BF105E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34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5D8514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6FADF54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33" w:hRule="atLeast"/>
        </w:trPr>
        <w:tc>
          <w:tcPr>
            <w:tcW w:w="1131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1A9965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四、</w:t>
            </w:r>
            <w:r>
              <w:rPr>
                <w:rStyle w:val="6"/>
                <w:rFonts w:eastAsia="宋体"/>
                <w:lang w:val="en-US" w:eastAsia="zh-CN" w:bidi="ar"/>
              </w:rPr>
              <w:t xml:space="preserve"> </w:t>
            </w:r>
            <w:r>
              <w:rPr>
                <w:rStyle w:val="7"/>
                <w:lang w:val="en-US" w:eastAsia="zh-CN" w:bidi="ar"/>
              </w:rPr>
              <w:t>年度绩效指标完成情况</w:t>
            </w:r>
          </w:p>
        </w:tc>
        <w:tc>
          <w:tcPr>
            <w:tcW w:w="1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98618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一级指标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649D4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二级指标</w:t>
            </w:r>
          </w:p>
        </w:tc>
        <w:tc>
          <w:tcPr>
            <w:tcW w:w="178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DBCAA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三级指标</w:t>
            </w:r>
          </w:p>
        </w:tc>
        <w:tc>
          <w:tcPr>
            <w:tcW w:w="11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8E4FA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预期指标值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B820C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实际完成值</w:t>
            </w:r>
          </w:p>
        </w:tc>
        <w:tc>
          <w:tcPr>
            <w:tcW w:w="13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04B40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自评得分</w:t>
            </w:r>
          </w:p>
        </w:tc>
      </w:tr>
      <w:tr w14:paraId="602A88E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33" w:hRule="atLeast"/>
        </w:trPr>
        <w:tc>
          <w:tcPr>
            <w:tcW w:w="113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308CA6C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735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038436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产出指标（40）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026347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数量指标</w:t>
            </w:r>
          </w:p>
        </w:tc>
        <w:tc>
          <w:tcPr>
            <w:tcW w:w="178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7E8E62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 完成防汛保障房建设的数量</w:t>
            </w:r>
          </w:p>
        </w:tc>
        <w:tc>
          <w:tcPr>
            <w:tcW w:w="11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98803A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  <w:lang w:val="en-US" w:eastAsia="zh-CN"/>
              </w:rPr>
              <w:t>6座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95A33C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  <w:lang w:val="en-US" w:eastAsia="zh-CN"/>
              </w:rPr>
              <w:t>6座</w:t>
            </w:r>
          </w:p>
        </w:tc>
        <w:tc>
          <w:tcPr>
            <w:tcW w:w="13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A52AB9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  <w:lang w:val="en-US" w:eastAsia="zh-CN"/>
              </w:rPr>
              <w:t>10</w:t>
            </w:r>
          </w:p>
        </w:tc>
      </w:tr>
      <w:tr w14:paraId="4AE4353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5" w:hRule="atLeast"/>
        </w:trPr>
        <w:tc>
          <w:tcPr>
            <w:tcW w:w="113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28F8E10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735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57A461C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32A36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质量指标</w:t>
            </w:r>
          </w:p>
        </w:tc>
        <w:tc>
          <w:tcPr>
            <w:tcW w:w="178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D7454F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防汛保障房验收合格率</w:t>
            </w:r>
          </w:p>
        </w:tc>
        <w:tc>
          <w:tcPr>
            <w:tcW w:w="11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1A3807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  <w:lang w:val="en-US" w:eastAsia="zh-CN"/>
              </w:rPr>
              <w:t>100%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75898F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  <w:lang w:val="en-US" w:eastAsia="zh-CN"/>
              </w:rPr>
              <w:t>100%</w:t>
            </w:r>
          </w:p>
        </w:tc>
        <w:tc>
          <w:tcPr>
            <w:tcW w:w="13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D7FE97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  <w:lang w:val="en-US" w:eastAsia="zh-CN"/>
              </w:rPr>
              <w:t>10</w:t>
            </w:r>
          </w:p>
        </w:tc>
      </w:tr>
      <w:tr w14:paraId="4416214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5" w:hRule="atLeast"/>
        </w:trPr>
        <w:tc>
          <w:tcPr>
            <w:tcW w:w="113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4BB9B2D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735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0B90BE8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2A44E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时效指标</w:t>
            </w:r>
          </w:p>
        </w:tc>
        <w:tc>
          <w:tcPr>
            <w:tcW w:w="178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FEA2BA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防汛保障房的按时完成率</w:t>
            </w:r>
          </w:p>
        </w:tc>
        <w:tc>
          <w:tcPr>
            <w:tcW w:w="11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08293B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  <w:lang w:val="en-US" w:eastAsia="zh-CN"/>
              </w:rPr>
              <w:t>100%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63E96C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  <w:lang w:val="en-US" w:eastAsia="zh-CN"/>
              </w:rPr>
              <w:t>100%</w:t>
            </w:r>
          </w:p>
        </w:tc>
        <w:tc>
          <w:tcPr>
            <w:tcW w:w="13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71C8EB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  <w:lang w:val="en-US" w:eastAsia="zh-CN"/>
              </w:rPr>
              <w:t>10</w:t>
            </w:r>
          </w:p>
        </w:tc>
      </w:tr>
      <w:tr w14:paraId="56BF61B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5" w:hRule="atLeast"/>
        </w:trPr>
        <w:tc>
          <w:tcPr>
            <w:tcW w:w="113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0D91E97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735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6A6FB04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51993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成本指标</w:t>
            </w:r>
          </w:p>
        </w:tc>
        <w:tc>
          <w:tcPr>
            <w:tcW w:w="178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8C7A28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每个防汛保障房的成本</w:t>
            </w:r>
          </w:p>
        </w:tc>
        <w:tc>
          <w:tcPr>
            <w:tcW w:w="11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696E29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  <w:lang w:val="en-US" w:eastAsia="zh-CN"/>
              </w:rPr>
              <w:t>2.5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  <w:lang w:val="en-US" w:eastAsia="zh-CN"/>
              </w:rPr>
              <w:t>万元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BE4A1E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  <w:lang w:val="en-US" w:eastAsia="zh-CN"/>
              </w:rPr>
              <w:t>2.5万元</w:t>
            </w:r>
          </w:p>
        </w:tc>
        <w:tc>
          <w:tcPr>
            <w:tcW w:w="13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8B682E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  <w:lang w:val="en-US" w:eastAsia="zh-CN"/>
              </w:rPr>
              <w:t>10</w:t>
            </w:r>
          </w:p>
        </w:tc>
      </w:tr>
      <w:tr w14:paraId="254C1A2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3" w:hRule="atLeast"/>
        </w:trPr>
        <w:tc>
          <w:tcPr>
            <w:tcW w:w="113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2809E88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732FB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预算执行率指标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（10分）</w:t>
            </w:r>
          </w:p>
        </w:tc>
        <w:tc>
          <w:tcPr>
            <w:tcW w:w="117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BE8A0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预算执行率</w:t>
            </w:r>
          </w:p>
        </w:tc>
        <w:tc>
          <w:tcPr>
            <w:tcW w:w="178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6DEE75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1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6FED07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B3770D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  <w:lang w:val="en-US" w:eastAsia="zh-CN"/>
              </w:rPr>
              <w:t>100%</w:t>
            </w:r>
          </w:p>
        </w:tc>
        <w:tc>
          <w:tcPr>
            <w:tcW w:w="13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5D9E7B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  <w:lang w:val="en-US" w:eastAsia="zh-CN"/>
              </w:rPr>
              <w:t>10</w:t>
            </w:r>
          </w:p>
        </w:tc>
      </w:tr>
      <w:tr w14:paraId="1635D92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7" w:hRule="atLeast"/>
        </w:trPr>
        <w:tc>
          <w:tcPr>
            <w:tcW w:w="113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0A53451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735" w:type="dxa"/>
            <w:tcBorders>
              <w:top w:val="nil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31DA6B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效益指标（40）</w:t>
            </w:r>
          </w:p>
        </w:tc>
        <w:tc>
          <w:tcPr>
            <w:tcW w:w="117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45EB2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可持续影响指标</w:t>
            </w:r>
          </w:p>
        </w:tc>
        <w:tc>
          <w:tcPr>
            <w:tcW w:w="178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3CBEF4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ascii="Arial Unicode MS" w:hAnsi="Arial Unicode MS" w:eastAsia="Arial Unicode MS" w:cs="Arial Unicode MS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 Unicode MS" w:hAnsi="Arial Unicode MS" w:eastAsia="Arial Unicode MS" w:cs="Arial Unicode MS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防汛保障房使用的期限</w:t>
            </w:r>
          </w:p>
        </w:tc>
        <w:tc>
          <w:tcPr>
            <w:tcW w:w="11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EF503C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  <w:lang w:val="en-US" w:eastAsia="zh-CN"/>
              </w:rPr>
              <w:t>10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  <w:lang w:val="en-US" w:eastAsia="zh-CN"/>
              </w:rPr>
              <w:t>年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1B9265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  <w:lang w:val="en-US" w:eastAsia="zh-CN"/>
              </w:rPr>
              <w:t>10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  <w:lang w:val="en-US" w:eastAsia="zh-CN"/>
              </w:rPr>
              <w:t>年</w:t>
            </w:r>
          </w:p>
        </w:tc>
        <w:tc>
          <w:tcPr>
            <w:tcW w:w="13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D710EC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  <w:lang w:val="en-US" w:eastAsia="zh-CN"/>
              </w:rPr>
              <w:t>40</w:t>
            </w:r>
          </w:p>
        </w:tc>
      </w:tr>
      <w:tr w14:paraId="0AFC0BF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33" w:hRule="atLeast"/>
        </w:trPr>
        <w:tc>
          <w:tcPr>
            <w:tcW w:w="113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79F3FF3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E2243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满意度指标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（10分）</w:t>
            </w:r>
          </w:p>
        </w:tc>
        <w:tc>
          <w:tcPr>
            <w:tcW w:w="117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4F7EA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满意度指标</w:t>
            </w:r>
          </w:p>
        </w:tc>
        <w:tc>
          <w:tcPr>
            <w:tcW w:w="178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4FAF84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使用者对防汛保障房的满意度</w:t>
            </w:r>
          </w:p>
        </w:tc>
        <w:tc>
          <w:tcPr>
            <w:tcW w:w="11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0D9B42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  <w:lang w:val="en-US" w:eastAsia="zh-CN"/>
              </w:rPr>
              <w:t>≥90%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A85BC5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  <w:lang w:val="en-US" w:eastAsia="zh-CN"/>
              </w:rPr>
              <w:t>90%</w:t>
            </w:r>
          </w:p>
        </w:tc>
        <w:tc>
          <w:tcPr>
            <w:tcW w:w="13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3BDA80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  <w:lang w:val="en-US" w:eastAsia="zh-CN"/>
              </w:rPr>
              <w:t>10</w:t>
            </w:r>
          </w:p>
        </w:tc>
      </w:tr>
      <w:tr w14:paraId="0E5080E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2" w:hRule="atLeast"/>
        </w:trPr>
        <w:tc>
          <w:tcPr>
            <w:tcW w:w="113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36617AF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6662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B5F041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  <w:lang w:val="en-US" w:eastAsia="zh-CN"/>
              </w:rPr>
              <w:t>总分</w:t>
            </w:r>
          </w:p>
        </w:tc>
        <w:tc>
          <w:tcPr>
            <w:tcW w:w="13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D1EEEF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  <w:lang w:val="en-US" w:eastAsia="zh-CN"/>
              </w:rPr>
              <w:t>100</w:t>
            </w:r>
          </w:p>
        </w:tc>
      </w:tr>
      <w:tr w14:paraId="52261E7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1131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353F64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五、</w:t>
            </w:r>
            <w:r>
              <w:rPr>
                <w:rStyle w:val="6"/>
                <w:rFonts w:eastAsia="宋体"/>
                <w:lang w:val="en-US" w:eastAsia="zh-CN" w:bidi="ar"/>
              </w:rPr>
              <w:t xml:space="preserve"> </w:t>
            </w:r>
            <w:r>
              <w:rPr>
                <w:rStyle w:val="7"/>
                <w:lang w:val="en-US" w:eastAsia="zh-CN" w:bidi="ar"/>
              </w:rPr>
              <w:t>存在问题、原因及下一步整改措施</w:t>
            </w:r>
          </w:p>
        </w:tc>
        <w:tc>
          <w:tcPr>
            <w:tcW w:w="8009" w:type="dxa"/>
            <w:gridSpan w:val="7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78B0A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望财政下年度予以支持</w:t>
            </w:r>
          </w:p>
        </w:tc>
      </w:tr>
    </w:tbl>
    <w:p w14:paraId="5B7379B2">
      <w:pPr>
        <w:adjustRightInd w:val="0"/>
        <w:snapToGrid w:val="0"/>
        <w:spacing w:line="580" w:lineRule="exact"/>
        <w:ind w:firstLine="640" w:firstLineChars="200"/>
        <w:rPr>
          <w:rFonts w:hint="eastAsia" w:ascii="仿宋" w:hAnsi="仿宋" w:eastAsia="仿宋"/>
          <w:color w:val="000000" w:themeColor="text1"/>
          <w:sz w:val="32"/>
          <w:szCs w:val="32"/>
        </w:rPr>
      </w:pPr>
      <w:r>
        <w:rPr>
          <w:rFonts w:hint="eastAsia" w:ascii="仿宋" w:hAnsi="仿宋" w:eastAsia="仿宋" w:cs="仿宋_GB2312"/>
          <w:color w:val="000000" w:themeColor="text1"/>
          <w:sz w:val="32"/>
          <w:szCs w:val="32"/>
        </w:rPr>
        <w:t>数量指标</w:t>
      </w:r>
      <w:r>
        <w:rPr>
          <w:rFonts w:hint="eastAsia" w:ascii="仿宋" w:hAnsi="仿宋" w:eastAsia="仿宋" w:cs="仿宋_GB2312"/>
          <w:color w:val="000000" w:themeColor="text1"/>
          <w:sz w:val="32"/>
          <w:szCs w:val="32"/>
          <w:lang w:eastAsia="zh-CN"/>
        </w:rPr>
        <w:t>：</w:t>
      </w:r>
      <w:r>
        <w:rPr>
          <w:rFonts w:hint="eastAsia" w:ascii="仿宋" w:hAnsi="仿宋" w:eastAsia="仿宋" w:cs="仿宋_GB2312"/>
          <w:color w:val="000000" w:themeColor="text1"/>
          <w:sz w:val="32"/>
          <w:szCs w:val="32"/>
        </w:rPr>
        <w:t>完成防汛保障房建设的数量6座</w:t>
      </w:r>
      <w:r>
        <w:rPr>
          <w:rFonts w:hint="eastAsia" w:ascii="仿宋" w:hAnsi="仿宋" w:eastAsia="仿宋" w:cs="仿宋_GB2312"/>
          <w:color w:val="000000" w:themeColor="text1"/>
          <w:sz w:val="32"/>
          <w:szCs w:val="32"/>
          <w:lang w:eastAsia="zh-CN"/>
        </w:rPr>
        <w:t>，</w:t>
      </w:r>
      <w:r>
        <w:rPr>
          <w:rFonts w:hint="eastAsia" w:ascii="仿宋" w:hAnsi="仿宋" w:eastAsia="仿宋"/>
          <w:color w:val="000000" w:themeColor="text1"/>
          <w:sz w:val="32"/>
          <w:szCs w:val="32"/>
        </w:rPr>
        <w:t>实际</w:t>
      </w:r>
      <w:r>
        <w:rPr>
          <w:rFonts w:hint="eastAsia" w:ascii="仿宋" w:hAnsi="仿宋" w:eastAsia="仿宋"/>
          <w:color w:val="000000" w:themeColor="text1"/>
          <w:sz w:val="32"/>
          <w:szCs w:val="32"/>
          <w:lang w:val="en-US" w:eastAsia="zh-CN"/>
        </w:rPr>
        <w:t>完成</w:t>
      </w:r>
      <w:r>
        <w:rPr>
          <w:rFonts w:hint="eastAsia" w:ascii="仿宋" w:hAnsi="仿宋" w:eastAsia="仿宋" w:cs="仿宋_GB2312"/>
          <w:color w:val="000000" w:themeColor="text1"/>
          <w:sz w:val="32"/>
          <w:szCs w:val="32"/>
        </w:rPr>
        <w:t>6座</w:t>
      </w:r>
      <w:r>
        <w:rPr>
          <w:rFonts w:hint="eastAsia" w:ascii="仿宋" w:hAnsi="仿宋" w:eastAsia="仿宋" w:cs="仿宋_GB2312"/>
          <w:color w:val="000000" w:themeColor="text1"/>
          <w:sz w:val="32"/>
          <w:szCs w:val="32"/>
          <w:lang w:eastAsia="zh-CN"/>
        </w:rPr>
        <w:t>，</w:t>
      </w:r>
      <w:r>
        <w:rPr>
          <w:rFonts w:hint="eastAsia" w:ascii="仿宋" w:hAnsi="仿宋" w:eastAsia="仿宋" w:cs="仿宋_GB2312"/>
          <w:color w:val="000000" w:themeColor="text1"/>
          <w:sz w:val="32"/>
          <w:szCs w:val="32"/>
          <w:lang w:val="en-US" w:eastAsia="zh-CN"/>
        </w:rPr>
        <w:t>评分</w:t>
      </w:r>
      <w:r>
        <w:rPr>
          <w:rFonts w:hint="eastAsia" w:ascii="仿宋" w:hAnsi="仿宋" w:eastAsia="仿宋" w:cs="仿宋_GB2312"/>
          <w:color w:val="000000" w:themeColor="text1"/>
          <w:sz w:val="32"/>
          <w:szCs w:val="32"/>
        </w:rPr>
        <w:t>10</w:t>
      </w:r>
      <w:r>
        <w:rPr>
          <w:rFonts w:hint="eastAsia" w:ascii="仿宋" w:hAnsi="仿宋" w:eastAsia="仿宋" w:cs="仿宋_GB2312"/>
          <w:color w:val="000000" w:themeColor="text1"/>
          <w:sz w:val="32"/>
          <w:szCs w:val="32"/>
          <w:lang w:val="en-US" w:eastAsia="zh-CN"/>
        </w:rPr>
        <w:t>分。</w:t>
      </w:r>
      <w:r>
        <w:rPr>
          <w:rFonts w:hint="eastAsia" w:ascii="仿宋" w:hAnsi="仿宋" w:eastAsia="仿宋" w:cs="仿宋_GB2312"/>
          <w:color w:val="000000" w:themeColor="text1"/>
          <w:sz w:val="32"/>
          <w:szCs w:val="32"/>
        </w:rPr>
        <w:t>质量指标</w:t>
      </w:r>
      <w:r>
        <w:rPr>
          <w:rFonts w:hint="eastAsia" w:ascii="仿宋" w:hAnsi="仿宋" w:eastAsia="仿宋" w:cs="仿宋_GB2312"/>
          <w:color w:val="000000" w:themeColor="text1"/>
          <w:sz w:val="32"/>
          <w:szCs w:val="32"/>
          <w:lang w:eastAsia="zh-CN"/>
        </w:rPr>
        <w:t>：</w:t>
      </w:r>
      <w:r>
        <w:rPr>
          <w:rFonts w:hint="eastAsia" w:ascii="仿宋" w:hAnsi="仿宋" w:eastAsia="仿宋" w:cs="仿宋_GB2312"/>
          <w:color w:val="000000" w:themeColor="text1"/>
          <w:sz w:val="32"/>
          <w:szCs w:val="32"/>
        </w:rPr>
        <w:t>防汛保障房验收合格率100%</w:t>
      </w:r>
      <w:r>
        <w:rPr>
          <w:rFonts w:hint="eastAsia" w:ascii="仿宋" w:hAnsi="仿宋" w:eastAsia="仿宋" w:cs="仿宋_GB2312"/>
          <w:color w:val="000000" w:themeColor="text1"/>
          <w:sz w:val="32"/>
          <w:szCs w:val="32"/>
          <w:lang w:eastAsia="zh-CN"/>
        </w:rPr>
        <w:t>，</w:t>
      </w:r>
      <w:r>
        <w:rPr>
          <w:rFonts w:hint="eastAsia" w:ascii="仿宋" w:hAnsi="仿宋" w:eastAsia="仿宋" w:cs="仿宋_GB2312"/>
          <w:color w:val="000000" w:themeColor="text1"/>
          <w:sz w:val="32"/>
          <w:szCs w:val="32"/>
          <w:lang w:val="en-US" w:eastAsia="zh-CN"/>
        </w:rPr>
        <w:t>评分</w:t>
      </w:r>
      <w:r>
        <w:rPr>
          <w:rFonts w:hint="eastAsia" w:ascii="仿宋" w:hAnsi="仿宋" w:eastAsia="仿宋" w:cs="仿宋_GB2312"/>
          <w:color w:val="000000" w:themeColor="text1"/>
          <w:sz w:val="32"/>
          <w:szCs w:val="32"/>
        </w:rPr>
        <w:t>10</w:t>
      </w:r>
      <w:r>
        <w:rPr>
          <w:rFonts w:hint="eastAsia" w:ascii="仿宋" w:hAnsi="仿宋" w:eastAsia="仿宋" w:cs="仿宋_GB2312"/>
          <w:color w:val="000000" w:themeColor="text1"/>
          <w:sz w:val="32"/>
          <w:szCs w:val="32"/>
          <w:lang w:val="en-US" w:eastAsia="zh-CN"/>
        </w:rPr>
        <w:t>分。</w:t>
      </w:r>
      <w:r>
        <w:rPr>
          <w:rFonts w:hint="eastAsia" w:ascii="仿宋" w:hAnsi="仿宋" w:eastAsia="仿宋" w:cs="仿宋_GB2312"/>
          <w:color w:val="000000" w:themeColor="text1"/>
          <w:sz w:val="32"/>
          <w:szCs w:val="32"/>
        </w:rPr>
        <w:t>时效指标</w:t>
      </w:r>
      <w:r>
        <w:rPr>
          <w:rFonts w:hint="eastAsia" w:ascii="仿宋" w:hAnsi="仿宋" w:eastAsia="仿宋" w:cs="仿宋_GB2312"/>
          <w:color w:val="000000" w:themeColor="text1"/>
          <w:sz w:val="32"/>
          <w:szCs w:val="32"/>
          <w:lang w:eastAsia="zh-CN"/>
        </w:rPr>
        <w:t>：</w:t>
      </w:r>
      <w:r>
        <w:rPr>
          <w:rFonts w:hint="eastAsia" w:ascii="仿宋" w:hAnsi="仿宋" w:eastAsia="仿宋" w:cs="仿宋_GB2312"/>
          <w:color w:val="000000" w:themeColor="text1"/>
          <w:sz w:val="32"/>
          <w:szCs w:val="32"/>
        </w:rPr>
        <w:t>防汛保障房的按时完成率100%</w:t>
      </w:r>
      <w:r>
        <w:rPr>
          <w:rFonts w:hint="eastAsia" w:ascii="仿宋" w:hAnsi="仿宋" w:eastAsia="仿宋" w:cs="仿宋_GB2312"/>
          <w:color w:val="000000" w:themeColor="text1"/>
          <w:sz w:val="32"/>
          <w:szCs w:val="32"/>
          <w:lang w:eastAsia="zh-CN"/>
        </w:rPr>
        <w:t>，</w:t>
      </w:r>
      <w:r>
        <w:rPr>
          <w:rFonts w:hint="eastAsia" w:ascii="仿宋" w:hAnsi="仿宋" w:eastAsia="仿宋" w:cs="仿宋_GB2312"/>
          <w:color w:val="000000" w:themeColor="text1"/>
          <w:sz w:val="32"/>
          <w:szCs w:val="32"/>
          <w:lang w:val="en-US" w:eastAsia="zh-CN"/>
        </w:rPr>
        <w:t>评分</w:t>
      </w:r>
      <w:r>
        <w:rPr>
          <w:rFonts w:hint="eastAsia" w:ascii="仿宋" w:hAnsi="仿宋" w:eastAsia="仿宋" w:cs="仿宋_GB2312"/>
          <w:color w:val="000000" w:themeColor="text1"/>
          <w:sz w:val="32"/>
          <w:szCs w:val="32"/>
        </w:rPr>
        <w:t>10</w:t>
      </w:r>
      <w:r>
        <w:rPr>
          <w:rFonts w:hint="eastAsia" w:ascii="仿宋" w:hAnsi="仿宋" w:eastAsia="仿宋" w:cs="仿宋_GB2312"/>
          <w:color w:val="000000" w:themeColor="text1"/>
          <w:sz w:val="32"/>
          <w:szCs w:val="32"/>
          <w:lang w:val="en-US" w:eastAsia="zh-CN"/>
        </w:rPr>
        <w:t>分。</w:t>
      </w:r>
      <w:r>
        <w:rPr>
          <w:rFonts w:hint="eastAsia" w:ascii="仿宋" w:hAnsi="仿宋" w:eastAsia="仿宋" w:cs="仿宋_GB2312"/>
          <w:color w:val="000000" w:themeColor="text1"/>
          <w:sz w:val="32"/>
          <w:szCs w:val="32"/>
        </w:rPr>
        <w:t>成本指标</w:t>
      </w:r>
      <w:r>
        <w:rPr>
          <w:rFonts w:hint="eastAsia" w:ascii="仿宋" w:hAnsi="仿宋" w:eastAsia="仿宋" w:cs="仿宋_GB2312"/>
          <w:color w:val="000000" w:themeColor="text1"/>
          <w:sz w:val="32"/>
          <w:szCs w:val="32"/>
          <w:lang w:eastAsia="zh-CN"/>
        </w:rPr>
        <w:t>：</w:t>
      </w:r>
      <w:r>
        <w:rPr>
          <w:rFonts w:hint="eastAsia" w:ascii="仿宋" w:hAnsi="仿宋" w:eastAsia="仿宋" w:cs="仿宋_GB2312"/>
          <w:color w:val="000000" w:themeColor="text1"/>
          <w:sz w:val="32"/>
          <w:szCs w:val="32"/>
        </w:rPr>
        <w:t>每个防汛保障房的成本</w:t>
      </w:r>
      <w:r>
        <w:rPr>
          <w:rFonts w:hint="eastAsia" w:ascii="仿宋" w:hAnsi="仿宋" w:eastAsia="仿宋" w:cs="仿宋_GB2312"/>
          <w:color w:val="000000" w:themeColor="text1"/>
          <w:sz w:val="32"/>
          <w:szCs w:val="32"/>
        </w:rPr>
        <w:tab/>
      </w:r>
      <w:r>
        <w:rPr>
          <w:rFonts w:hint="eastAsia" w:ascii="仿宋" w:hAnsi="仿宋" w:eastAsia="仿宋" w:cs="仿宋_GB2312"/>
          <w:color w:val="000000" w:themeColor="text1"/>
          <w:sz w:val="32"/>
          <w:szCs w:val="32"/>
        </w:rPr>
        <w:t>2.5万元</w:t>
      </w:r>
      <w:r>
        <w:rPr>
          <w:rFonts w:hint="eastAsia" w:ascii="仿宋" w:hAnsi="仿宋" w:eastAsia="仿宋" w:cs="仿宋_GB2312"/>
          <w:color w:val="000000" w:themeColor="text1"/>
          <w:sz w:val="32"/>
          <w:szCs w:val="32"/>
          <w:lang w:eastAsia="zh-CN"/>
        </w:rPr>
        <w:t>，</w:t>
      </w:r>
      <w:r>
        <w:rPr>
          <w:rFonts w:hint="eastAsia" w:ascii="仿宋" w:hAnsi="仿宋" w:eastAsia="仿宋"/>
          <w:color w:val="000000" w:themeColor="text1"/>
          <w:sz w:val="32"/>
          <w:szCs w:val="32"/>
        </w:rPr>
        <w:t>实际总成本</w:t>
      </w:r>
      <w:r>
        <w:rPr>
          <w:rFonts w:hint="eastAsia" w:ascii="仿宋" w:hAnsi="仿宋" w:eastAsia="仿宋"/>
          <w:color w:val="000000" w:themeColor="text1"/>
          <w:sz w:val="32"/>
          <w:szCs w:val="32"/>
          <w:lang w:val="en-US" w:eastAsia="zh-CN"/>
        </w:rPr>
        <w:t>为</w:t>
      </w:r>
      <w:r>
        <w:rPr>
          <w:rFonts w:hint="eastAsia" w:ascii="仿宋" w:hAnsi="仿宋" w:eastAsia="仿宋" w:cs="仿宋_GB2312"/>
          <w:color w:val="000000" w:themeColor="text1"/>
          <w:sz w:val="32"/>
          <w:szCs w:val="32"/>
        </w:rPr>
        <w:t>2.5万元</w:t>
      </w:r>
      <w:r>
        <w:rPr>
          <w:rFonts w:hint="eastAsia" w:ascii="仿宋" w:hAnsi="仿宋" w:eastAsia="仿宋" w:cs="仿宋_GB2312"/>
          <w:color w:val="000000" w:themeColor="text1"/>
          <w:sz w:val="32"/>
          <w:szCs w:val="32"/>
          <w:lang w:eastAsia="zh-CN"/>
        </w:rPr>
        <w:t>，</w:t>
      </w:r>
      <w:r>
        <w:rPr>
          <w:rFonts w:hint="eastAsia" w:ascii="仿宋" w:hAnsi="仿宋" w:eastAsia="仿宋" w:cs="仿宋_GB2312"/>
          <w:color w:val="000000" w:themeColor="text1"/>
          <w:sz w:val="32"/>
          <w:szCs w:val="32"/>
          <w:lang w:val="en-US" w:eastAsia="zh-CN"/>
        </w:rPr>
        <w:t>评分</w:t>
      </w:r>
      <w:r>
        <w:rPr>
          <w:rFonts w:hint="eastAsia" w:ascii="仿宋" w:hAnsi="仿宋" w:eastAsia="仿宋" w:cs="仿宋_GB2312"/>
          <w:color w:val="000000" w:themeColor="text1"/>
          <w:sz w:val="32"/>
          <w:szCs w:val="32"/>
        </w:rPr>
        <w:t>10</w:t>
      </w:r>
      <w:r>
        <w:rPr>
          <w:rFonts w:hint="eastAsia" w:ascii="仿宋" w:hAnsi="仿宋" w:eastAsia="仿宋" w:cs="仿宋_GB2312"/>
          <w:color w:val="000000" w:themeColor="text1"/>
          <w:sz w:val="32"/>
          <w:szCs w:val="32"/>
          <w:lang w:val="en-US" w:eastAsia="zh-CN"/>
        </w:rPr>
        <w:t>分。</w:t>
      </w:r>
      <w:r>
        <w:rPr>
          <w:rFonts w:hint="eastAsia" w:ascii="仿宋" w:hAnsi="仿宋" w:eastAsia="仿宋"/>
          <w:color w:val="000000" w:themeColor="text1"/>
          <w:sz w:val="32"/>
          <w:szCs w:val="32"/>
        </w:rPr>
        <w:t>预算安排资金14.25万元，拨付资金14.25万元，评分10分。</w:t>
      </w:r>
      <w:r>
        <w:rPr>
          <w:rFonts w:hint="eastAsia" w:ascii="仿宋" w:hAnsi="仿宋" w:eastAsia="仿宋" w:cs="仿宋_GB2312"/>
          <w:color w:val="000000" w:themeColor="text1"/>
          <w:sz w:val="32"/>
          <w:szCs w:val="32"/>
        </w:rPr>
        <w:t>可持续影响指标</w:t>
      </w:r>
      <w:r>
        <w:rPr>
          <w:rFonts w:hint="eastAsia" w:ascii="仿宋" w:hAnsi="仿宋" w:eastAsia="仿宋" w:cs="仿宋_GB2312"/>
          <w:color w:val="000000" w:themeColor="text1"/>
          <w:sz w:val="32"/>
          <w:szCs w:val="32"/>
          <w:lang w:eastAsia="zh-CN"/>
        </w:rPr>
        <w:t>：</w:t>
      </w:r>
      <w:r>
        <w:rPr>
          <w:rFonts w:hint="eastAsia" w:ascii="仿宋" w:hAnsi="仿宋" w:eastAsia="仿宋" w:cs="仿宋_GB2312"/>
          <w:color w:val="000000" w:themeColor="text1"/>
          <w:sz w:val="32"/>
          <w:szCs w:val="32"/>
        </w:rPr>
        <w:t>防汛保障房使用的期限</w:t>
      </w:r>
      <w:r>
        <w:rPr>
          <w:rFonts w:hint="eastAsia" w:ascii="仿宋" w:hAnsi="仿宋" w:eastAsia="仿宋"/>
          <w:color w:val="000000" w:themeColor="text1"/>
          <w:sz w:val="32"/>
          <w:szCs w:val="32"/>
        </w:rPr>
        <w:t>大于</w:t>
      </w:r>
      <w:r>
        <w:rPr>
          <w:rFonts w:hint="eastAsia" w:ascii="仿宋" w:hAnsi="仿宋" w:eastAsia="仿宋" w:cs="仿宋_GB2312"/>
          <w:color w:val="000000" w:themeColor="text1"/>
          <w:sz w:val="32"/>
          <w:szCs w:val="32"/>
        </w:rPr>
        <w:t>10年</w:t>
      </w:r>
      <w:r>
        <w:rPr>
          <w:rFonts w:hint="eastAsia" w:ascii="仿宋" w:hAnsi="仿宋" w:eastAsia="仿宋" w:cs="仿宋_GB2312"/>
          <w:color w:val="000000" w:themeColor="text1"/>
          <w:sz w:val="32"/>
          <w:szCs w:val="32"/>
          <w:lang w:eastAsia="zh-CN"/>
        </w:rPr>
        <w:t>，</w:t>
      </w:r>
      <w:r>
        <w:rPr>
          <w:rFonts w:hint="eastAsia" w:ascii="仿宋" w:hAnsi="仿宋" w:eastAsia="仿宋" w:cs="仿宋_GB2312"/>
          <w:color w:val="000000" w:themeColor="text1"/>
          <w:sz w:val="32"/>
          <w:szCs w:val="32"/>
          <w:lang w:val="en-US" w:eastAsia="zh-CN"/>
        </w:rPr>
        <w:t>评分</w:t>
      </w:r>
      <w:r>
        <w:rPr>
          <w:rFonts w:hint="eastAsia" w:ascii="仿宋" w:hAnsi="仿宋" w:eastAsia="仿宋" w:cs="仿宋_GB2312"/>
          <w:color w:val="000000" w:themeColor="text1"/>
          <w:sz w:val="32"/>
          <w:szCs w:val="32"/>
        </w:rPr>
        <w:t>40</w:t>
      </w:r>
      <w:r>
        <w:rPr>
          <w:rFonts w:hint="eastAsia" w:ascii="仿宋" w:hAnsi="仿宋" w:eastAsia="仿宋" w:cs="仿宋_GB2312"/>
          <w:color w:val="000000" w:themeColor="text1"/>
          <w:sz w:val="32"/>
          <w:szCs w:val="32"/>
          <w:lang w:eastAsia="zh-CN"/>
        </w:rPr>
        <w:t>。</w:t>
      </w:r>
      <w:r>
        <w:rPr>
          <w:rFonts w:hint="eastAsia" w:ascii="仿宋" w:hAnsi="仿宋" w:eastAsia="仿宋" w:cs="仿宋_GB2312"/>
          <w:color w:val="000000" w:themeColor="text1"/>
          <w:sz w:val="32"/>
          <w:szCs w:val="32"/>
        </w:rPr>
        <w:t>满意度指标</w:t>
      </w:r>
      <w:r>
        <w:rPr>
          <w:rFonts w:hint="eastAsia" w:ascii="仿宋" w:hAnsi="仿宋" w:eastAsia="仿宋" w:cs="仿宋_GB2312"/>
          <w:color w:val="000000" w:themeColor="text1"/>
          <w:sz w:val="32"/>
          <w:szCs w:val="32"/>
          <w:lang w:eastAsia="zh-CN"/>
        </w:rPr>
        <w:t>：</w:t>
      </w:r>
      <w:r>
        <w:rPr>
          <w:rFonts w:hint="eastAsia" w:ascii="仿宋" w:hAnsi="仿宋" w:eastAsia="仿宋" w:cs="仿宋_GB2312"/>
          <w:color w:val="000000" w:themeColor="text1"/>
          <w:sz w:val="32"/>
          <w:szCs w:val="32"/>
        </w:rPr>
        <w:t>使用者对防汛保障房的满意度≥90%</w:t>
      </w:r>
      <w:r>
        <w:rPr>
          <w:rFonts w:hint="eastAsia" w:ascii="仿宋" w:hAnsi="仿宋" w:eastAsia="仿宋" w:cs="仿宋_GB2312"/>
          <w:color w:val="000000" w:themeColor="text1"/>
          <w:sz w:val="32"/>
          <w:szCs w:val="32"/>
        </w:rPr>
        <w:tab/>
      </w:r>
      <w:r>
        <w:rPr>
          <w:rFonts w:hint="eastAsia" w:ascii="仿宋" w:hAnsi="仿宋" w:eastAsia="仿宋"/>
          <w:color w:val="000000" w:themeColor="text1"/>
          <w:sz w:val="32"/>
          <w:szCs w:val="32"/>
        </w:rPr>
        <w:t>，评分10分。</w:t>
      </w:r>
    </w:p>
    <w:p w14:paraId="614B6BE7">
      <w:pPr>
        <w:numPr>
          <w:ilvl w:val="0"/>
          <w:numId w:val="6"/>
        </w:numPr>
        <w:adjustRightInd w:val="0"/>
        <w:snapToGrid w:val="0"/>
        <w:spacing w:line="580" w:lineRule="exact"/>
        <w:ind w:firstLine="640" w:firstLineChars="200"/>
        <w:rPr>
          <w:rFonts w:hint="eastAsia" w:ascii="仿宋" w:hAnsi="仿宋" w:eastAsia="仿宋"/>
          <w:color w:val="000000" w:themeColor="text1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color w:val="000000" w:themeColor="text1"/>
          <w:sz w:val="32"/>
          <w:szCs w:val="32"/>
          <w:lang w:val="en-US" w:eastAsia="zh-CN"/>
        </w:rPr>
        <w:t>智能取水栓</w:t>
      </w:r>
    </w:p>
    <w:tbl>
      <w:tblPr>
        <w:tblStyle w:val="4"/>
        <w:tblW w:w="10260" w:type="dxa"/>
        <w:tblInd w:w="-738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683"/>
        <w:gridCol w:w="1048"/>
        <w:gridCol w:w="1349"/>
        <w:gridCol w:w="813"/>
        <w:gridCol w:w="1002"/>
        <w:gridCol w:w="480"/>
        <w:gridCol w:w="870"/>
        <w:gridCol w:w="990"/>
        <w:gridCol w:w="1005"/>
        <w:gridCol w:w="1020"/>
      </w:tblGrid>
      <w:tr w14:paraId="277D5DC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1" w:hRule="atLeast"/>
        </w:trPr>
        <w:tc>
          <w:tcPr>
            <w:tcW w:w="1683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2E8E553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一、</w:t>
            </w:r>
            <w:r>
              <w:rPr>
                <w:rStyle w:val="8"/>
                <w:rFonts w:eastAsia="宋体"/>
                <w:sz w:val="20"/>
                <w:szCs w:val="20"/>
                <w:lang w:val="en-US" w:eastAsia="zh-CN" w:bidi="ar"/>
              </w:rPr>
              <w:t xml:space="preserve"> </w:t>
            </w:r>
            <w:r>
              <w:rPr>
                <w:rStyle w:val="9"/>
                <w:sz w:val="20"/>
                <w:szCs w:val="20"/>
                <w:lang w:val="en-US" w:eastAsia="zh-CN" w:bidi="ar"/>
              </w:rPr>
              <w:t>基本情况</w:t>
            </w:r>
          </w:p>
        </w:tc>
        <w:tc>
          <w:tcPr>
            <w:tcW w:w="10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0A672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项目名称</w:t>
            </w:r>
          </w:p>
        </w:tc>
        <w:tc>
          <w:tcPr>
            <w:tcW w:w="216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141B994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智能取水栓水费（专项资金）</w:t>
            </w:r>
          </w:p>
        </w:tc>
        <w:tc>
          <w:tcPr>
            <w:tcW w:w="10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F2722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实施(主管）单位</w:t>
            </w:r>
          </w:p>
        </w:tc>
        <w:tc>
          <w:tcPr>
            <w:tcW w:w="4365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12DFA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566001-石家庄市鹿泉区公用事业管理中心</w:t>
            </w:r>
          </w:p>
        </w:tc>
      </w:tr>
      <w:tr w14:paraId="75008B3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6" w:hRule="atLeast"/>
        </w:trPr>
        <w:tc>
          <w:tcPr>
            <w:tcW w:w="1683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8B7BE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二、预算执行情况</w:t>
            </w:r>
          </w:p>
        </w:tc>
        <w:tc>
          <w:tcPr>
            <w:tcW w:w="239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8D65F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预算安排情况（调整后）</w:t>
            </w:r>
          </w:p>
        </w:tc>
        <w:tc>
          <w:tcPr>
            <w:tcW w:w="181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0728D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资金到位情况</w:t>
            </w:r>
          </w:p>
        </w:tc>
        <w:tc>
          <w:tcPr>
            <w:tcW w:w="3345" w:type="dxa"/>
            <w:gridSpan w:val="4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4076D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资金执行情况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3B930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预算执行进度%</w:t>
            </w:r>
          </w:p>
        </w:tc>
      </w:tr>
      <w:tr w14:paraId="699A7CE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8" w:hRule="atLeast"/>
        </w:trPr>
        <w:tc>
          <w:tcPr>
            <w:tcW w:w="168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05EF35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53F036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预算数：</w:t>
            </w:r>
          </w:p>
        </w:tc>
        <w:tc>
          <w:tcPr>
            <w:tcW w:w="13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A0749E0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64.2785</w:t>
            </w:r>
          </w:p>
        </w:tc>
        <w:tc>
          <w:tcPr>
            <w:tcW w:w="8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8DFF86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到位数：</w:t>
            </w:r>
          </w:p>
        </w:tc>
        <w:tc>
          <w:tcPr>
            <w:tcW w:w="10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1A87C4A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64.2785</w:t>
            </w:r>
          </w:p>
        </w:tc>
        <w:tc>
          <w:tcPr>
            <w:tcW w:w="2340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E4935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执行数：</w:t>
            </w:r>
          </w:p>
        </w:tc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6555911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64.2785</w:t>
            </w:r>
          </w:p>
        </w:tc>
        <w:tc>
          <w:tcPr>
            <w:tcW w:w="102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611BC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100</w:t>
            </w:r>
          </w:p>
        </w:tc>
      </w:tr>
      <w:tr w14:paraId="600C1AA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6" w:hRule="atLeast"/>
        </w:trPr>
        <w:tc>
          <w:tcPr>
            <w:tcW w:w="168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FA5A5F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A73EA8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其中：                 财政资金</w:t>
            </w:r>
          </w:p>
        </w:tc>
        <w:tc>
          <w:tcPr>
            <w:tcW w:w="13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8816166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64.2785</w:t>
            </w:r>
          </w:p>
        </w:tc>
        <w:tc>
          <w:tcPr>
            <w:tcW w:w="8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6BB23A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其中：                      财政资金</w:t>
            </w:r>
          </w:p>
        </w:tc>
        <w:tc>
          <w:tcPr>
            <w:tcW w:w="10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DC129BB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64.2785</w:t>
            </w:r>
          </w:p>
        </w:tc>
        <w:tc>
          <w:tcPr>
            <w:tcW w:w="2340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990D0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其中：                     财政资金</w:t>
            </w:r>
          </w:p>
        </w:tc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D95D192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64.2785</w:t>
            </w:r>
          </w:p>
        </w:tc>
        <w:tc>
          <w:tcPr>
            <w:tcW w:w="102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63B25E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725146F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3" w:hRule="atLeast"/>
        </w:trPr>
        <w:tc>
          <w:tcPr>
            <w:tcW w:w="168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2228EF9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836F89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其他</w:t>
            </w:r>
          </w:p>
        </w:tc>
        <w:tc>
          <w:tcPr>
            <w:tcW w:w="13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FB2311A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</w:t>
            </w:r>
          </w:p>
        </w:tc>
        <w:tc>
          <w:tcPr>
            <w:tcW w:w="8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F43587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其他</w:t>
            </w:r>
          </w:p>
        </w:tc>
        <w:tc>
          <w:tcPr>
            <w:tcW w:w="10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6AC6EB6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</w:t>
            </w:r>
          </w:p>
        </w:tc>
        <w:tc>
          <w:tcPr>
            <w:tcW w:w="2340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9CF72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其他</w:t>
            </w:r>
          </w:p>
        </w:tc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4DA5BA4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</w:t>
            </w:r>
          </w:p>
        </w:tc>
        <w:tc>
          <w:tcPr>
            <w:tcW w:w="102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3DC272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137F7AC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6" w:hRule="atLeast"/>
        </w:trPr>
        <w:tc>
          <w:tcPr>
            <w:tcW w:w="1683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7A95D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三、目标完成情况</w:t>
            </w:r>
          </w:p>
        </w:tc>
        <w:tc>
          <w:tcPr>
            <w:tcW w:w="3210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AD07C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年度预期目标</w:t>
            </w:r>
          </w:p>
        </w:tc>
        <w:tc>
          <w:tcPr>
            <w:tcW w:w="4347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EF6AF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具体完成情况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C1FA3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总体完成率%</w:t>
            </w:r>
          </w:p>
        </w:tc>
      </w:tr>
      <w:tr w14:paraId="4588D43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</w:trPr>
        <w:tc>
          <w:tcPr>
            <w:tcW w:w="168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3F36D1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210" w:type="dxa"/>
            <w:gridSpan w:val="3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60A61F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 完成城区北斗路、观景大街、翠柏大街等绿化管护浇灌工作，用水116870吨，美化环境，提升城市品位。   </w:t>
            </w:r>
          </w:p>
        </w:tc>
        <w:tc>
          <w:tcPr>
            <w:tcW w:w="4347" w:type="dxa"/>
            <w:gridSpan w:val="5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671B69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 完成了城区北斗路、观景大街、翠柏大街等绿化管护浇灌工作，用水116870吨，美化环境，提升城市品位。</w:t>
            </w:r>
          </w:p>
        </w:tc>
        <w:tc>
          <w:tcPr>
            <w:tcW w:w="102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97B30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100</w:t>
            </w:r>
          </w:p>
        </w:tc>
      </w:tr>
      <w:tr w14:paraId="7D65A4D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</w:trPr>
        <w:tc>
          <w:tcPr>
            <w:tcW w:w="168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66723F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210" w:type="dxa"/>
            <w:gridSpan w:val="3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B5B997C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4347" w:type="dxa"/>
            <w:gridSpan w:val="5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6EFD417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2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73CB94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09D6E47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0" w:hRule="atLeast"/>
        </w:trPr>
        <w:tc>
          <w:tcPr>
            <w:tcW w:w="168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46B40A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210" w:type="dxa"/>
            <w:gridSpan w:val="3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54FCB39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4347" w:type="dxa"/>
            <w:gridSpan w:val="5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7102FC5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2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7EFB22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2E648C9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8" w:hRule="atLeast"/>
        </w:trPr>
        <w:tc>
          <w:tcPr>
            <w:tcW w:w="1683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23BBCB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四、</w:t>
            </w:r>
            <w:r>
              <w:rPr>
                <w:rStyle w:val="8"/>
                <w:rFonts w:eastAsia="宋体"/>
                <w:sz w:val="20"/>
                <w:szCs w:val="20"/>
                <w:lang w:val="en-US" w:eastAsia="zh-CN" w:bidi="ar"/>
              </w:rPr>
              <w:t xml:space="preserve"> </w:t>
            </w:r>
            <w:r>
              <w:rPr>
                <w:rStyle w:val="9"/>
                <w:sz w:val="20"/>
                <w:szCs w:val="20"/>
                <w:lang w:val="en-US" w:eastAsia="zh-CN" w:bidi="ar"/>
              </w:rPr>
              <w:t>年度绩效指标完成情况</w:t>
            </w:r>
          </w:p>
        </w:tc>
        <w:tc>
          <w:tcPr>
            <w:tcW w:w="1048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3C5EE1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一级指标</w:t>
            </w:r>
          </w:p>
        </w:tc>
        <w:tc>
          <w:tcPr>
            <w:tcW w:w="1349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38336C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二级指标</w:t>
            </w:r>
          </w:p>
        </w:tc>
        <w:tc>
          <w:tcPr>
            <w:tcW w:w="1815" w:type="dxa"/>
            <w:gridSpan w:val="2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56B206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三级指标</w:t>
            </w:r>
          </w:p>
        </w:tc>
        <w:tc>
          <w:tcPr>
            <w:tcW w:w="2340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D2159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预期指标值</w:t>
            </w:r>
          </w:p>
        </w:tc>
        <w:tc>
          <w:tcPr>
            <w:tcW w:w="1005" w:type="dxa"/>
            <w:vMerge w:val="restart"/>
            <w:tcBorders>
              <w:top w:val="single" w:color="000000" w:sz="4" w:space="0"/>
              <w:left w:val="nil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068799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实际完成值</w:t>
            </w:r>
          </w:p>
        </w:tc>
        <w:tc>
          <w:tcPr>
            <w:tcW w:w="1020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305FE6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自评得分</w:t>
            </w:r>
          </w:p>
        </w:tc>
      </w:tr>
      <w:tr w14:paraId="1F3AC09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6" w:hRule="atLeast"/>
        </w:trPr>
        <w:tc>
          <w:tcPr>
            <w:tcW w:w="168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6C73481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48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6939EB4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349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524642A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815" w:type="dxa"/>
            <w:gridSpan w:val="2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66DDFFB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480" w:type="dxa"/>
            <w:tcBorders>
              <w:top w:val="nil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0DF4E8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符号</w:t>
            </w:r>
          </w:p>
        </w:tc>
        <w:tc>
          <w:tcPr>
            <w:tcW w:w="870" w:type="dxa"/>
            <w:tcBorders>
              <w:top w:val="nil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521A9A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值</w:t>
            </w:r>
          </w:p>
        </w:tc>
        <w:tc>
          <w:tcPr>
            <w:tcW w:w="990" w:type="dxa"/>
            <w:tcBorders>
              <w:top w:val="nil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21AE45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单位（文字描述）</w:t>
            </w:r>
          </w:p>
        </w:tc>
        <w:tc>
          <w:tcPr>
            <w:tcW w:w="1005" w:type="dxa"/>
            <w:vMerge w:val="continue"/>
            <w:tcBorders>
              <w:top w:val="single" w:color="000000" w:sz="4" w:space="0"/>
              <w:left w:val="nil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6C24009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20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078BC14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66321C0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97" w:hRule="atLeast"/>
        </w:trPr>
        <w:tc>
          <w:tcPr>
            <w:tcW w:w="168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17EE2E2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48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36E111E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3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3566F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数量指标（10分）</w:t>
            </w:r>
          </w:p>
        </w:tc>
        <w:tc>
          <w:tcPr>
            <w:tcW w:w="181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77E55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绿化管护用水量</w:t>
            </w: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top"/>
          </w:tcPr>
          <w:p w14:paraId="63955F95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=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top"/>
          </w:tcPr>
          <w:p w14:paraId="1D678464">
            <w:pPr>
              <w:keepNext w:val="0"/>
              <w:keepLines w:val="0"/>
              <w:widowControl/>
              <w:suppressLineNumbers w:val="0"/>
              <w:jc w:val="righ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116870</w:t>
            </w:r>
          </w:p>
        </w:tc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top"/>
          </w:tcPr>
          <w:p w14:paraId="14FEA125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立方米</w:t>
            </w:r>
          </w:p>
        </w:tc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top"/>
          </w:tcPr>
          <w:p w14:paraId="42A9789D">
            <w:pPr>
              <w:keepNext w:val="0"/>
              <w:keepLines w:val="0"/>
              <w:widowControl/>
              <w:suppressLineNumbers w:val="0"/>
              <w:jc w:val="righ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116870</w:t>
            </w:r>
          </w:p>
        </w:tc>
        <w:tc>
          <w:tcPr>
            <w:tcW w:w="102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8814D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</w:t>
            </w:r>
          </w:p>
        </w:tc>
      </w:tr>
      <w:tr w14:paraId="788FFD9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6" w:hRule="atLeast"/>
        </w:trPr>
        <w:tc>
          <w:tcPr>
            <w:tcW w:w="168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087EA35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4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06D9717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3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88A57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质量指标（10分）</w:t>
            </w:r>
          </w:p>
        </w:tc>
        <w:tc>
          <w:tcPr>
            <w:tcW w:w="181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BEF44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绿化管护验收合格率</w:t>
            </w: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top"/>
          </w:tcPr>
          <w:p w14:paraId="0B953F43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=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top"/>
          </w:tcPr>
          <w:p w14:paraId="77779E40">
            <w:pPr>
              <w:keepNext w:val="0"/>
              <w:keepLines w:val="0"/>
              <w:widowControl/>
              <w:suppressLineNumbers w:val="0"/>
              <w:jc w:val="righ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100</w:t>
            </w:r>
          </w:p>
        </w:tc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top"/>
          </w:tcPr>
          <w:p w14:paraId="1DDA9433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%</w:t>
            </w:r>
          </w:p>
        </w:tc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top"/>
          </w:tcPr>
          <w:p w14:paraId="139CB58C">
            <w:pPr>
              <w:keepNext w:val="0"/>
              <w:keepLines w:val="0"/>
              <w:widowControl/>
              <w:suppressLineNumbers w:val="0"/>
              <w:jc w:val="righ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100</w:t>
            </w:r>
          </w:p>
        </w:tc>
        <w:tc>
          <w:tcPr>
            <w:tcW w:w="102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AD3B0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</w:t>
            </w:r>
          </w:p>
        </w:tc>
      </w:tr>
      <w:tr w14:paraId="2A4617C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6" w:hRule="atLeast"/>
        </w:trPr>
        <w:tc>
          <w:tcPr>
            <w:tcW w:w="168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7FD793A9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4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349FF89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3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4EE54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时效指标（10分）</w:t>
            </w:r>
          </w:p>
        </w:tc>
        <w:tc>
          <w:tcPr>
            <w:tcW w:w="181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DA084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绿化管护按时完成率</w:t>
            </w: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top"/>
          </w:tcPr>
          <w:p w14:paraId="5233D199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=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top"/>
          </w:tcPr>
          <w:p w14:paraId="32984470">
            <w:pPr>
              <w:keepNext w:val="0"/>
              <w:keepLines w:val="0"/>
              <w:widowControl/>
              <w:suppressLineNumbers w:val="0"/>
              <w:jc w:val="righ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100</w:t>
            </w:r>
          </w:p>
        </w:tc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top"/>
          </w:tcPr>
          <w:p w14:paraId="2DF97FEC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%</w:t>
            </w:r>
          </w:p>
        </w:tc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top"/>
          </w:tcPr>
          <w:p w14:paraId="22CAF3CF">
            <w:pPr>
              <w:keepNext w:val="0"/>
              <w:keepLines w:val="0"/>
              <w:widowControl/>
              <w:suppressLineNumbers w:val="0"/>
              <w:jc w:val="righ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100</w:t>
            </w:r>
          </w:p>
        </w:tc>
        <w:tc>
          <w:tcPr>
            <w:tcW w:w="102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C1896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</w:t>
            </w:r>
          </w:p>
        </w:tc>
      </w:tr>
      <w:tr w14:paraId="5181663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6" w:hRule="atLeast"/>
        </w:trPr>
        <w:tc>
          <w:tcPr>
            <w:tcW w:w="168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2A1009C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4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6249C51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3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722B9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成本指标（10分）</w:t>
            </w:r>
          </w:p>
        </w:tc>
        <w:tc>
          <w:tcPr>
            <w:tcW w:w="181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B30B0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绿化管护水费的单价</w:t>
            </w: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top"/>
          </w:tcPr>
          <w:p w14:paraId="43B8D153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=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top"/>
          </w:tcPr>
          <w:p w14:paraId="73B8C73A">
            <w:pPr>
              <w:keepNext w:val="0"/>
              <w:keepLines w:val="0"/>
              <w:widowControl/>
              <w:suppressLineNumbers w:val="0"/>
              <w:jc w:val="righ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5.5</w:t>
            </w:r>
          </w:p>
        </w:tc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top"/>
          </w:tcPr>
          <w:p w14:paraId="1E6E7C88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元/立方米</w:t>
            </w:r>
          </w:p>
        </w:tc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top"/>
          </w:tcPr>
          <w:p w14:paraId="21A041E1">
            <w:pPr>
              <w:keepNext w:val="0"/>
              <w:keepLines w:val="0"/>
              <w:widowControl/>
              <w:suppressLineNumbers w:val="0"/>
              <w:jc w:val="righ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5.5</w:t>
            </w:r>
          </w:p>
        </w:tc>
        <w:tc>
          <w:tcPr>
            <w:tcW w:w="102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DDDDB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</w:t>
            </w:r>
          </w:p>
        </w:tc>
      </w:tr>
      <w:tr w14:paraId="31897C0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6" w:hRule="atLeast"/>
        </w:trPr>
        <w:tc>
          <w:tcPr>
            <w:tcW w:w="168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7293315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48" w:type="dxa"/>
            <w:tcBorders>
              <w:top w:val="nil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30567C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预算执行率指标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（10分）</w:t>
            </w:r>
          </w:p>
        </w:tc>
        <w:tc>
          <w:tcPr>
            <w:tcW w:w="13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428A6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预算执行率（10分）</w:t>
            </w:r>
          </w:p>
        </w:tc>
        <w:tc>
          <w:tcPr>
            <w:tcW w:w="181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864B9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资金到位率和到位及时率</w:t>
            </w: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CBE47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=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4E421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100</w:t>
            </w:r>
          </w:p>
        </w:tc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5E3E6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%</w:t>
            </w:r>
          </w:p>
        </w:tc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5F66B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100</w:t>
            </w:r>
          </w:p>
        </w:tc>
        <w:tc>
          <w:tcPr>
            <w:tcW w:w="102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398A7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</w:t>
            </w:r>
          </w:p>
        </w:tc>
      </w:tr>
      <w:tr w14:paraId="2EC18F7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15" w:hRule="atLeast"/>
        </w:trPr>
        <w:tc>
          <w:tcPr>
            <w:tcW w:w="168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15462B9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48" w:type="dxa"/>
            <w:vMerge w:val="restart"/>
            <w:tcBorders>
              <w:top w:val="nil"/>
              <w:left w:val="single" w:color="000000" w:sz="4" w:space="0"/>
              <w:bottom w:val="nil"/>
              <w:right w:val="nil"/>
            </w:tcBorders>
            <w:shd w:val="clear" w:color="auto" w:fill="auto"/>
            <w:vAlign w:val="center"/>
          </w:tcPr>
          <w:p w14:paraId="711384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效益指标（40）</w:t>
            </w:r>
          </w:p>
        </w:tc>
        <w:tc>
          <w:tcPr>
            <w:tcW w:w="13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8BFE9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社会效益指标（20分）</w:t>
            </w:r>
          </w:p>
        </w:tc>
        <w:tc>
          <w:tcPr>
            <w:tcW w:w="181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122AC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美化环境、提升城市品位</w:t>
            </w: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top"/>
          </w:tcPr>
          <w:p w14:paraId="6F5A4E76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文字描述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top"/>
          </w:tcPr>
          <w:p w14:paraId="5F6A0825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top"/>
          </w:tcPr>
          <w:p w14:paraId="4BDBBB56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美化环境、提升品位</w:t>
            </w:r>
          </w:p>
        </w:tc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1E360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提升了城市品位，改善了城市环境</w:t>
            </w:r>
          </w:p>
        </w:tc>
        <w:tc>
          <w:tcPr>
            <w:tcW w:w="102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AA9FD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</w:t>
            </w:r>
          </w:p>
        </w:tc>
      </w:tr>
      <w:tr w14:paraId="714CA7D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6" w:hRule="atLeast"/>
        </w:trPr>
        <w:tc>
          <w:tcPr>
            <w:tcW w:w="168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58755A1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48" w:type="dxa"/>
            <w:vMerge w:val="continue"/>
            <w:tcBorders>
              <w:top w:val="nil"/>
              <w:left w:val="single" w:color="000000" w:sz="4" w:space="0"/>
              <w:bottom w:val="nil"/>
              <w:right w:val="nil"/>
            </w:tcBorders>
            <w:shd w:val="clear" w:color="auto" w:fill="auto"/>
            <w:vAlign w:val="center"/>
          </w:tcPr>
          <w:p w14:paraId="42F4D81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3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98F1B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可持续影响指标（20分）</w:t>
            </w:r>
          </w:p>
        </w:tc>
        <w:tc>
          <w:tcPr>
            <w:tcW w:w="181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696C9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绿化持续的时间</w:t>
            </w: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top"/>
          </w:tcPr>
          <w:p w14:paraId="73080446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≥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top"/>
          </w:tcPr>
          <w:p w14:paraId="5D96ADDC">
            <w:pPr>
              <w:keepNext w:val="0"/>
              <w:keepLines w:val="0"/>
              <w:widowControl/>
              <w:suppressLineNumbers w:val="0"/>
              <w:jc w:val="righ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</w:t>
            </w:r>
          </w:p>
        </w:tc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top"/>
          </w:tcPr>
          <w:p w14:paraId="060F1C76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年</w:t>
            </w:r>
          </w:p>
        </w:tc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9518A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</w:t>
            </w:r>
          </w:p>
        </w:tc>
        <w:tc>
          <w:tcPr>
            <w:tcW w:w="102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085CB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</w:t>
            </w:r>
          </w:p>
        </w:tc>
      </w:tr>
      <w:tr w14:paraId="378D376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6" w:hRule="atLeast"/>
        </w:trPr>
        <w:tc>
          <w:tcPr>
            <w:tcW w:w="168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3F65D17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48" w:type="dxa"/>
            <w:vMerge w:val="continue"/>
            <w:tcBorders>
              <w:top w:val="nil"/>
              <w:left w:val="single" w:color="000000" w:sz="4" w:space="0"/>
              <w:bottom w:val="nil"/>
              <w:right w:val="nil"/>
            </w:tcBorders>
            <w:shd w:val="clear" w:color="auto" w:fill="auto"/>
            <w:vAlign w:val="center"/>
          </w:tcPr>
          <w:p w14:paraId="12BFBBF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3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3CA45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经济效益指标（0分）</w:t>
            </w:r>
          </w:p>
        </w:tc>
        <w:tc>
          <w:tcPr>
            <w:tcW w:w="181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1241C3F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F96B0CF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5FA3E2B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0904750">
            <w:pPr>
              <w:jc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D3CF306">
            <w:pPr>
              <w:jc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0C86E31">
            <w:pPr>
              <w:jc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01FF5B9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6" w:hRule="atLeast"/>
        </w:trPr>
        <w:tc>
          <w:tcPr>
            <w:tcW w:w="168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2FF5C68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48" w:type="dxa"/>
            <w:vMerge w:val="continue"/>
            <w:tcBorders>
              <w:top w:val="nil"/>
              <w:left w:val="single" w:color="000000" w:sz="4" w:space="0"/>
              <w:bottom w:val="nil"/>
              <w:right w:val="nil"/>
            </w:tcBorders>
            <w:shd w:val="clear" w:color="auto" w:fill="auto"/>
            <w:vAlign w:val="center"/>
          </w:tcPr>
          <w:p w14:paraId="2B7E6A3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3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E69DF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生态效益指标（0分）</w:t>
            </w:r>
          </w:p>
        </w:tc>
        <w:tc>
          <w:tcPr>
            <w:tcW w:w="181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39C00D2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82C9C7A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D0A6B43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08F3986">
            <w:pPr>
              <w:jc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F2E4E63">
            <w:pPr>
              <w:jc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2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09A5720">
            <w:pPr>
              <w:jc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7037D46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6" w:hRule="atLeast"/>
        </w:trPr>
        <w:tc>
          <w:tcPr>
            <w:tcW w:w="168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00D8408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C443F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满意度指标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（10分）</w:t>
            </w:r>
          </w:p>
        </w:tc>
        <w:tc>
          <w:tcPr>
            <w:tcW w:w="134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E4B00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满意度指标（10）</w:t>
            </w:r>
          </w:p>
        </w:tc>
        <w:tc>
          <w:tcPr>
            <w:tcW w:w="1815" w:type="dxa"/>
            <w:gridSpan w:val="2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E4A5ED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市民对绿化管护的满意度</w:t>
            </w:r>
          </w:p>
        </w:tc>
        <w:tc>
          <w:tcPr>
            <w:tcW w:w="48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D04627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≧</w:t>
            </w:r>
          </w:p>
        </w:tc>
        <w:tc>
          <w:tcPr>
            <w:tcW w:w="87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5C4604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90</w:t>
            </w:r>
          </w:p>
        </w:tc>
        <w:tc>
          <w:tcPr>
            <w:tcW w:w="990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9F1AD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%</w:t>
            </w:r>
          </w:p>
        </w:tc>
        <w:tc>
          <w:tcPr>
            <w:tcW w:w="1005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E8940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96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6D376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</w:t>
            </w:r>
          </w:p>
        </w:tc>
      </w:tr>
      <w:tr w14:paraId="105C2A9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3" w:hRule="atLeast"/>
        </w:trPr>
        <w:tc>
          <w:tcPr>
            <w:tcW w:w="168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10B39BA9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7557" w:type="dxa"/>
            <w:gridSpan w:val="8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938DB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总分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200E0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100</w:t>
            </w:r>
          </w:p>
        </w:tc>
      </w:tr>
      <w:tr w14:paraId="0DF353C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31" w:hRule="atLeast"/>
        </w:trPr>
        <w:tc>
          <w:tcPr>
            <w:tcW w:w="1683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74E2CA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五、</w:t>
            </w:r>
            <w:r>
              <w:rPr>
                <w:rStyle w:val="8"/>
                <w:rFonts w:eastAsia="宋体"/>
                <w:sz w:val="20"/>
                <w:szCs w:val="20"/>
                <w:lang w:val="en-US" w:eastAsia="zh-CN" w:bidi="ar"/>
              </w:rPr>
              <w:t xml:space="preserve"> </w:t>
            </w:r>
            <w:r>
              <w:rPr>
                <w:rStyle w:val="9"/>
                <w:sz w:val="20"/>
                <w:szCs w:val="20"/>
                <w:lang w:val="en-US" w:eastAsia="zh-CN" w:bidi="ar"/>
              </w:rPr>
              <w:t>存在问题、原因及下一步整改措施</w:t>
            </w:r>
          </w:p>
        </w:tc>
        <w:tc>
          <w:tcPr>
            <w:tcW w:w="8577" w:type="dxa"/>
            <w:gridSpan w:val="9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031DCA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望财政下年度予以支持</w:t>
            </w:r>
          </w:p>
        </w:tc>
      </w:tr>
    </w:tbl>
    <w:p w14:paraId="3D3D0620">
      <w:pPr>
        <w:adjustRightInd w:val="0"/>
        <w:snapToGrid w:val="0"/>
        <w:spacing w:line="580" w:lineRule="exact"/>
        <w:ind w:firstLine="640" w:firstLineChars="200"/>
        <w:rPr>
          <w:rFonts w:hint="default" w:ascii="仿宋" w:hAnsi="仿宋" w:eastAsia="仿宋" w:cs="仿宋_GB2312"/>
          <w:color w:val="000000" w:themeColor="text1"/>
          <w:sz w:val="32"/>
          <w:szCs w:val="32"/>
          <w:lang w:val="en-US" w:eastAsia="zh-CN"/>
        </w:rPr>
      </w:pPr>
      <w:r>
        <w:rPr>
          <w:rFonts w:hint="default" w:ascii="仿宋" w:hAnsi="仿宋" w:eastAsia="仿宋" w:cs="仿宋_GB2312"/>
          <w:color w:val="000000" w:themeColor="text1"/>
          <w:sz w:val="32"/>
          <w:szCs w:val="32"/>
          <w:lang w:val="en-US" w:eastAsia="zh-CN"/>
        </w:rPr>
        <w:t>数量指标</w:t>
      </w:r>
      <w:r>
        <w:rPr>
          <w:rFonts w:hint="eastAsia" w:ascii="仿宋" w:hAnsi="仿宋" w:eastAsia="仿宋" w:cs="仿宋_GB2312"/>
          <w:color w:val="000000" w:themeColor="text1"/>
          <w:sz w:val="32"/>
          <w:szCs w:val="32"/>
          <w:lang w:val="en-US" w:eastAsia="zh-CN"/>
        </w:rPr>
        <w:t>：</w:t>
      </w:r>
      <w:r>
        <w:rPr>
          <w:rFonts w:hint="default" w:ascii="仿宋" w:hAnsi="仿宋" w:eastAsia="仿宋" w:cs="仿宋_GB2312"/>
          <w:color w:val="000000" w:themeColor="text1"/>
          <w:sz w:val="32"/>
          <w:szCs w:val="32"/>
          <w:lang w:val="en-US" w:eastAsia="zh-CN"/>
        </w:rPr>
        <w:tab/>
      </w:r>
      <w:r>
        <w:rPr>
          <w:rFonts w:hint="default" w:ascii="仿宋" w:hAnsi="仿宋" w:eastAsia="仿宋" w:cs="仿宋_GB2312"/>
          <w:color w:val="000000" w:themeColor="text1"/>
          <w:sz w:val="32"/>
          <w:szCs w:val="32"/>
          <w:lang w:val="en-US" w:eastAsia="zh-CN"/>
        </w:rPr>
        <w:t>绿化管护用水量</w:t>
      </w:r>
      <w:r>
        <w:rPr>
          <w:rFonts w:hint="eastAsia" w:ascii="仿宋" w:hAnsi="仿宋" w:eastAsia="仿宋" w:cs="仿宋_GB2312"/>
          <w:color w:val="000000" w:themeColor="text1"/>
          <w:sz w:val="32"/>
          <w:szCs w:val="32"/>
          <w:lang w:val="en-US" w:eastAsia="zh-CN"/>
        </w:rPr>
        <w:t>达到</w:t>
      </w:r>
      <w:r>
        <w:rPr>
          <w:rFonts w:hint="default" w:ascii="仿宋" w:hAnsi="仿宋" w:eastAsia="仿宋" w:cs="仿宋_GB2312"/>
          <w:color w:val="000000" w:themeColor="text1"/>
          <w:sz w:val="32"/>
          <w:szCs w:val="32"/>
          <w:lang w:val="en-US" w:eastAsia="zh-CN"/>
        </w:rPr>
        <w:t>116870</w:t>
      </w:r>
      <w:r>
        <w:rPr>
          <w:rFonts w:hint="default" w:ascii="仿宋" w:hAnsi="仿宋" w:eastAsia="仿宋" w:cs="仿宋_GB2312"/>
          <w:color w:val="000000" w:themeColor="text1"/>
          <w:sz w:val="32"/>
          <w:szCs w:val="32"/>
          <w:lang w:val="en-US" w:eastAsia="zh-CN"/>
        </w:rPr>
        <w:tab/>
      </w:r>
      <w:r>
        <w:rPr>
          <w:rFonts w:hint="default" w:ascii="仿宋" w:hAnsi="仿宋" w:eastAsia="仿宋" w:cs="仿宋_GB2312"/>
          <w:color w:val="000000" w:themeColor="text1"/>
          <w:sz w:val="32"/>
          <w:szCs w:val="32"/>
          <w:lang w:val="en-US" w:eastAsia="zh-CN"/>
        </w:rPr>
        <w:t>立方米</w:t>
      </w:r>
      <w:r>
        <w:rPr>
          <w:rFonts w:hint="eastAsia" w:ascii="仿宋" w:hAnsi="仿宋" w:eastAsia="仿宋" w:cs="仿宋_GB2312"/>
          <w:color w:val="000000" w:themeColor="text1"/>
          <w:sz w:val="32"/>
          <w:szCs w:val="32"/>
          <w:lang w:val="en-US" w:eastAsia="zh-CN"/>
        </w:rPr>
        <w:t>，评分</w:t>
      </w:r>
      <w:r>
        <w:rPr>
          <w:rFonts w:hint="default" w:ascii="仿宋" w:hAnsi="仿宋" w:eastAsia="仿宋" w:cs="仿宋_GB2312"/>
          <w:color w:val="000000" w:themeColor="text1"/>
          <w:sz w:val="32"/>
          <w:szCs w:val="32"/>
          <w:lang w:val="en-US" w:eastAsia="zh-CN"/>
        </w:rPr>
        <w:t>10</w:t>
      </w:r>
      <w:r>
        <w:rPr>
          <w:rFonts w:hint="eastAsia" w:ascii="仿宋" w:hAnsi="仿宋" w:eastAsia="仿宋" w:cs="仿宋_GB2312"/>
          <w:color w:val="000000" w:themeColor="text1"/>
          <w:sz w:val="32"/>
          <w:szCs w:val="32"/>
          <w:lang w:val="en-US" w:eastAsia="zh-CN"/>
        </w:rPr>
        <w:t>分；</w:t>
      </w:r>
      <w:r>
        <w:rPr>
          <w:rFonts w:hint="default" w:ascii="仿宋" w:hAnsi="仿宋" w:eastAsia="仿宋" w:cs="仿宋_GB2312"/>
          <w:color w:val="000000" w:themeColor="text1"/>
          <w:sz w:val="32"/>
          <w:szCs w:val="32"/>
          <w:lang w:val="en-US" w:eastAsia="zh-CN"/>
        </w:rPr>
        <w:t>质量指标</w:t>
      </w:r>
      <w:r>
        <w:rPr>
          <w:rFonts w:hint="eastAsia" w:ascii="仿宋" w:hAnsi="仿宋" w:eastAsia="仿宋" w:cs="仿宋_GB2312"/>
          <w:color w:val="000000" w:themeColor="text1"/>
          <w:sz w:val="32"/>
          <w:szCs w:val="32"/>
          <w:lang w:val="en-US" w:eastAsia="zh-CN"/>
        </w:rPr>
        <w:t>：</w:t>
      </w:r>
      <w:r>
        <w:rPr>
          <w:rFonts w:hint="default" w:ascii="仿宋" w:hAnsi="仿宋" w:eastAsia="仿宋" w:cs="仿宋_GB2312"/>
          <w:color w:val="000000" w:themeColor="text1"/>
          <w:sz w:val="32"/>
          <w:szCs w:val="32"/>
          <w:lang w:val="en-US" w:eastAsia="zh-CN"/>
        </w:rPr>
        <w:t>绿化管护验收合格率</w:t>
      </w:r>
      <w:r>
        <w:rPr>
          <w:rFonts w:hint="eastAsia" w:ascii="仿宋" w:hAnsi="仿宋" w:eastAsia="仿宋" w:cs="仿宋_GB2312"/>
          <w:color w:val="000000" w:themeColor="text1"/>
          <w:sz w:val="32"/>
          <w:szCs w:val="32"/>
          <w:lang w:val="en-US" w:eastAsia="zh-CN"/>
        </w:rPr>
        <w:t>，达到</w:t>
      </w:r>
      <w:r>
        <w:rPr>
          <w:rFonts w:hint="default" w:ascii="仿宋" w:hAnsi="仿宋" w:eastAsia="仿宋" w:cs="仿宋_GB2312"/>
          <w:color w:val="000000" w:themeColor="text1"/>
          <w:sz w:val="32"/>
          <w:szCs w:val="32"/>
          <w:lang w:val="en-US" w:eastAsia="zh-CN"/>
        </w:rPr>
        <w:t>100</w:t>
      </w:r>
      <w:r>
        <w:rPr>
          <w:rFonts w:hint="eastAsia" w:ascii="仿宋" w:hAnsi="仿宋" w:eastAsia="仿宋" w:cs="仿宋_GB2312"/>
          <w:color w:val="000000" w:themeColor="text1"/>
          <w:sz w:val="32"/>
          <w:szCs w:val="32"/>
          <w:lang w:val="en-US" w:eastAsia="zh-CN"/>
        </w:rPr>
        <w:t>，评分</w:t>
      </w:r>
      <w:r>
        <w:rPr>
          <w:rFonts w:hint="default" w:ascii="仿宋" w:hAnsi="仿宋" w:eastAsia="仿宋" w:cs="仿宋_GB2312"/>
          <w:color w:val="000000" w:themeColor="text1"/>
          <w:sz w:val="32"/>
          <w:szCs w:val="32"/>
          <w:lang w:val="en-US" w:eastAsia="zh-CN"/>
        </w:rPr>
        <w:t>10</w:t>
      </w:r>
      <w:r>
        <w:rPr>
          <w:rFonts w:hint="eastAsia" w:ascii="仿宋" w:hAnsi="仿宋" w:eastAsia="仿宋" w:cs="仿宋_GB2312"/>
          <w:color w:val="000000" w:themeColor="text1"/>
          <w:sz w:val="32"/>
          <w:szCs w:val="32"/>
          <w:lang w:val="en-US" w:eastAsia="zh-CN"/>
        </w:rPr>
        <w:t>分；</w:t>
      </w:r>
      <w:r>
        <w:rPr>
          <w:rFonts w:hint="default" w:ascii="仿宋" w:hAnsi="仿宋" w:eastAsia="仿宋" w:cs="仿宋_GB2312"/>
          <w:color w:val="000000" w:themeColor="text1"/>
          <w:sz w:val="32"/>
          <w:szCs w:val="32"/>
          <w:lang w:val="en-US" w:eastAsia="zh-CN"/>
        </w:rPr>
        <w:t>时效指标</w:t>
      </w:r>
      <w:r>
        <w:rPr>
          <w:rFonts w:hint="eastAsia" w:ascii="仿宋" w:hAnsi="仿宋" w:eastAsia="仿宋" w:cs="仿宋_GB2312"/>
          <w:color w:val="000000" w:themeColor="text1"/>
          <w:sz w:val="32"/>
          <w:szCs w:val="32"/>
          <w:lang w:val="en-US" w:eastAsia="zh-CN"/>
        </w:rPr>
        <w:t>：</w:t>
      </w:r>
      <w:r>
        <w:rPr>
          <w:rFonts w:hint="default" w:ascii="仿宋" w:hAnsi="仿宋" w:eastAsia="仿宋" w:cs="仿宋_GB2312"/>
          <w:color w:val="000000" w:themeColor="text1"/>
          <w:sz w:val="32"/>
          <w:szCs w:val="32"/>
          <w:lang w:val="en-US" w:eastAsia="zh-CN"/>
        </w:rPr>
        <w:t>绿化管护按时完成率</w:t>
      </w:r>
      <w:r>
        <w:rPr>
          <w:rFonts w:hint="eastAsia" w:ascii="仿宋" w:hAnsi="仿宋" w:eastAsia="仿宋" w:cs="仿宋_GB2312"/>
          <w:color w:val="000000" w:themeColor="text1"/>
          <w:sz w:val="32"/>
          <w:szCs w:val="32"/>
          <w:lang w:val="en-US" w:eastAsia="zh-CN"/>
        </w:rPr>
        <w:t>达到</w:t>
      </w:r>
      <w:r>
        <w:rPr>
          <w:rFonts w:hint="default" w:ascii="仿宋" w:hAnsi="仿宋" w:eastAsia="仿宋" w:cs="仿宋_GB2312"/>
          <w:color w:val="000000" w:themeColor="text1"/>
          <w:sz w:val="32"/>
          <w:szCs w:val="32"/>
          <w:lang w:val="en-US" w:eastAsia="zh-CN"/>
        </w:rPr>
        <w:t>100%</w:t>
      </w:r>
      <w:r>
        <w:rPr>
          <w:rFonts w:hint="default" w:ascii="仿宋" w:hAnsi="仿宋" w:eastAsia="仿宋" w:cs="仿宋_GB2312"/>
          <w:color w:val="000000" w:themeColor="text1"/>
          <w:sz w:val="32"/>
          <w:szCs w:val="32"/>
          <w:lang w:val="en-US" w:eastAsia="zh-CN"/>
        </w:rPr>
        <w:tab/>
      </w:r>
      <w:r>
        <w:rPr>
          <w:rFonts w:hint="eastAsia" w:ascii="仿宋" w:hAnsi="仿宋" w:eastAsia="仿宋" w:cs="仿宋_GB2312"/>
          <w:color w:val="000000" w:themeColor="text1"/>
          <w:sz w:val="32"/>
          <w:szCs w:val="32"/>
          <w:lang w:val="en-US" w:eastAsia="zh-CN"/>
        </w:rPr>
        <w:t>，评分</w:t>
      </w:r>
      <w:r>
        <w:rPr>
          <w:rFonts w:hint="default" w:ascii="仿宋" w:hAnsi="仿宋" w:eastAsia="仿宋" w:cs="仿宋_GB2312"/>
          <w:color w:val="000000" w:themeColor="text1"/>
          <w:sz w:val="32"/>
          <w:szCs w:val="32"/>
          <w:lang w:val="en-US" w:eastAsia="zh-CN"/>
        </w:rPr>
        <w:t>10</w:t>
      </w:r>
      <w:r>
        <w:rPr>
          <w:rFonts w:hint="eastAsia" w:ascii="仿宋" w:hAnsi="仿宋" w:eastAsia="仿宋" w:cs="仿宋_GB2312"/>
          <w:color w:val="000000" w:themeColor="text1"/>
          <w:sz w:val="32"/>
          <w:szCs w:val="32"/>
          <w:lang w:val="en-US" w:eastAsia="zh-CN"/>
        </w:rPr>
        <w:t>分；</w:t>
      </w:r>
      <w:r>
        <w:rPr>
          <w:rFonts w:hint="default" w:ascii="仿宋" w:hAnsi="仿宋" w:eastAsia="仿宋" w:cs="仿宋_GB2312"/>
          <w:color w:val="000000" w:themeColor="text1"/>
          <w:sz w:val="32"/>
          <w:szCs w:val="32"/>
          <w:lang w:val="en-US" w:eastAsia="zh-CN"/>
        </w:rPr>
        <w:t>成本指标</w:t>
      </w:r>
      <w:r>
        <w:rPr>
          <w:rFonts w:hint="eastAsia" w:ascii="仿宋" w:hAnsi="仿宋" w:eastAsia="仿宋" w:cs="仿宋_GB2312"/>
          <w:color w:val="000000" w:themeColor="text1"/>
          <w:sz w:val="32"/>
          <w:szCs w:val="32"/>
          <w:lang w:val="en-US" w:eastAsia="zh-CN"/>
        </w:rPr>
        <w:t>：</w:t>
      </w:r>
      <w:r>
        <w:rPr>
          <w:rFonts w:hint="default" w:ascii="仿宋" w:hAnsi="仿宋" w:eastAsia="仿宋" w:cs="仿宋_GB2312"/>
          <w:color w:val="000000" w:themeColor="text1"/>
          <w:sz w:val="32"/>
          <w:szCs w:val="32"/>
          <w:lang w:val="en-US" w:eastAsia="zh-CN"/>
        </w:rPr>
        <w:t>绿化管护水费的单价</w:t>
      </w:r>
      <w:r>
        <w:rPr>
          <w:rFonts w:hint="eastAsia" w:ascii="仿宋" w:hAnsi="仿宋" w:eastAsia="仿宋" w:cs="仿宋_GB2312"/>
          <w:color w:val="000000" w:themeColor="text1"/>
          <w:sz w:val="32"/>
          <w:szCs w:val="32"/>
          <w:lang w:val="en-US" w:eastAsia="zh-CN"/>
        </w:rPr>
        <w:t>为</w:t>
      </w:r>
      <w:r>
        <w:rPr>
          <w:rFonts w:hint="default" w:ascii="仿宋" w:hAnsi="仿宋" w:eastAsia="仿宋" w:cs="仿宋_GB2312"/>
          <w:color w:val="000000" w:themeColor="text1"/>
          <w:sz w:val="32"/>
          <w:szCs w:val="32"/>
          <w:lang w:val="en-US" w:eastAsia="zh-CN"/>
        </w:rPr>
        <w:t>5.5</w:t>
      </w:r>
      <w:r>
        <w:rPr>
          <w:rFonts w:hint="default" w:ascii="仿宋" w:hAnsi="仿宋" w:eastAsia="仿宋" w:cs="仿宋_GB2312"/>
          <w:color w:val="000000" w:themeColor="text1"/>
          <w:sz w:val="32"/>
          <w:szCs w:val="32"/>
          <w:lang w:val="en-US" w:eastAsia="zh-CN"/>
        </w:rPr>
        <w:tab/>
      </w:r>
      <w:r>
        <w:rPr>
          <w:rFonts w:hint="default" w:ascii="仿宋" w:hAnsi="仿宋" w:eastAsia="仿宋" w:cs="仿宋_GB2312"/>
          <w:color w:val="000000" w:themeColor="text1"/>
          <w:sz w:val="32"/>
          <w:szCs w:val="32"/>
          <w:lang w:val="en-US" w:eastAsia="zh-CN"/>
        </w:rPr>
        <w:t>元/立方米</w:t>
      </w:r>
      <w:r>
        <w:rPr>
          <w:rFonts w:hint="eastAsia" w:ascii="仿宋" w:hAnsi="仿宋" w:eastAsia="仿宋" w:cs="仿宋_GB2312"/>
          <w:color w:val="000000" w:themeColor="text1"/>
          <w:sz w:val="32"/>
          <w:szCs w:val="32"/>
          <w:lang w:val="en-US" w:eastAsia="zh-CN"/>
        </w:rPr>
        <w:t>，评分</w:t>
      </w:r>
      <w:r>
        <w:rPr>
          <w:rFonts w:hint="default" w:ascii="仿宋" w:hAnsi="仿宋" w:eastAsia="仿宋" w:cs="仿宋_GB2312"/>
          <w:color w:val="000000" w:themeColor="text1"/>
          <w:sz w:val="32"/>
          <w:szCs w:val="32"/>
          <w:lang w:val="en-US" w:eastAsia="zh-CN"/>
        </w:rPr>
        <w:t>10</w:t>
      </w:r>
      <w:r>
        <w:rPr>
          <w:rFonts w:hint="eastAsia" w:ascii="仿宋" w:hAnsi="仿宋" w:eastAsia="仿宋" w:cs="仿宋_GB2312"/>
          <w:color w:val="000000" w:themeColor="text1"/>
          <w:sz w:val="32"/>
          <w:szCs w:val="32"/>
          <w:lang w:val="en-US" w:eastAsia="zh-CN"/>
        </w:rPr>
        <w:t>分；</w:t>
      </w:r>
      <w:r>
        <w:rPr>
          <w:rFonts w:hint="default" w:ascii="仿宋" w:hAnsi="仿宋" w:eastAsia="仿宋" w:cs="仿宋_GB2312"/>
          <w:color w:val="000000" w:themeColor="text1"/>
          <w:sz w:val="32"/>
          <w:szCs w:val="32"/>
          <w:lang w:val="en-US" w:eastAsia="zh-CN"/>
        </w:rPr>
        <w:t>预算执行率</w:t>
      </w:r>
      <w:r>
        <w:rPr>
          <w:rFonts w:hint="eastAsia" w:ascii="仿宋" w:hAnsi="仿宋" w:eastAsia="仿宋" w:cs="仿宋_GB2312"/>
          <w:color w:val="000000" w:themeColor="text1"/>
          <w:sz w:val="32"/>
          <w:szCs w:val="32"/>
          <w:lang w:val="en-US" w:eastAsia="zh-CN"/>
        </w:rPr>
        <w:t>：</w:t>
      </w:r>
      <w:r>
        <w:rPr>
          <w:rFonts w:hint="default" w:ascii="仿宋" w:hAnsi="仿宋" w:eastAsia="仿宋" w:cs="仿宋_GB2312"/>
          <w:color w:val="000000" w:themeColor="text1"/>
          <w:sz w:val="32"/>
          <w:szCs w:val="32"/>
          <w:lang w:val="en-US" w:eastAsia="zh-CN"/>
        </w:rPr>
        <w:t>资金到位率和到位及时率</w:t>
      </w:r>
      <w:r>
        <w:rPr>
          <w:rFonts w:hint="eastAsia" w:ascii="仿宋" w:hAnsi="仿宋" w:eastAsia="仿宋" w:cs="仿宋_GB2312"/>
          <w:color w:val="000000" w:themeColor="text1"/>
          <w:sz w:val="32"/>
          <w:szCs w:val="32"/>
          <w:lang w:val="en-US" w:eastAsia="zh-CN"/>
        </w:rPr>
        <w:t>都为</w:t>
      </w:r>
      <w:r>
        <w:rPr>
          <w:rFonts w:hint="default" w:ascii="仿宋" w:hAnsi="仿宋" w:eastAsia="仿宋" w:cs="仿宋_GB2312"/>
          <w:color w:val="000000" w:themeColor="text1"/>
          <w:sz w:val="32"/>
          <w:szCs w:val="32"/>
          <w:lang w:val="en-US" w:eastAsia="zh-CN"/>
        </w:rPr>
        <w:tab/>
      </w:r>
      <w:r>
        <w:rPr>
          <w:rFonts w:hint="default" w:ascii="仿宋" w:hAnsi="仿宋" w:eastAsia="仿宋" w:cs="仿宋_GB2312"/>
          <w:color w:val="000000" w:themeColor="text1"/>
          <w:sz w:val="32"/>
          <w:szCs w:val="32"/>
          <w:lang w:val="en-US" w:eastAsia="zh-CN"/>
        </w:rPr>
        <w:t>100</w:t>
      </w:r>
      <w:r>
        <w:rPr>
          <w:rFonts w:hint="eastAsia" w:ascii="仿宋" w:hAnsi="仿宋" w:eastAsia="仿宋" w:cs="仿宋_GB2312"/>
          <w:color w:val="000000" w:themeColor="text1"/>
          <w:sz w:val="32"/>
          <w:szCs w:val="32"/>
          <w:lang w:val="en-US" w:eastAsia="zh-CN"/>
        </w:rPr>
        <w:t>，评分</w:t>
      </w:r>
      <w:r>
        <w:rPr>
          <w:rFonts w:hint="default" w:ascii="仿宋" w:hAnsi="仿宋" w:eastAsia="仿宋" w:cs="仿宋_GB2312"/>
          <w:color w:val="000000" w:themeColor="text1"/>
          <w:sz w:val="32"/>
          <w:szCs w:val="32"/>
          <w:lang w:val="en-US" w:eastAsia="zh-CN"/>
        </w:rPr>
        <w:t>10</w:t>
      </w:r>
      <w:r>
        <w:rPr>
          <w:rFonts w:hint="eastAsia" w:ascii="仿宋" w:hAnsi="仿宋" w:eastAsia="仿宋" w:cs="仿宋_GB2312"/>
          <w:color w:val="000000" w:themeColor="text1"/>
          <w:sz w:val="32"/>
          <w:szCs w:val="32"/>
          <w:lang w:val="en-US" w:eastAsia="zh-CN"/>
        </w:rPr>
        <w:t>分；</w:t>
      </w:r>
      <w:r>
        <w:rPr>
          <w:rFonts w:hint="default" w:ascii="仿宋" w:hAnsi="仿宋" w:eastAsia="仿宋" w:cs="仿宋_GB2312"/>
          <w:color w:val="000000" w:themeColor="text1"/>
          <w:sz w:val="32"/>
          <w:szCs w:val="32"/>
          <w:lang w:val="en-US" w:eastAsia="zh-CN"/>
        </w:rPr>
        <w:t>社会效益指标</w:t>
      </w:r>
      <w:r>
        <w:rPr>
          <w:rFonts w:hint="eastAsia" w:ascii="仿宋" w:hAnsi="仿宋" w:eastAsia="仿宋" w:cs="仿宋_GB2312"/>
          <w:color w:val="000000" w:themeColor="text1"/>
          <w:sz w:val="32"/>
          <w:szCs w:val="32"/>
          <w:lang w:val="en-US" w:eastAsia="zh-CN"/>
        </w:rPr>
        <w:t>：</w:t>
      </w:r>
      <w:r>
        <w:rPr>
          <w:rFonts w:hint="default" w:ascii="仿宋" w:hAnsi="仿宋" w:eastAsia="仿宋" w:cs="仿宋_GB2312"/>
          <w:color w:val="000000" w:themeColor="text1"/>
          <w:sz w:val="32"/>
          <w:szCs w:val="32"/>
          <w:lang w:val="en-US" w:eastAsia="zh-CN"/>
        </w:rPr>
        <w:t>美化环境、提升城市品位</w:t>
      </w:r>
      <w:r>
        <w:rPr>
          <w:rFonts w:hint="eastAsia" w:ascii="仿宋" w:hAnsi="仿宋" w:eastAsia="仿宋" w:cs="仿宋_GB2312"/>
          <w:color w:val="000000" w:themeColor="text1"/>
          <w:sz w:val="32"/>
          <w:szCs w:val="32"/>
          <w:lang w:val="en-US" w:eastAsia="zh-CN"/>
        </w:rPr>
        <w:t>，</w:t>
      </w:r>
      <w:r>
        <w:rPr>
          <w:rFonts w:hint="default" w:ascii="仿宋" w:hAnsi="仿宋" w:eastAsia="仿宋" w:cs="仿宋_GB2312"/>
          <w:color w:val="000000" w:themeColor="text1"/>
          <w:sz w:val="32"/>
          <w:szCs w:val="32"/>
          <w:lang w:val="en-US" w:eastAsia="zh-CN"/>
        </w:rPr>
        <w:t>提升了城市</w:t>
      </w:r>
      <w:r>
        <w:rPr>
          <w:rFonts w:hint="eastAsia" w:ascii="仿宋" w:hAnsi="仿宋" w:eastAsia="仿宋" w:cs="仿宋_GB2312"/>
          <w:color w:val="000000" w:themeColor="text1"/>
          <w:sz w:val="32"/>
          <w:szCs w:val="32"/>
          <w:lang w:val="en-US" w:eastAsia="zh-CN"/>
        </w:rPr>
        <w:t>容貌</w:t>
      </w:r>
      <w:r>
        <w:rPr>
          <w:rFonts w:hint="default" w:ascii="仿宋" w:hAnsi="仿宋" w:eastAsia="仿宋" w:cs="仿宋_GB2312"/>
          <w:color w:val="000000" w:themeColor="text1"/>
          <w:sz w:val="32"/>
          <w:szCs w:val="32"/>
          <w:lang w:val="en-US" w:eastAsia="zh-CN"/>
        </w:rPr>
        <w:t>，改善了城市环境</w:t>
      </w:r>
      <w:r>
        <w:rPr>
          <w:rFonts w:hint="eastAsia" w:ascii="仿宋" w:hAnsi="仿宋" w:eastAsia="仿宋" w:cs="仿宋_GB2312"/>
          <w:color w:val="000000" w:themeColor="text1"/>
          <w:sz w:val="32"/>
          <w:szCs w:val="32"/>
          <w:lang w:val="en-US" w:eastAsia="zh-CN"/>
        </w:rPr>
        <w:t>，评分2</w:t>
      </w:r>
      <w:r>
        <w:rPr>
          <w:rFonts w:hint="default" w:ascii="仿宋" w:hAnsi="仿宋" w:eastAsia="仿宋" w:cs="仿宋_GB2312"/>
          <w:color w:val="000000" w:themeColor="text1"/>
          <w:sz w:val="32"/>
          <w:szCs w:val="32"/>
          <w:lang w:val="en-US" w:eastAsia="zh-CN"/>
        </w:rPr>
        <w:t>0</w:t>
      </w:r>
      <w:r>
        <w:rPr>
          <w:rFonts w:hint="eastAsia" w:ascii="仿宋" w:hAnsi="仿宋" w:eastAsia="仿宋" w:cs="仿宋_GB2312"/>
          <w:color w:val="000000" w:themeColor="text1"/>
          <w:sz w:val="32"/>
          <w:szCs w:val="32"/>
          <w:lang w:val="en-US" w:eastAsia="zh-CN"/>
        </w:rPr>
        <w:t>分。</w:t>
      </w:r>
    </w:p>
    <w:p w14:paraId="3EECA177">
      <w:pPr>
        <w:spacing w:line="560" w:lineRule="exact"/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四、评价结论和评价等级</w:t>
      </w:r>
    </w:p>
    <w:p w14:paraId="31750B46">
      <w:pPr>
        <w:adjustRightInd w:val="0"/>
        <w:snapToGrid w:val="0"/>
        <w:spacing w:line="580" w:lineRule="exact"/>
        <w:ind w:firstLine="640" w:firstLineChars="200"/>
        <w:rPr>
          <w:rFonts w:hint="eastAsia" w:ascii="仿宋" w:hAnsi="仿宋" w:eastAsia="仿宋" w:cs="仿宋_GB2312"/>
          <w:color w:val="000000" w:themeColor="text1"/>
          <w:sz w:val="32"/>
          <w:szCs w:val="32"/>
          <w:lang w:eastAsia="zh-CN"/>
        </w:rPr>
      </w:pPr>
      <w:r>
        <w:rPr>
          <w:rFonts w:hint="eastAsia" w:ascii="仿宋" w:hAnsi="仿宋" w:eastAsia="仿宋" w:cs="仿宋_GB2312"/>
          <w:color w:val="000000" w:themeColor="text1"/>
          <w:sz w:val="32"/>
          <w:szCs w:val="32"/>
        </w:rPr>
        <w:t>根据预算绩效管理要求，本部门组织对</w:t>
      </w:r>
      <w:r>
        <w:rPr>
          <w:rFonts w:ascii="仿宋" w:hAnsi="仿宋" w:eastAsia="仿宋" w:cs="仿宋_GB2312"/>
          <w:color w:val="000000" w:themeColor="text1"/>
          <w:sz w:val="32"/>
          <w:szCs w:val="32"/>
        </w:rPr>
        <w:t>202</w:t>
      </w:r>
      <w:r>
        <w:rPr>
          <w:rFonts w:hint="eastAsia" w:ascii="仿宋" w:hAnsi="仿宋" w:eastAsia="仿宋" w:cs="仿宋_GB2312"/>
          <w:color w:val="000000" w:themeColor="text1"/>
          <w:sz w:val="32"/>
          <w:szCs w:val="32"/>
          <w:lang w:val="en-US" w:eastAsia="zh-CN"/>
        </w:rPr>
        <w:t>4</w:t>
      </w:r>
      <w:r>
        <w:rPr>
          <w:rFonts w:hint="eastAsia" w:ascii="仿宋" w:hAnsi="仿宋" w:eastAsia="仿宋" w:cs="仿宋_GB2312"/>
          <w:color w:val="000000" w:themeColor="text1"/>
          <w:sz w:val="32"/>
          <w:szCs w:val="32"/>
        </w:rPr>
        <w:t>年度预算项目全面开展绩效自评。其中，</w:t>
      </w:r>
      <w:r>
        <w:rPr>
          <w:rFonts w:hint="eastAsia" w:ascii="仿宋" w:hAnsi="仿宋" w:eastAsia="仿宋" w:cs="仿宋_GB2312"/>
          <w:color w:val="000000" w:themeColor="text1"/>
          <w:sz w:val="32"/>
          <w:szCs w:val="32"/>
          <w:lang w:val="en-US" w:eastAsia="zh-CN"/>
        </w:rPr>
        <w:t>89</w:t>
      </w:r>
      <w:r>
        <w:rPr>
          <w:rFonts w:hint="eastAsia" w:ascii="仿宋" w:hAnsi="仿宋" w:eastAsia="仿宋" w:cs="仿宋_GB2312"/>
          <w:color w:val="000000" w:themeColor="text1"/>
          <w:sz w:val="32"/>
          <w:szCs w:val="32"/>
        </w:rPr>
        <w:t>个项目评分优秀</w:t>
      </w:r>
      <w:r>
        <w:rPr>
          <w:rFonts w:hint="eastAsia" w:ascii="仿宋" w:hAnsi="仿宋" w:eastAsia="仿宋" w:cs="仿宋_GB2312"/>
          <w:color w:val="000000" w:themeColor="text1"/>
          <w:sz w:val="32"/>
          <w:szCs w:val="32"/>
          <w:lang w:eastAsia="zh-CN"/>
        </w:rPr>
        <w:t>。</w:t>
      </w:r>
    </w:p>
    <w:p w14:paraId="3F99EFE5">
      <w:pPr>
        <w:spacing w:line="560" w:lineRule="exact"/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五、存在的问题及改进措施</w:t>
      </w:r>
    </w:p>
    <w:p w14:paraId="51A0DF92">
      <w:pPr>
        <w:spacing w:line="560" w:lineRule="exact"/>
        <w:ind w:firstLine="643" w:firstLineChars="200"/>
        <w:rPr>
          <w:rFonts w:ascii="仿宋" w:hAnsi="仿宋" w:eastAsia="仿宋"/>
          <w:b/>
          <w:bCs/>
          <w:color w:val="000000" w:themeColor="text1"/>
          <w:sz w:val="32"/>
          <w:szCs w:val="32"/>
        </w:rPr>
      </w:pPr>
      <w:r>
        <w:rPr>
          <w:rFonts w:hint="eastAsia" w:ascii="仿宋" w:hAnsi="仿宋" w:eastAsia="仿宋"/>
          <w:b/>
          <w:bCs/>
          <w:color w:val="000000" w:themeColor="text1"/>
          <w:sz w:val="32"/>
          <w:szCs w:val="32"/>
        </w:rPr>
        <w:t>（一）存在的主要问题</w:t>
      </w:r>
    </w:p>
    <w:p w14:paraId="0775128A">
      <w:pPr>
        <w:spacing w:line="560" w:lineRule="exact"/>
        <w:ind w:firstLine="640" w:firstLineChars="200"/>
        <w:rPr>
          <w:rFonts w:hint="default" w:ascii="仿宋" w:hAnsi="仿宋" w:eastAsia="仿宋"/>
          <w:b/>
          <w:bCs/>
          <w:color w:val="000000" w:themeColor="text1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color w:val="000000" w:themeColor="text1"/>
          <w:sz w:val="32"/>
          <w:szCs w:val="32"/>
          <w:lang w:val="en-US" w:eastAsia="zh-CN"/>
        </w:rPr>
        <w:t>管护范围广，任务重，财政经费拨付不及时。</w:t>
      </w:r>
      <w:bookmarkStart w:id="0" w:name="_GoBack"/>
      <w:bookmarkEnd w:id="0"/>
    </w:p>
    <w:p w14:paraId="586C1749">
      <w:pPr>
        <w:numPr>
          <w:ilvl w:val="0"/>
          <w:numId w:val="4"/>
        </w:numPr>
        <w:spacing w:line="560" w:lineRule="exact"/>
        <w:ind w:firstLine="643" w:firstLineChars="200"/>
        <w:rPr>
          <w:rFonts w:ascii="仿宋" w:hAnsi="仿宋" w:eastAsia="仿宋"/>
          <w:b/>
          <w:bCs/>
          <w:color w:val="000000" w:themeColor="text1"/>
          <w:sz w:val="32"/>
          <w:szCs w:val="32"/>
        </w:rPr>
      </w:pPr>
      <w:r>
        <w:rPr>
          <w:rFonts w:hint="eastAsia" w:ascii="仿宋" w:hAnsi="仿宋" w:eastAsia="仿宋"/>
          <w:b/>
          <w:bCs/>
          <w:color w:val="000000" w:themeColor="text1"/>
          <w:sz w:val="32"/>
          <w:szCs w:val="32"/>
        </w:rPr>
        <w:t>针对问题提出具体的改进措施或建议</w:t>
      </w:r>
    </w:p>
    <w:p w14:paraId="610BE6F4">
      <w:pPr>
        <w:spacing w:line="560" w:lineRule="exact"/>
        <w:ind w:firstLine="643" w:firstLineChars="200"/>
        <w:rPr>
          <w:rFonts w:ascii="仿宋" w:hAnsi="仿宋" w:eastAsia="仿宋"/>
          <w:color w:val="000000" w:themeColor="text1"/>
          <w:sz w:val="32"/>
          <w:szCs w:val="32"/>
        </w:rPr>
      </w:pPr>
      <w:r>
        <w:rPr>
          <w:rFonts w:hint="eastAsia" w:ascii="仿宋" w:hAnsi="仿宋" w:eastAsia="仿宋"/>
          <w:b/>
          <w:bCs/>
          <w:color w:val="000000" w:themeColor="text1"/>
          <w:sz w:val="32"/>
          <w:szCs w:val="32"/>
        </w:rPr>
        <w:t xml:space="preserve">  </w:t>
      </w:r>
      <w:r>
        <w:rPr>
          <w:rFonts w:hint="eastAsia" w:ascii="仿宋" w:hAnsi="仿宋" w:eastAsia="仿宋"/>
          <w:color w:val="000000" w:themeColor="text1"/>
          <w:sz w:val="32"/>
          <w:szCs w:val="32"/>
        </w:rPr>
        <w:t>按规定合理安排资金使用，项目谋划要客观实际，确保能够实施。</w:t>
      </w:r>
    </w:p>
    <w:p w14:paraId="38BDB8B1">
      <w:pPr>
        <w:spacing w:line="560" w:lineRule="exact"/>
        <w:rPr>
          <w:rFonts w:ascii="仿宋" w:hAnsi="仿宋" w:eastAsia="仿宋"/>
        </w:rPr>
      </w:pPr>
    </w:p>
    <w:sectPr>
      <w:footerReference r:id="rId3" w:type="default"/>
      <w:pgSz w:w="11906" w:h="16838"/>
      <w:pgMar w:top="1440" w:right="1474" w:bottom="1440" w:left="1587" w:header="851" w:footer="992" w:gutter="0"/>
      <w:pgNumType w:fmt="numberInDash"/>
      <w:cols w:space="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仿宋_GBK">
    <w:altName w:val="宋体"/>
    <w:panose1 w:val="00000000000000000000"/>
    <w:charset w:val="86"/>
    <w:family w:val="roman"/>
    <w:pitch w:val="default"/>
    <w:sig w:usb0="00000000" w:usb1="00000000" w:usb2="00000000" w:usb3="00000000" w:csb0="00000000" w:csb1="00000000"/>
  </w:font>
  <w:font w:name="华文楷体">
    <w:altName w:val="楷体_GB2312"/>
    <w:panose1 w:val="02010600040101010101"/>
    <w:charset w:val="86"/>
    <w:family w:val="auto"/>
    <w:pitch w:val="default"/>
    <w:sig w:usb0="00000000" w:usb1="00000000" w:usb2="00000000" w:usb3="00000000" w:csb0="0004009F" w:csb1="DFD7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_GBK">
    <w:altName w:val="微软雅黑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Arial Unicode MS">
    <w:altName w:val="Arial"/>
    <w:panose1 w:val="00000000000000000000"/>
    <w:charset w:val="00"/>
    <w:family w:val="auto"/>
    <w:pitch w:val="default"/>
    <w:sig w:usb0="00000000" w:usb1="00000000" w:usb2="00000000" w:usb3="00000000" w:csb0="0000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90EB74F">
    <w:pPr>
      <w:pStyle w:val="2"/>
    </w:pPr>
    <w:r>
      <w:pict>
        <v:shape id="Quad Arrow 3073" o:spid="_x0000_s3073" o:spt="202" type="#_x0000_t202" style="position:absolute;left:0pt;margin-top:0pt;height:144pt;width:144pt;mso-position-horizontal:center;mso-position-horizontal-relative:margin;mso-wrap-style:none;z-index:251659264;mso-width-relative:page;mso-height-relative:page;" filled="f" o:preferrelative="t" stroked="f" coordsize="21600,21600">
          <v:path/>
          <v:fill on="f" focussize="0,0"/>
          <v:stroke on="f" joinstyle="miter"/>
          <v:imagedata o:title=""/>
          <o:lock v:ext="edit"/>
          <v:textbox inset="0mm,0mm,0mm,0mm" style="mso-fit-shape-to-text:t;">
            <w:txbxContent>
              <w:p w14:paraId="55329855">
                <w:pPr>
                  <w:snapToGrid w:val="0"/>
                  <w:rPr>
                    <w:sz w:val="18"/>
                  </w:rPr>
                </w:pPr>
                <w:r>
                  <w:rPr>
                    <w:rFonts w:hint="eastAsia"/>
                    <w:sz w:val="18"/>
                  </w:rPr>
                  <w:fldChar w:fldCharType="begin"/>
                </w:r>
                <w:r>
                  <w:rPr>
                    <w:rFonts w:hint="eastAsia"/>
                    <w:sz w:val="18"/>
                  </w:rPr>
                  <w:instrText xml:space="preserve"> PAGE  \* MERGEFORMAT </w:instrText>
                </w:r>
                <w:r>
                  <w:rPr>
                    <w:rFonts w:hint="eastAsia"/>
                    <w:sz w:val="18"/>
                  </w:rPr>
                  <w:fldChar w:fldCharType="separate"/>
                </w:r>
                <w:r>
                  <w:t>- 1 -</w:t>
                </w:r>
                <w:r>
                  <w:rPr>
                    <w:rFonts w:hint="eastAsia"/>
                    <w:sz w:val="18"/>
                  </w:rPr>
                  <w:fldChar w:fldCharType="end"/>
                </w:r>
              </w:p>
            </w:txbxContent>
          </v:textbox>
        </v:shape>
      </w:pic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C93E805F"/>
    <w:multiLevelType w:val="singleLevel"/>
    <w:tmpl w:val="C93E805F"/>
    <w:lvl w:ilvl="0" w:tentative="0">
      <w:start w:val="2"/>
      <w:numFmt w:val="chineseCounting"/>
      <w:suff w:val="nothing"/>
      <w:lvlText w:val="（%1）"/>
      <w:lvlJc w:val="left"/>
      <w:rPr>
        <w:rFonts w:hint="eastAsia"/>
      </w:rPr>
    </w:lvl>
  </w:abstractNum>
  <w:abstractNum w:abstractNumId="1">
    <w:nsid w:val="D15B60DA"/>
    <w:multiLevelType w:val="singleLevel"/>
    <w:tmpl w:val="D15B60DA"/>
    <w:lvl w:ilvl="0" w:tentative="0">
      <w:start w:val="1"/>
      <w:numFmt w:val="decimal"/>
      <w:suff w:val="nothing"/>
      <w:lvlText w:val="%1、"/>
      <w:lvlJc w:val="left"/>
    </w:lvl>
  </w:abstractNum>
  <w:abstractNum w:abstractNumId="2">
    <w:nsid w:val="F21077E1"/>
    <w:multiLevelType w:val="singleLevel"/>
    <w:tmpl w:val="F21077E1"/>
    <w:lvl w:ilvl="0" w:tentative="0">
      <w:start w:val="2"/>
      <w:numFmt w:val="chineseCounting"/>
      <w:suff w:val="nothing"/>
      <w:lvlText w:val="%1、"/>
      <w:lvlJc w:val="left"/>
      <w:rPr>
        <w:rFonts w:hint="eastAsia"/>
      </w:rPr>
    </w:lvl>
  </w:abstractNum>
  <w:abstractNum w:abstractNumId="3">
    <w:nsid w:val="0516AA81"/>
    <w:multiLevelType w:val="singleLevel"/>
    <w:tmpl w:val="0516AA81"/>
    <w:lvl w:ilvl="0" w:tentative="0">
      <w:start w:val="2"/>
      <w:numFmt w:val="chineseCounting"/>
      <w:suff w:val="nothing"/>
      <w:lvlText w:val="（%1）"/>
      <w:lvlJc w:val="left"/>
      <w:pPr>
        <w:ind w:left="642" w:firstLine="0"/>
      </w:pPr>
      <w:rPr>
        <w:rFonts w:hint="eastAsia"/>
      </w:rPr>
    </w:lvl>
  </w:abstractNum>
  <w:abstractNum w:abstractNumId="4">
    <w:nsid w:val="5D135AAC"/>
    <w:multiLevelType w:val="multilevel"/>
    <w:tmpl w:val="5D135AAC"/>
    <w:lvl w:ilvl="0" w:tentative="0">
      <w:start w:val="6"/>
      <w:numFmt w:val="decimal"/>
      <w:lvlText w:val="%1、"/>
      <w:lvlJc w:val="left"/>
      <w:pPr>
        <w:ind w:left="1360" w:hanging="720"/>
      </w:pPr>
      <w:rPr>
        <w:rFonts w:hint="default"/>
        <w:sz w:val="32"/>
      </w:rPr>
    </w:lvl>
    <w:lvl w:ilvl="1" w:tentative="0">
      <w:start w:val="1"/>
      <w:numFmt w:val="lowerLetter"/>
      <w:lvlText w:val="%2)"/>
      <w:lvlJc w:val="left"/>
      <w:pPr>
        <w:ind w:left="1480" w:hanging="420"/>
      </w:pPr>
    </w:lvl>
    <w:lvl w:ilvl="2" w:tentative="0">
      <w:start w:val="1"/>
      <w:numFmt w:val="lowerRoman"/>
      <w:lvlText w:val="%3."/>
      <w:lvlJc w:val="right"/>
      <w:pPr>
        <w:ind w:left="1900" w:hanging="420"/>
      </w:pPr>
    </w:lvl>
    <w:lvl w:ilvl="3" w:tentative="0">
      <w:start w:val="1"/>
      <w:numFmt w:val="decimal"/>
      <w:lvlText w:val="%4."/>
      <w:lvlJc w:val="left"/>
      <w:pPr>
        <w:ind w:left="2320" w:hanging="420"/>
      </w:pPr>
    </w:lvl>
    <w:lvl w:ilvl="4" w:tentative="0">
      <w:start w:val="1"/>
      <w:numFmt w:val="lowerLetter"/>
      <w:lvlText w:val="%5)"/>
      <w:lvlJc w:val="left"/>
      <w:pPr>
        <w:ind w:left="2740" w:hanging="420"/>
      </w:pPr>
    </w:lvl>
    <w:lvl w:ilvl="5" w:tentative="0">
      <w:start w:val="1"/>
      <w:numFmt w:val="lowerRoman"/>
      <w:lvlText w:val="%6."/>
      <w:lvlJc w:val="right"/>
      <w:pPr>
        <w:ind w:left="3160" w:hanging="420"/>
      </w:pPr>
    </w:lvl>
    <w:lvl w:ilvl="6" w:tentative="0">
      <w:start w:val="1"/>
      <w:numFmt w:val="decimal"/>
      <w:lvlText w:val="%7."/>
      <w:lvlJc w:val="left"/>
      <w:pPr>
        <w:ind w:left="3580" w:hanging="420"/>
      </w:pPr>
    </w:lvl>
    <w:lvl w:ilvl="7" w:tentative="0">
      <w:start w:val="1"/>
      <w:numFmt w:val="lowerLetter"/>
      <w:lvlText w:val="%8)"/>
      <w:lvlJc w:val="left"/>
      <w:pPr>
        <w:ind w:left="4000" w:hanging="420"/>
      </w:pPr>
    </w:lvl>
    <w:lvl w:ilvl="8" w:tentative="0">
      <w:start w:val="1"/>
      <w:numFmt w:val="lowerRoman"/>
      <w:lvlText w:val="%9."/>
      <w:lvlJc w:val="right"/>
      <w:pPr>
        <w:ind w:left="4420" w:hanging="420"/>
      </w:pPr>
    </w:lvl>
  </w:abstractNum>
  <w:abstractNum w:abstractNumId="5">
    <w:nsid w:val="5E68489B"/>
    <w:multiLevelType w:val="singleLevel"/>
    <w:tmpl w:val="5E68489B"/>
    <w:lvl w:ilvl="0" w:tentative="0">
      <w:start w:val="1"/>
      <w:numFmt w:val="chineseCounting"/>
      <w:suff w:val="nothing"/>
      <w:lvlText w:val="（%1）"/>
      <w:lvlJc w:val="left"/>
      <w:rPr>
        <w:rFonts w:ascii="楷体" w:hAnsi="楷体" w:eastAsia="楷体"/>
      </w:rPr>
    </w:lvl>
  </w:abstractNum>
  <w:num w:numId="1">
    <w:abstractNumId w:val="4"/>
  </w:num>
  <w:num w:numId="2">
    <w:abstractNumId w:val="0"/>
  </w:num>
  <w:num w:numId="3">
    <w:abstractNumId w:val="3"/>
  </w:num>
  <w:num w:numId="4">
    <w:abstractNumId w:val="5"/>
  </w:num>
  <w:num w:numId="5">
    <w:abstractNumId w:val="1"/>
  </w:num>
  <w:num w:numId="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NotTrackMoves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hdrShapeDefaults>
    <o:shapelayout v:ext="edit">
      <o:idmap v:ext="edit" data="1,3"/>
    </o:shapelayout>
  </w:hdrShapeDefaults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docVars>
    <w:docVar w:name="commondata" w:val="eyJoZGlkIjoiMzRkYmQ4Y2I3YzlkODVjYTM3N2MwNDFhZmYzNzk5M2MifQ=="/>
  </w:docVars>
  <w:rsids>
    <w:rsidRoot w:val="0EBD2122"/>
    <w:rsid w:val="000B0260"/>
    <w:rsid w:val="001B713F"/>
    <w:rsid w:val="00376610"/>
    <w:rsid w:val="007E6C1F"/>
    <w:rsid w:val="008E3731"/>
    <w:rsid w:val="00956A93"/>
    <w:rsid w:val="009E575C"/>
    <w:rsid w:val="009F674E"/>
    <w:rsid w:val="00AF167E"/>
    <w:rsid w:val="00AF566A"/>
    <w:rsid w:val="00B478EA"/>
    <w:rsid w:val="00B6553A"/>
    <w:rsid w:val="00BC6576"/>
    <w:rsid w:val="00C66976"/>
    <w:rsid w:val="00CE06BA"/>
    <w:rsid w:val="00F441CC"/>
    <w:rsid w:val="01B104CA"/>
    <w:rsid w:val="02106AB0"/>
    <w:rsid w:val="02B43A28"/>
    <w:rsid w:val="032F33E0"/>
    <w:rsid w:val="046F331E"/>
    <w:rsid w:val="07956271"/>
    <w:rsid w:val="07DB0C2F"/>
    <w:rsid w:val="09721397"/>
    <w:rsid w:val="09D65194"/>
    <w:rsid w:val="0A502410"/>
    <w:rsid w:val="0BB63BED"/>
    <w:rsid w:val="0EB97A43"/>
    <w:rsid w:val="0EBD2122"/>
    <w:rsid w:val="0F214EAE"/>
    <w:rsid w:val="0F307AB2"/>
    <w:rsid w:val="0FB20498"/>
    <w:rsid w:val="11B71E6A"/>
    <w:rsid w:val="12B04A66"/>
    <w:rsid w:val="14B477BB"/>
    <w:rsid w:val="154D47EE"/>
    <w:rsid w:val="15F436F3"/>
    <w:rsid w:val="16827539"/>
    <w:rsid w:val="1AAF0063"/>
    <w:rsid w:val="1BE140DE"/>
    <w:rsid w:val="20663F27"/>
    <w:rsid w:val="23D53A3E"/>
    <w:rsid w:val="248C197D"/>
    <w:rsid w:val="24ED5261"/>
    <w:rsid w:val="252959AF"/>
    <w:rsid w:val="253D613F"/>
    <w:rsid w:val="26DF3749"/>
    <w:rsid w:val="277A6671"/>
    <w:rsid w:val="292D35B7"/>
    <w:rsid w:val="2B5841C1"/>
    <w:rsid w:val="2C78619D"/>
    <w:rsid w:val="31E25EB7"/>
    <w:rsid w:val="32817910"/>
    <w:rsid w:val="33EB6CFF"/>
    <w:rsid w:val="35A12947"/>
    <w:rsid w:val="37387040"/>
    <w:rsid w:val="39885D54"/>
    <w:rsid w:val="3B625C0A"/>
    <w:rsid w:val="3CEE1963"/>
    <w:rsid w:val="3E133F77"/>
    <w:rsid w:val="3EC66A11"/>
    <w:rsid w:val="4050780D"/>
    <w:rsid w:val="436B78D3"/>
    <w:rsid w:val="4528442B"/>
    <w:rsid w:val="4C9C27FE"/>
    <w:rsid w:val="4DB17CEC"/>
    <w:rsid w:val="4F9227B6"/>
    <w:rsid w:val="512260B4"/>
    <w:rsid w:val="52BD6ACB"/>
    <w:rsid w:val="53990017"/>
    <w:rsid w:val="5402441A"/>
    <w:rsid w:val="55537534"/>
    <w:rsid w:val="561A74F1"/>
    <w:rsid w:val="56FC2C3A"/>
    <w:rsid w:val="597244E8"/>
    <w:rsid w:val="5EB71C30"/>
    <w:rsid w:val="660E03D6"/>
    <w:rsid w:val="66AF0CE5"/>
    <w:rsid w:val="689153B2"/>
    <w:rsid w:val="6AC537CF"/>
    <w:rsid w:val="6BC50D8F"/>
    <w:rsid w:val="6C8477D1"/>
    <w:rsid w:val="6DCF5D84"/>
    <w:rsid w:val="6E5B14A6"/>
    <w:rsid w:val="6FB16FC8"/>
    <w:rsid w:val="711B255E"/>
    <w:rsid w:val="72B56320"/>
    <w:rsid w:val="76064FB4"/>
    <w:rsid w:val="773A4B0C"/>
    <w:rsid w:val="798731C9"/>
    <w:rsid w:val="79A8007C"/>
    <w:rsid w:val="7BB51E06"/>
    <w:rsid w:val="7C387F7C"/>
    <w:rsid w:val="7FE83423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黑体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rFonts w:ascii="Times New Roman" w:hAnsi="Times New Roman"/>
      <w:sz w:val="18"/>
    </w:rPr>
  </w:style>
  <w:style w:type="character" w:customStyle="1" w:styleId="6">
    <w:name w:val="font41"/>
    <w:basedOn w:val="5"/>
    <w:qFormat/>
    <w:uiPriority w:val="0"/>
    <w:rPr>
      <w:rFonts w:ascii="Calibri" w:hAnsi="Calibri" w:cs="Calibri"/>
      <w:color w:val="000000"/>
      <w:sz w:val="20"/>
      <w:szCs w:val="20"/>
      <w:u w:val="none"/>
    </w:rPr>
  </w:style>
  <w:style w:type="character" w:customStyle="1" w:styleId="7">
    <w:name w:val="font31"/>
    <w:basedOn w:val="5"/>
    <w:qFormat/>
    <w:uiPriority w:val="0"/>
    <w:rPr>
      <w:rFonts w:hint="eastAsia" w:ascii="宋体" w:hAnsi="宋体" w:eastAsia="宋体" w:cs="宋体"/>
      <w:color w:val="000000"/>
      <w:sz w:val="20"/>
      <w:szCs w:val="20"/>
      <w:u w:val="none"/>
    </w:rPr>
  </w:style>
  <w:style w:type="character" w:customStyle="1" w:styleId="8">
    <w:name w:val="font21"/>
    <w:basedOn w:val="5"/>
    <w:uiPriority w:val="0"/>
    <w:rPr>
      <w:rFonts w:ascii="Calibri" w:hAnsi="Calibri" w:cs="Calibri"/>
      <w:color w:val="000000"/>
      <w:sz w:val="16"/>
      <w:szCs w:val="16"/>
      <w:u w:val="none"/>
    </w:rPr>
  </w:style>
  <w:style w:type="character" w:customStyle="1" w:styleId="9">
    <w:name w:val="font11"/>
    <w:basedOn w:val="5"/>
    <w:qFormat/>
    <w:uiPriority w:val="0"/>
    <w:rPr>
      <w:rFonts w:hint="eastAsia" w:ascii="宋体" w:hAnsi="宋体" w:eastAsia="宋体" w:cs="宋体"/>
      <w:color w:val="000000"/>
      <w:sz w:val="16"/>
      <w:szCs w:val="16"/>
      <w:u w:val="none"/>
    </w:rPr>
  </w:style>
  <w:style w:type="paragraph" w:customStyle="1" w:styleId="10">
    <w:name w:val="插入文本样式-插入总体目标文件"/>
    <w:basedOn w:val="1"/>
    <w:qFormat/>
    <w:uiPriority w:val="0"/>
    <w:pPr>
      <w:spacing w:line="500" w:lineRule="exact"/>
      <w:ind w:firstLine="560"/>
    </w:pPr>
    <w:rPr>
      <w:rFonts w:eastAsia="方正仿宋_GBK"/>
      <w:sz w:val="28"/>
    </w:rPr>
  </w:style>
  <w:style w:type="paragraph" w:customStyle="1" w:styleId="11">
    <w:name w:val="插入文本样式-插入职责分类绩效目标文件"/>
    <w:basedOn w:val="1"/>
    <w:qFormat/>
    <w:uiPriority w:val="0"/>
    <w:pPr>
      <w:spacing w:line="500" w:lineRule="exact"/>
      <w:ind w:firstLine="560"/>
    </w:pPr>
    <w:rPr>
      <w:rFonts w:eastAsia="方正仿宋_GBK"/>
      <w:sz w:val="2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Tahoma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Tahoma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3073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9</Pages>
  <Words>897</Words>
  <Characters>911</Characters>
  <Lines>4</Lines>
  <Paragraphs>1</Paragraphs>
  <TotalTime>9</TotalTime>
  <ScaleCrop>false</ScaleCrop>
  <LinksUpToDate>false</LinksUpToDate>
  <CharactersWithSpaces>920</CharactersWithSpaces>
  <Application>WPS Office_12.1.0.20784_F1E327BC-269C-435d-A152-05C5408002CA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2020-02-04T03:46:00Z</dcterms:created>
  <dc:creator>欣欣大人</dc:creator>
  <cp:lastModifiedBy>Administrator</cp:lastModifiedBy>
  <cp:lastPrinted>2024-03-06T07:40:00Z</cp:lastPrinted>
  <dcterms:modified xsi:type="dcterms:W3CDTF">2025-05-15T07:56:36Z</dcterms:modified>
  <dc:title>附件3：</dc:title>
  <cp:revision>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2052-12.1.0.20784</vt:lpwstr>
  </property>
  <property fmtid="{D5CDD505-2E9C-101B-9397-08002B2CF9AE}" pid="3" name="ICV">
    <vt:lpwstr>96934721B1514D3FBAA28020338CE855_12</vt:lpwstr>
  </property>
  <property fmtid="{D5CDD505-2E9C-101B-9397-08002B2CF9AE}" pid="4" name="KSOTemplateDocerSaveRecord">
    <vt:lpwstr>eyJoZGlkIjoiMmZiYzE4Mjg0ZDA0OTEzZTkyNmQ4NTBmNmM0NDk3MzMifQ==</vt:lpwstr>
  </property>
</Properties>
</file>