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  <w:bookmarkStart w:id="0" w:name="_GoBack"/>
      <w:bookmarkEnd w:id="0"/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石家庄市生态环境局鹿泉区分局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石家庄市生态环境局鹿泉区分局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部门职责：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（一）贯彻执行国家和省市环境保护方针、政策、法律、法规；拟定本区环境保护法规实施细则和办法，并组织实施；协同有关部门制订全区与环境保护相关的经济、技术、资源配置和产业政策。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（二）制定环境保护规划和污染源治理计划，并监督实施；参与制定全区经济和社会发展中长期规划、国土规划和区域开发规划。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（三）负责监督全区大气、水体、土壤、固体废弃物、噪声振动、有毒化学品、机动车等污染防治工作。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（四）监督全区对生态环境有影响的自然资源开发利用活动。重要生态环境建设和生态破坏恢复工作；参与自然资源核算工作。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（五）制定并组织实施各项环境管理制度；按有关规定审核开发建设项目环境影响报告书（表）；指导乡镇企业污染防治和城乡环境综合整治。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（六）组织拟定全区环境保护科技政策、发展规划；组织环境保护科技发展、科学研究和技术示范工程；管理全区环境管理体系和环境标志认证；监督管理环境保护产业市场，指导和推动环境保护产业发展。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（七）负责全区环境监测、统计、信息工作；组织对全区环境质量监测和污染源监督性监测；组织、指导和协调环境保护宣传教育和新闻报道工作；推动公众和非政府组织参与环境保护。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（八）负责辐射环境、放射性废物管理工作，对电磁辐射、核技术应用、伴有放射性矿产资源开发利用中的污染防治工作实施统一管理。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 xml:space="preserve">（九）办理人大、政协有关环保的议案、提案，接待群众来信来访，调查处理环境污染纠纷和事故；参与调查处理环境污染的违法犯罪案件，协调处理环境污染纠纷。    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（十）负责局机关及直属单位机构编制、劳动工资和人事管理工作。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（十一）承办区政府交办的其他事项。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我单位机构性质：机关（派出机构）。截止202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年12月31日，单位编制66人。实有人数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49</w:t>
      </w:r>
      <w:r>
        <w:rPr>
          <w:rFonts w:hint="eastAsia" w:ascii="仿宋" w:hAnsi="仿宋" w:eastAsia="仿宋"/>
          <w:sz w:val="32"/>
          <w:szCs w:val="32"/>
          <w:lang w:eastAsia="zh-CN"/>
        </w:rPr>
        <w:t>人，其中行政人员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lang w:eastAsia="zh-CN"/>
        </w:rPr>
        <w:t>人、非参公事业人员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43</w:t>
      </w:r>
      <w:r>
        <w:rPr>
          <w:rFonts w:hint="eastAsia" w:ascii="仿宋" w:hAnsi="仿宋" w:eastAsia="仿宋"/>
          <w:sz w:val="32"/>
          <w:szCs w:val="32"/>
          <w:lang w:eastAsia="zh-CN"/>
        </w:rPr>
        <w:t>人。劳务派遣人员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109</w:t>
      </w:r>
      <w:r>
        <w:rPr>
          <w:rFonts w:hint="eastAsia" w:ascii="仿宋" w:hAnsi="仿宋" w:eastAsia="仿宋"/>
          <w:sz w:val="32"/>
          <w:szCs w:val="32"/>
          <w:lang w:eastAsia="zh-CN"/>
        </w:rPr>
        <w:t>人，退休人员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33</w:t>
      </w:r>
      <w:r>
        <w:rPr>
          <w:rFonts w:hint="eastAsia" w:ascii="仿宋" w:hAnsi="仿宋" w:eastAsia="仿宋"/>
          <w:sz w:val="32"/>
          <w:szCs w:val="32"/>
          <w:lang w:eastAsia="zh-CN"/>
        </w:rPr>
        <w:t>人。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年预算收入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15636.12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万元，其中：一般公共预算收入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2684.81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万元，基金预算收入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5818.68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万元，上年结转结余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7132.63</w:t>
      </w:r>
      <w:r>
        <w:rPr>
          <w:rFonts w:hint="eastAsia" w:ascii="仿宋" w:hAnsi="仿宋" w:eastAsia="仿宋"/>
          <w:sz w:val="32"/>
          <w:szCs w:val="32"/>
          <w:lang w:eastAsia="zh-CN"/>
        </w:rPr>
        <w:t>万元。202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年部门支出预算为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15636.12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万元，其中基本支出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938.64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万元，包括人员经费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415.12</w:t>
      </w:r>
      <w:r>
        <w:rPr>
          <w:rFonts w:hint="eastAsia" w:ascii="仿宋" w:hAnsi="仿宋" w:eastAsia="仿宋"/>
          <w:sz w:val="32"/>
          <w:szCs w:val="32"/>
          <w:lang w:eastAsia="zh-CN"/>
        </w:rPr>
        <w:t>万元和日常公用经费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523.51</w:t>
      </w:r>
      <w:r>
        <w:rPr>
          <w:rFonts w:hint="eastAsia" w:ascii="仿宋" w:hAnsi="仿宋" w:eastAsia="仿宋"/>
          <w:sz w:val="32"/>
          <w:szCs w:val="32"/>
          <w:lang w:eastAsia="zh-CN"/>
        </w:rPr>
        <w:t>万元；项目支出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7564.85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万元，上年结转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7132.63</w:t>
      </w:r>
      <w:r>
        <w:rPr>
          <w:rFonts w:hint="eastAsia" w:ascii="仿宋" w:hAnsi="仿宋" w:eastAsia="仿宋"/>
          <w:sz w:val="32"/>
          <w:szCs w:val="32"/>
          <w:lang w:eastAsia="zh-CN"/>
        </w:rPr>
        <w:t>万元。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年度决算收、支总计（含结转和结余）7122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  <w:lang w:eastAsia="zh-CN"/>
        </w:rPr>
        <w:t>336089万元。202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年度决算收入合计7122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  <w:lang w:eastAsia="zh-CN"/>
        </w:rPr>
        <w:t>290189万元，其中：财政拨款收入7122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  <w:lang w:eastAsia="zh-CN"/>
        </w:rPr>
        <w:t>290189万元。202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  <w:lang w:eastAsia="zh-CN"/>
        </w:rPr>
        <w:t>年度支出决算合计7122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  <w:lang w:eastAsia="zh-CN"/>
        </w:rPr>
        <w:t>290189万元，其中：基本支出895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  <w:lang w:eastAsia="zh-CN"/>
        </w:rPr>
        <w:t>647027万元；项目支出6226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/>
          <w:sz w:val="32"/>
          <w:szCs w:val="32"/>
          <w:lang w:eastAsia="zh-CN"/>
        </w:rPr>
        <w:t>643162万元。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坚持以习近平生态文明思想为指导，全面贯彻新发展理念，积极服务和融入新发展格局，牢牢把握减污降碳协同增效这一主线，坚持精准治污、科学治污、依法治污，深入打好污染防治攻坚战，完成上级下达的各项任务目标，实现生态环境治理体系和治理能力新进步、生态环境质量新提升，为建设经济强区、魅力鹿泉、生态宜居宜业宜游新城区作出新的更大贡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一是强化工业企业日常监管，严厉打击各类环境违法行为。二是加快推进智慧环保平台建设。三是严格落实各级环境保护支持措施。四是继续做好环境风险企业隐患排查工作，确保区域环境安全。五是着力打好重污染天气消除攻坚战。六是持续保障饮用水水源安全。七是</w:t>
      </w:r>
      <w:r>
        <w:rPr>
          <w:rFonts w:hint="eastAsia" w:ascii="仿宋" w:hAnsi="仿宋" w:eastAsia="仿宋"/>
          <w:sz w:val="32"/>
          <w:szCs w:val="32"/>
          <w:lang w:eastAsia="zh-CN"/>
        </w:rPr>
        <w:t>是积极做好应对气候变化、各类环境风险防控。八是重点抓好“三个严禁”、强化“三个管控”、推进结构减排。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严格落实《预算法》及省、市、县绩效管理工作的有关规定，通过开展部门整体支出绩效评价，促进部门整体预算绩效管理工作水平的提升，强化部门支出责任，规范资金管理行为，提高财政资金使用效益，保障部门更好地履行职责，促进政务服务事业的发展。</w:t>
      </w:r>
    </w:p>
    <w:p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outlineLvl w:val="9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我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分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局严格按照年初预算进行部门整体支出绩效自评，实行了先有预算、后有执行、“用钱必问效、无效必问责”的新常态。在支出过程中，严格遵守规章制度。项目支出制定了方案，严格按方案实施，并加强监督，完成目标任务。部门整体支出评价的内容包括产出、效益、满意度指标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我分局部门管理的预算项目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有64个。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预算执行项目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有49个，</w:t>
      </w:r>
      <w:r>
        <w:rPr>
          <w:rFonts w:hint="eastAsia" w:ascii="仿宋" w:hAnsi="仿宋" w:eastAsia="仿宋" w:cs="仿宋"/>
          <w:sz w:val="32"/>
          <w:szCs w:val="32"/>
        </w:rPr>
        <w:t>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的项目有47个；</w:t>
      </w:r>
      <w:r>
        <w:rPr>
          <w:rFonts w:hint="eastAsia" w:ascii="仿宋" w:hAnsi="仿宋" w:eastAsia="仿宋" w:cs="仿宋"/>
          <w:sz w:val="32"/>
          <w:szCs w:val="32"/>
        </w:rPr>
        <w:t>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完成良好的项目有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2个。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其中预算未执行项目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有15个。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产出指标</w:t>
      </w:r>
      <w:r>
        <w:rPr>
          <w:rFonts w:hint="eastAsia" w:ascii="仿宋" w:hAnsi="仿宋" w:eastAsia="仿宋"/>
          <w:sz w:val="32"/>
          <w:szCs w:val="32"/>
          <w:lang w:eastAsia="zh-CN"/>
        </w:rPr>
        <w:t>设定二级指标为职责履行，已按年度工作计划完成相关工作。一是数量指标，本年预算数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12991.372605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万元，实际执行数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6226.643162</w:t>
      </w:r>
      <w:r>
        <w:rPr>
          <w:rFonts w:hint="eastAsia" w:ascii="仿宋" w:hAnsi="仿宋" w:eastAsia="仿宋"/>
          <w:sz w:val="32"/>
          <w:szCs w:val="32"/>
          <w:lang w:eastAsia="zh-CN"/>
        </w:rPr>
        <w:t>万元，执行率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47.93</w:t>
      </w:r>
      <w:r>
        <w:rPr>
          <w:rFonts w:hint="eastAsia" w:ascii="仿宋" w:hAnsi="仿宋" w:eastAsia="仿宋"/>
          <w:sz w:val="32"/>
          <w:szCs w:val="32"/>
          <w:lang w:eastAsia="zh-CN"/>
        </w:rPr>
        <w:t>%；二是质量指标，严格按照整体绩效目标管理使用资金，确保资金使用合规性；三是时效指标，根据资金使用安排，及时支付经费，确保全局公务运转；四是成本指标，严格审批程序，以节约为原则，规范资金使用范围及金额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效益</w:t>
      </w:r>
      <w:r>
        <w:rPr>
          <w:rFonts w:hint="eastAsia" w:ascii="仿宋" w:hAnsi="仿宋" w:eastAsia="仿宋"/>
          <w:sz w:val="32"/>
          <w:szCs w:val="32"/>
        </w:rPr>
        <w:t>指标</w:t>
      </w:r>
      <w:r>
        <w:rPr>
          <w:rFonts w:hint="eastAsia" w:ascii="仿宋" w:hAnsi="仿宋" w:eastAsia="仿宋"/>
          <w:sz w:val="32"/>
          <w:szCs w:val="32"/>
          <w:lang w:eastAsia="zh-CN"/>
        </w:rPr>
        <w:t>设定二级指标为履职效益。一是经济效益，总结工作经验，多渠道、多方式加大宣传力度，优化营商环境，促进经济发展；二是社会效益，推进公共资源交易体系建设；三是生态效益，促进人与自然和谐共生；四是可持续影响，依托国家“互联网+监管”系统，实现对监管的“监管”，并通过归集共享各类相关数据，促进可持续发展。</w:t>
      </w:r>
    </w:p>
    <w:p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满意度指标设定二级指标为服务对象满意度指标，开展满意度调查，对支付情况较为满意。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根据部门职责定位和各项工作履职情况进行综合评价，对绩效自评结果为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47个项目100分；1个项目86分；1个项目84分。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sz w:val="32"/>
          <w:szCs w:val="32"/>
          <w:lang w:eastAsia="zh-CN"/>
        </w:rPr>
        <w:t>为第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个等级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95分。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绩效目标设定的科学性、时效性有待加强。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绩效管理的整体性上还有差距，管理体系需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要完善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>因资金拨付情况及工作开展情况，导致个别项目在一定程度上存在支出进度慢的现象。</w:t>
      </w:r>
    </w:p>
    <w:p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1、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细化预算编制工作，认真做好预算编制。进一步加强内部预算管理意识，严格按照预算编制的相关制度和要求进行预算编制</w:t>
      </w: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；</w:t>
      </w:r>
      <w:r>
        <w:rPr>
          <w:rFonts w:hint="default" w:ascii="仿宋" w:hAnsi="仿宋" w:eastAsia="仿宋"/>
          <w:b w:val="0"/>
          <w:bCs w:val="0"/>
          <w:sz w:val="32"/>
          <w:szCs w:val="32"/>
          <w:lang w:val="en-US" w:eastAsia="zh-CN"/>
        </w:rPr>
        <w:t>全面编制预算项目，优先保障固定性的、相对刚性的费用支出项目，进一步提高预算编制的科学性、严谨性和可控性。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2、加强财务管理，严格财务审核。在费用报账时，按照预算规定的费用项目和用途进行资金使用审核、财务核算，杜绝超支现象的发生。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textAlignment w:val="auto"/>
        <w:outlineLvl w:val="9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  <w:lang w:val="en-US" w:eastAsia="zh-CN"/>
        </w:rPr>
        <w:t>3、加强项目开展进度的跟踪，开展项目绩效评价确保项目绩效目标的完成。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601037"/>
    <w:rsid w:val="248C197D"/>
    <w:rsid w:val="252959AF"/>
    <w:rsid w:val="27342469"/>
    <w:rsid w:val="277A6671"/>
    <w:rsid w:val="292D35B7"/>
    <w:rsid w:val="32817910"/>
    <w:rsid w:val="33EB6CFF"/>
    <w:rsid w:val="35A12947"/>
    <w:rsid w:val="37387040"/>
    <w:rsid w:val="39885D54"/>
    <w:rsid w:val="3B625C0A"/>
    <w:rsid w:val="3CEE1963"/>
    <w:rsid w:val="436B78D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</Words>
  <Characters>550</Characters>
  <Lines>4</Lines>
  <Paragraphs>1</Paragraphs>
  <TotalTime>1</TotalTime>
  <ScaleCrop>false</ScaleCrop>
  <LinksUpToDate>false</LinksUpToDate>
  <CharactersWithSpaces>645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2025-04-28T08:12:53Z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96934721B1514D3FBAA28020338CE855_12</vt:lpwstr>
  </property>
</Properties>
</file>