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78"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共青团石家庄市鹿泉区委</w:t>
      </w:r>
    </w:p>
    <w:p>
      <w:pPr>
        <w:keepNext w:val="0"/>
        <w:keepLines w:val="0"/>
        <w:pageBreakBefore w:val="0"/>
        <w:kinsoku/>
        <w:wordWrap/>
        <w:overflowPunct/>
        <w:topLinePunct w:val="0"/>
        <w:autoSpaceDE/>
        <w:autoSpaceDN/>
        <w:bidi w:val="0"/>
        <w:spacing w:line="578" w:lineRule="exact"/>
        <w:jc w:val="center"/>
        <w:textAlignment w:val="auto"/>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keepNext w:val="0"/>
        <w:keepLines w:val="0"/>
        <w:pageBreakBefore w:val="0"/>
        <w:kinsoku/>
        <w:wordWrap/>
        <w:overflowPunct/>
        <w:topLinePunct w:val="0"/>
        <w:autoSpaceDE/>
        <w:autoSpaceDN/>
        <w:bidi w:val="0"/>
        <w:spacing w:line="578" w:lineRule="exact"/>
        <w:jc w:val="center"/>
        <w:textAlignment w:val="auto"/>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lang w:eastAsia="zh-CN"/>
        </w:rPr>
        <w:t>团区委</w:t>
      </w:r>
      <w:r>
        <w:rPr>
          <w:rFonts w:hint="eastAsia" w:ascii="仿宋_GB2312" w:hAnsi="仿宋_GB2312" w:eastAsia="仿宋_GB2312" w:cs="仿宋_GB2312"/>
          <w:sz w:val="32"/>
          <w:szCs w:val="32"/>
        </w:rPr>
        <w:t>2024年整体支出情况实施了财政支出绩效自评价，形成本评价报告。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bCs/>
          <w:sz w:val="32"/>
          <w:szCs w:val="32"/>
        </w:rPr>
      </w:pPr>
      <w:r>
        <w:rPr>
          <w:rFonts w:hint="eastAsia" w:ascii="黑体" w:hAnsi="黑体" w:eastAsia="黑体" w:cs="黑体"/>
          <w:sz w:val="32"/>
          <w:szCs w:val="32"/>
        </w:rPr>
        <w:t>一、部门基本情况</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简述部门职能、组织机构及人员、资产等基本情况。</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部门职能：一是拓展服务领域，推动青少年服务体系的建立和完善。二是积极向区委、区政府反映青少年的意愿和呼声，提出意见和建议，发挥民主参与和民主监督作用。三是将团的工作重点放到基层，努力形成全区各级团组织共同抓基层、抓落实的局面。四是积极创新基层组织制度，使团的基层组织建设方式从依托单位设置为主转变为适应团员青年就业、生活的具体情况灵活设置；从自上而下管理为主转变为科学管理与加强团内民主、提高团员青年参与的积极性相结合；从支部为活动主体转变为基层团委与支部共同成为活动主体，全面活跃基层工作。</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组织机构：单位全称为“中国共产主义青年团石家庄市鹿泉区委员会”，单位性质为参照公务员管理事业单位，规格为正科级，资金来源为财政拨款。</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人员情况：截至2024年12月31日，我单位实有人数6人。</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kinsoku/>
        <w:wordWrap/>
        <w:overflowPunct/>
        <w:topLinePunct w:val="0"/>
        <w:autoSpaceDE/>
        <w:autoSpaceDN/>
        <w:bidi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lang w:val="en-US" w:eastAsia="zh-CN"/>
        </w:rPr>
        <w:t>2024年财政拨款收入176.32万元，其中，一般公共预算收入176.32万元，政府性基金预算收入0万元。支出总计176.32万元，其中，人员经费支出109.24万元，日常公用经费50.9万元，项目支出16.18万元。</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kinsoku/>
        <w:wordWrap/>
        <w:overflowPunct/>
        <w:topLinePunct w:val="0"/>
        <w:autoSpaceDE/>
        <w:autoSpaceDN/>
        <w:bidi w:val="0"/>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总体绩效目标</w:t>
      </w:r>
    </w:p>
    <w:p>
      <w:pPr>
        <w:pStyle w:val="8"/>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凝聚青年。突出思想政治引领这一灵魂，突出服务青年和维护青少年合法权益这一生命线，突出青年社会组织这一伙伴，突出新兴领域青年群体这一关键，引导最广大的青年凝聚在党的旗帜下。二是服务大局。带领广大青年在推进“四个全面”战略布局中充分发挥生力军作用。三是当好桥梁。既要把党的主张转化为青年的思想和行动自觉，又要把青年的呼声集中有序地反映给党和政府。四是团要管团。进一步管好团的组织，改革创新组织设置，加快新领域新阶层组织建设，激发基层组织活力；进一步管好团的干部，突出理想信念教育和作风建设，推动团干部经常化、制度化下沉基层，真正成为青年的朋友，成为青年群众工作的行家里手；进一步管好团员队伍，着力提高团员先进性和光荣感，充分发挥团员的模范作用和对青年的凝聚作用。</w:t>
      </w:r>
    </w:p>
    <w:p>
      <w:pPr>
        <w:keepNext w:val="0"/>
        <w:keepLines w:val="0"/>
        <w:pageBreakBefore w:val="0"/>
        <w:kinsoku/>
        <w:wordWrap/>
        <w:overflowPunct/>
        <w:topLinePunct w:val="0"/>
        <w:autoSpaceDE/>
        <w:autoSpaceDN/>
        <w:bidi w:val="0"/>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分项绩效目标</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加强组织建设和宣传教育。</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有效利用网络和新媒体加强对青年的宣传力度，加强网络和新媒体正面宣传，利用微信平台公众号、官方微博发布信息；用核心价值观引领青年，服务青年婚恋交友等需求；围绕党政中心开展团的各项活动，举办青年团干部读书班，开展学雷锋、植树节、五四纪念活动、青年联谊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爱心送考</w:t>
      </w:r>
      <w:r>
        <w:rPr>
          <w:rFonts w:hint="eastAsia" w:ascii="仿宋_GB2312" w:hAnsi="仿宋_GB2312" w:eastAsia="仿宋_GB2312" w:cs="仿宋_GB2312"/>
          <w:sz w:val="32"/>
          <w:szCs w:val="32"/>
        </w:rPr>
        <w:t>等各类品牌活动。加强农村青年基层组织建设，建设规范化青年活动阵地，在全区基层农村青年工作中产生重要的影响，得到广大农村青年的充分认可。开展宣传法律知识讲座、法治教育进课堂等活动，营造青少年和未成年人健康成长法治环境。</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绩效指标：强化团干部教育培训，举办青年读书班2次，培训区、乡、村三级团干部。举办3.5学雷锋活动、五四纪念活动、青年联谊会、开展爱心送考等品牌活动，利用重要节点节日进行思想引导。每年至少举办</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次青年联谊会，满足青年婚恋交友等需求。</w:t>
      </w:r>
      <w:r>
        <w:rPr>
          <w:rFonts w:hint="eastAsia" w:ascii="仿宋_GB2312" w:hAnsi="仿宋_GB2312" w:eastAsia="仿宋_GB2312" w:cs="仿宋_GB2312"/>
          <w:sz w:val="32"/>
          <w:szCs w:val="32"/>
          <w:lang w:val="en-US" w:eastAsia="zh-CN"/>
        </w:rPr>
        <w:t>开展未成年人保护法律知识宣传教育的活动不少于5次。</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服务、引导青少年工作</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绩效目标：完善服务青年发展的政策体系，实施普惠型青年友好项目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形成可学习、可借鉴、可复制、可推广、可视化的青年发展型城区建设的鹿泉经验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社会组织如创新创业联盟合作，进行青年创新创业，文化体育等方面的合作，为鹿泉区培养更多创新创业人才，搭建青年全面发展平台。与青年志愿服务组织开展合作，开展形式多样的志愿服务活动，提高青年社会责任感及社会参与度，为鹿泉高质量发展贡献青春力量。</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打造提供业务托管服务的“青少年驿站”，来鹿求职青年免费住宿的“青年驿站”，完善青年体育运动场所运动器材、宣传设施，开展青年马克思主义者培训班，建成“规划引领+政策支撑+实施机制+项目运作+全面保障”青年工作链条，组织青年志愿者开展“</w:t>
      </w:r>
      <w:r>
        <w:rPr>
          <w:rFonts w:hint="eastAsia" w:ascii="仿宋_GB2312" w:hAnsi="仿宋_GB2312" w:eastAsia="仿宋_GB2312" w:cs="仿宋_GB2312"/>
          <w:sz w:val="32"/>
          <w:szCs w:val="32"/>
          <w:lang w:eastAsia="zh-CN"/>
        </w:rPr>
        <w:t>美丽街区</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eastAsia="zh-CN"/>
        </w:rPr>
        <w:t>寸草心</w:t>
      </w:r>
      <w:r>
        <w:rPr>
          <w:rFonts w:hint="eastAsia" w:ascii="仿宋_GB2312" w:hAnsi="仿宋_GB2312" w:eastAsia="仿宋_GB2312" w:cs="仿宋_GB2312"/>
          <w:sz w:val="32"/>
          <w:szCs w:val="32"/>
        </w:rPr>
        <w:t>”及其他志愿服务活动，开展志愿服务活动不少于24次，参加人数不少于7</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人次，组织开展创新创业、文化体育领域等培训活动，培训场次大于10场，培训人次不少于100人，对有创业意向和创业初期青年开展就业创业指导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有效提高创业青年专业技能和综合素质。</w:t>
      </w:r>
      <w:r>
        <w:rPr>
          <w:rFonts w:hint="eastAsia" w:ascii="仿宋_GB2312" w:hAnsi="仿宋_GB2312" w:eastAsia="仿宋_GB2312" w:cs="仿宋_GB2312"/>
          <w:sz w:val="32"/>
          <w:szCs w:val="32"/>
        </w:rPr>
        <w:tab/>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维护青少年权益工作。</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绩效目标：研究有关青少年发展问题，贯彻落实保护青少年健康成长的法律、地方性法规；构建和完善维护青少年发展权益的机制化、社会化、专业化工作体系。关爱青少年健康成长方面，对</w:t>
      </w:r>
      <w:r>
        <w:rPr>
          <w:rFonts w:hint="eastAsia" w:ascii="仿宋_GB2312" w:hAnsi="仿宋_GB2312" w:eastAsia="仿宋_GB2312" w:cs="仿宋_GB2312"/>
          <w:sz w:val="32"/>
          <w:szCs w:val="32"/>
          <w:lang w:eastAsia="zh-CN"/>
        </w:rPr>
        <w:t>困难学生</w:t>
      </w:r>
      <w:r>
        <w:rPr>
          <w:rFonts w:hint="eastAsia" w:ascii="仿宋_GB2312" w:hAnsi="仿宋_GB2312" w:eastAsia="仿宋_GB2312" w:cs="仿宋_GB2312"/>
          <w:sz w:val="32"/>
          <w:szCs w:val="32"/>
        </w:rPr>
        <w:t>进行动态管理，实时更新</w:t>
      </w:r>
      <w:r>
        <w:rPr>
          <w:rFonts w:hint="eastAsia" w:ascii="仿宋_GB2312" w:hAnsi="仿宋_GB2312" w:eastAsia="仿宋_GB2312" w:cs="仿宋_GB2312"/>
          <w:sz w:val="32"/>
          <w:szCs w:val="32"/>
          <w:lang w:eastAsia="zh-CN"/>
        </w:rPr>
        <w:t>困难学生</w:t>
      </w:r>
      <w:bookmarkStart w:id="0" w:name="_GoBack"/>
      <w:bookmarkEnd w:id="0"/>
      <w:r>
        <w:rPr>
          <w:rFonts w:hint="eastAsia" w:ascii="仿宋_GB2312" w:hAnsi="仿宋_GB2312" w:eastAsia="仿宋_GB2312" w:cs="仿宋_GB2312"/>
          <w:sz w:val="32"/>
          <w:szCs w:val="32"/>
        </w:rPr>
        <w:t>数据库；利用六一、春节等重要节点对</w:t>
      </w:r>
      <w:r>
        <w:rPr>
          <w:rFonts w:hint="eastAsia" w:ascii="仿宋_GB2312" w:hAnsi="仿宋_GB2312" w:eastAsia="仿宋_GB2312" w:cs="仿宋_GB2312"/>
          <w:sz w:val="32"/>
          <w:szCs w:val="32"/>
          <w:lang w:eastAsia="zh-CN"/>
        </w:rPr>
        <w:t>困难学生</w:t>
      </w:r>
      <w:r>
        <w:rPr>
          <w:rFonts w:hint="eastAsia" w:ascii="仿宋_GB2312" w:hAnsi="仿宋_GB2312" w:eastAsia="仿宋_GB2312" w:cs="仿宋_GB2312"/>
          <w:sz w:val="32"/>
          <w:szCs w:val="32"/>
        </w:rPr>
        <w:t>开展走访慰问，发放慰问品。开展爱心送考等品牌活动。</w:t>
      </w:r>
    </w:p>
    <w:p>
      <w:pPr>
        <w:pStyle w:val="9"/>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绩效指标：对新增</w:t>
      </w:r>
      <w:r>
        <w:rPr>
          <w:rFonts w:hint="eastAsia" w:ascii="仿宋_GB2312" w:hAnsi="仿宋_GB2312" w:eastAsia="仿宋_GB2312" w:cs="仿宋_GB2312"/>
          <w:sz w:val="32"/>
          <w:szCs w:val="32"/>
          <w:lang w:eastAsia="zh-CN"/>
        </w:rPr>
        <w:t>困难学生</w:t>
      </w:r>
      <w:r>
        <w:rPr>
          <w:rFonts w:hint="eastAsia" w:ascii="仿宋_GB2312" w:hAnsi="仿宋_GB2312" w:eastAsia="仿宋_GB2312" w:cs="仿宋_GB2312"/>
          <w:sz w:val="32"/>
          <w:szCs w:val="32"/>
        </w:rPr>
        <w:t>进行实地走访，实时更新</w:t>
      </w:r>
      <w:r>
        <w:rPr>
          <w:rFonts w:hint="eastAsia" w:ascii="仿宋_GB2312" w:hAnsi="仿宋_GB2312" w:eastAsia="仿宋_GB2312" w:cs="仿宋_GB2312"/>
          <w:sz w:val="32"/>
          <w:szCs w:val="32"/>
          <w:lang w:eastAsia="zh-CN"/>
        </w:rPr>
        <w:t>困难学生</w:t>
      </w:r>
      <w:r>
        <w:rPr>
          <w:rFonts w:hint="eastAsia" w:ascii="仿宋_GB2312" w:hAnsi="仿宋_GB2312" w:eastAsia="仿宋_GB2312" w:cs="仿宋_GB2312"/>
          <w:sz w:val="32"/>
          <w:szCs w:val="32"/>
        </w:rPr>
        <w:t>数据库，利用六一、春节等重要节点对不少于60名</w:t>
      </w:r>
      <w:r>
        <w:rPr>
          <w:rFonts w:hint="eastAsia" w:ascii="仿宋_GB2312" w:hAnsi="仿宋_GB2312" w:eastAsia="仿宋_GB2312" w:cs="仿宋_GB2312"/>
          <w:sz w:val="32"/>
          <w:szCs w:val="32"/>
          <w:lang w:eastAsia="zh-CN"/>
        </w:rPr>
        <w:t>困难</w:t>
      </w:r>
      <w:r>
        <w:rPr>
          <w:rFonts w:hint="eastAsia" w:ascii="仿宋_GB2312" w:hAnsi="仿宋_GB2312" w:eastAsia="仿宋_GB2312" w:cs="仿宋_GB2312"/>
          <w:sz w:val="32"/>
          <w:szCs w:val="32"/>
        </w:rPr>
        <w:t>学生开展走访慰问，发放学习用品、生活用品等慰问品。</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二、自评工作开展情况</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Cs/>
          <w:sz w:val="32"/>
          <w:szCs w:val="32"/>
        </w:rPr>
        <w:t>（一）自评的组织工作</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结合202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年预算的项目资金使用情况，根据职责分工，组织单位</w:t>
      </w:r>
      <w:r>
        <w:rPr>
          <w:rFonts w:hint="eastAsia" w:ascii="仿宋_GB2312" w:hAnsi="仿宋_GB2312" w:eastAsia="仿宋_GB2312" w:cs="仿宋_GB2312"/>
          <w:sz w:val="32"/>
          <w:szCs w:val="32"/>
          <w:lang w:val="en-US" w:eastAsia="zh-CN"/>
        </w:rPr>
        <w:t>财务工作</w:t>
      </w:r>
      <w:r>
        <w:rPr>
          <w:rFonts w:hint="eastAsia" w:ascii="仿宋_GB2312" w:hAnsi="仿宋_GB2312" w:eastAsia="仿宋_GB2312" w:cs="仿宋_GB2312"/>
          <w:sz w:val="32"/>
          <w:szCs w:val="32"/>
        </w:rPr>
        <w:t>人员对预算项目进行评价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结合年初设定的绩效目标审核各项资金的绩效指标。按照绩效指标体系逐项核查，查阅年度预算安排、预算调整、资金管理、经费支出等相关文件资料和财务凭证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细致排查</w:t>
      </w:r>
      <w:r>
        <w:rPr>
          <w:rFonts w:hint="eastAsia" w:ascii="仿宋_GB2312" w:hAnsi="仿宋_GB2312" w:eastAsia="仿宋_GB2312" w:cs="仿宋_GB2312"/>
          <w:sz w:val="32"/>
          <w:szCs w:val="32"/>
        </w:rPr>
        <w:t>项目实施情况和资金支付情况。在评价过程中，对每个项目实施情况总结成绩与经验，找出问题与不足。</w:t>
      </w:r>
    </w:p>
    <w:p>
      <w:pPr>
        <w:keepNext w:val="0"/>
        <w:keepLines w:val="0"/>
        <w:pageBreakBefore w:val="0"/>
        <w:numPr>
          <w:ilvl w:val="0"/>
          <w:numId w:val="1"/>
        </w:numPr>
        <w:kinsoku/>
        <w:wordWrap/>
        <w:overflowPunct/>
        <w:topLinePunct w:val="0"/>
        <w:autoSpaceDE/>
        <w:autoSpaceDN/>
        <w:bidi w:val="0"/>
        <w:spacing w:line="578" w:lineRule="exact"/>
        <w:ind w:left="-10" w:leftChars="0" w:firstLine="640" w:firstLineChars="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1.项目绩效评价方法。根据</w:t>
      </w:r>
      <w:r>
        <w:rPr>
          <w:rFonts w:hint="eastAsia" w:ascii="仿宋_GB2312" w:hAnsi="仿宋_GB2312" w:eastAsia="仿宋_GB2312" w:cs="仿宋_GB2312"/>
          <w:sz w:val="32"/>
          <w:szCs w:val="32"/>
          <w:lang w:val="en-US" w:eastAsia="zh-CN"/>
        </w:rPr>
        <w:t>财政局</w:t>
      </w:r>
      <w:r>
        <w:rPr>
          <w:rFonts w:hint="eastAsia" w:ascii="仿宋_GB2312" w:hAnsi="仿宋_GB2312" w:eastAsia="仿宋_GB2312" w:cs="仿宋_GB2312"/>
          <w:sz w:val="32"/>
          <w:szCs w:val="32"/>
        </w:rPr>
        <w:t>要求，项目绩效自评采取打分评价的形式，满分为100分。产出指标40分（包含数量、质量、时效、成本）、预算执行率指标10分、效益指标40分（包含经济效益、社会效益、生态效益、可持续影响）、满意度指标10分。</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支出绩效自评得分评定方法分为两类：一是定量指标。完成指标值的，计该指标所赋全部分值；未完成的，按照完成值在指标值中所占比例记分。二是定性指标。根据指标完成情况分为：达成预期指标、部分达成预期指标并具有一定效果、未达成预期指标且效果较差三档，分别按照该指标对应分值区间100%、99-60%（含60%）、60-0%合理确定分值。各项绩效指标得分汇总成该项目自评总分。</w:t>
      </w:r>
    </w:p>
    <w:p>
      <w:pPr>
        <w:keepNext w:val="0"/>
        <w:keepLines w:val="0"/>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.项目绩效评价组织实施过程。加强对预算绩效管理工作的组织领导，对照年初预算安排计划以及绩效目标，组织开展绩效自评工作，全面推进预算绩效管理工作的深入开展。</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bCs/>
          <w:sz w:val="32"/>
          <w:szCs w:val="32"/>
        </w:rPr>
      </w:pPr>
      <w:r>
        <w:rPr>
          <w:rFonts w:hint="eastAsia" w:ascii="黑体" w:hAnsi="黑体" w:eastAsia="黑体" w:cs="黑体"/>
          <w:sz w:val="32"/>
          <w:szCs w:val="32"/>
        </w:rPr>
        <w:t>三、部门整体支出绩效目标实现情况及指标分析</w:t>
      </w:r>
    </w:p>
    <w:p>
      <w:pPr>
        <w:keepNext w:val="0"/>
        <w:keepLines w:val="0"/>
        <w:pageBreakBefore w:val="0"/>
        <w:numPr>
          <w:ilvl w:val="0"/>
          <w:numId w:val="2"/>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总体绩效目标实现情况</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1.凝聚青年</w:t>
      </w:r>
      <w:r>
        <w:rPr>
          <w:rFonts w:hint="eastAsia" w:ascii="仿宋_GB2312" w:hAnsi="仿宋_GB2312" w:eastAsia="仿宋_GB2312" w:cs="仿宋_GB2312"/>
          <w:sz w:val="32"/>
          <w:szCs w:val="32"/>
        </w:rPr>
        <w:t>。在青少年中大力弘扬红色法治文化，依托域内红色景点、展览馆、陈列馆、村史馆等红色资源，于建国75周年国庆前日，烈士纪念日当天，组织辖区学校开展“寻红色之印、传红色基因、颂国之繁荣”主题系列研学活动13场，覆盖青少年700余人；组织各中学团委开展成人节活动，引导团员青年了解党的初心使命，进一步激发青年学生的爱国情感；组织全区少先队辅导员、少先队员通过国旗下讲话、主题队会、交流会、宣讲会等形式学习习近平总书记给四川省南充市嘉陵区之江小学的回信精神，树立崇高理想；开展清明祭英烈活动，组织全区122所中小学少先队员到鹿泉区烈士陵园、石家庄市华北烈士陵园扫墓；通过青年读书班、主题团日、主题研学等活动常态化开展学习党的二十大精神系列活动，覆盖团员青年2000余人；组织全区基层团组织通过“线上+线下”的形式开展国家安全宣传教育，覆盖青年800余人。</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服务大局。聚焦青年急难愁盼，深入实施青年发展实事项目。实施青年筑梦启航工程。持续推进青年驿站建设，为“大专以上”毕业生提供最长7天的免费住宿服务，截至11月份服务青年12名；联合区人社局、区总工会等部门举办“春风送岗促就业 精准服务助发展”春风行动招聘会，160余家企业参加招聘会，活动提供就业岗位5000余个，现场达成就业意向600余人。实施青少年平安护航工程。联合检察院、法院、教育局等部门组建“鹿小未”未成年人法治宣讲团，走进鹿泉区青少年社区综合实践学校、联华职业教育中学开展“防诈骗”法治科普校园宣讲活动2场；开展12355“青春自护”系列活动，深入学校、社区、农村普法宣传3场，定期开展“牵手火焰蓝 护苗在行动”消防主题研学活动，覆盖青少年500余人；邀请北京市盈科律师事务所等31个律所共41位优秀青年律师走入校园，以“引航青春 法护成长”为主题，向全区100余所中小学校师生开展青少年法治宣传讲座。</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当好桥梁。开办鹿泉区青年夜校，依托辖区龙泉书院等资源优势，广泛招募协调辖区各高校专业优秀教师开堂授课，首次开设园艺、插花、茶艺、舞蹈等四类课程，学员参与300余人次；以社区为阵地，建立了青少年驿站，在寒暑假期间，组织返乡大学生举办爱心托管班，拓宽青年校外实践渠道，解除双职工孩子无人看管的后顾之忧，参加暑期托管的学生超过300名。</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团要管团。有序开展分批入队，严格落实少先队员入队仪式，“六一”和建队日期间组织全区96所小学举办新队员入队仪式，3000余名小学生光荣加入少先队组织；按照“高标准、控数量、严把关”的发展原则，完成2024年度全区新团员发展工作，全区高中7所、初中17所、中职10所、高校2所制定了团校建设方案，全年发展团员2276名，推优入团414名，做到了入团标准和团员先进性状况可量化、可评估、可检验</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suppressLineNumbers w:val="0"/>
        <w:kinsoku/>
        <w:wordWrap/>
        <w:overflowPunct/>
        <w:topLinePunct w:val="0"/>
        <w:autoSpaceDE/>
        <w:autoSpaceDN/>
        <w:bidi w:val="0"/>
        <w:spacing w:line="578"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1.工作经费</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积极为青年提供思想道德、教育、健康、婚恋等方面服务，利用重要节点节日进行思想引导，举办各类品牌活动例如3.5学雷锋活动、五四“青年月”活动、青年联谊会等活动。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青年创新创业大赛经费</w:t>
      </w:r>
      <w:r>
        <w:rPr>
          <w:rFonts w:hint="eastAsia" w:ascii="仿宋_GB2312" w:hAnsi="仿宋_GB2312" w:eastAsia="仿宋_GB2312" w:cs="仿宋_GB2312"/>
          <w:sz w:val="32"/>
          <w:szCs w:val="32"/>
          <w:lang w:val="en-US" w:eastAsia="zh-CN"/>
        </w:rPr>
        <w:t>项目绩效目标</w:t>
      </w:r>
      <w:r>
        <w:rPr>
          <w:rFonts w:hint="eastAsia" w:ascii="仿宋_GB2312" w:hAnsi="仿宋_GB2312" w:eastAsia="仿宋_GB2312" w:cs="仿宋_GB2312"/>
          <w:sz w:val="32"/>
          <w:szCs w:val="32"/>
          <w:lang w:eastAsia="zh-CN"/>
        </w:rPr>
        <w:t>完成情况：</w:t>
      </w:r>
      <w:r>
        <w:rPr>
          <w:rFonts w:hint="eastAsia" w:ascii="仿宋_GB2312" w:hAnsi="仿宋_GB2312" w:eastAsia="仿宋_GB2312" w:cs="仿宋_GB2312"/>
          <w:sz w:val="32"/>
          <w:szCs w:val="32"/>
          <w:lang w:val="en-US" w:eastAsia="zh-CN"/>
        </w:rPr>
        <w:t>举办创新创业大赛，</w:t>
      </w:r>
      <w:r>
        <w:rPr>
          <w:rFonts w:hint="eastAsia" w:ascii="仿宋_GB2312" w:hAnsi="仿宋_GB2312" w:eastAsia="仿宋_GB2312" w:cs="仿宋_GB2312"/>
          <w:color w:val="auto"/>
          <w:sz w:val="32"/>
          <w:szCs w:val="32"/>
          <w:lang w:val="en-US" w:eastAsia="zh-CN"/>
        </w:rPr>
        <w:t>来自科技创新、乡村振兴领域创新、新一代电子信息技术创新和青年岗位创新四大类别共计305个项目，共计1000余名创业青年参赛，75个项目进入决赛，最终评选出金奖项目4个、银奖项目8个、铜奖项目12个、优秀奖项目16个。大赛期间为农村创业青年、小微企业创新团队、青年学生开展专题20余场宣讲活动，覆盖青年3000余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慰问困难学生活动项目绩效目标完成情况：全年通过开展春节、儿童节走访慰问等活动，为</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lang w:eastAsia="zh-CN"/>
        </w:rPr>
        <w:t>名困难学生每人发放500元的学习用品、生活用品等慰问品。</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中长期青年发展规划实施经费</w:t>
      </w:r>
      <w:r>
        <w:rPr>
          <w:rFonts w:hint="eastAsia" w:ascii="仿宋_GB2312" w:hAnsi="仿宋_GB2312" w:eastAsia="仿宋_GB2312" w:cs="仿宋_GB2312"/>
          <w:sz w:val="32"/>
          <w:szCs w:val="32"/>
          <w:lang w:val="en-US" w:eastAsia="zh-CN"/>
        </w:rPr>
        <w:t>项目绩效目标完成情况：开办青年马克思主义者培训班，培训青年100余名。选树青年英才和青年榜样群体100余名，示范带动更多青年在全区高质量发展中建功立业。打造青年驿站，为来鹿求职大专及以上应届毕业生提供最长7天免费住宿服务。</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四、评价结论和评价等级</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年我单位绩效自评项目共</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个，其中评价等级为“优”</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个，评优率为100%</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项目支出</w:t>
      </w:r>
      <w:r>
        <w:rPr>
          <w:rFonts w:hint="eastAsia" w:ascii="仿宋_GB2312" w:hAnsi="仿宋_GB2312" w:eastAsia="仿宋_GB2312" w:cs="仿宋_GB2312"/>
          <w:color w:val="auto"/>
          <w:sz w:val="32"/>
          <w:szCs w:val="32"/>
        </w:rPr>
        <w:t>偏离绩效目标，对预算资金的绩效评价重视不够。我</w:t>
      </w:r>
      <w:r>
        <w:rPr>
          <w:rFonts w:hint="eastAsia" w:ascii="仿宋_GB2312" w:hAnsi="仿宋_GB2312" w:eastAsia="仿宋_GB2312" w:cs="仿宋_GB2312"/>
          <w:color w:val="auto"/>
          <w:sz w:val="32"/>
          <w:szCs w:val="32"/>
          <w:lang w:val="en-US" w:eastAsia="zh-CN"/>
        </w:rPr>
        <w:t>单位</w:t>
      </w:r>
      <w:r>
        <w:rPr>
          <w:rFonts w:hint="eastAsia" w:ascii="仿宋_GB2312" w:hAnsi="仿宋_GB2312" w:eastAsia="仿宋_GB2312" w:cs="仿宋_GB2312"/>
          <w:color w:val="auto"/>
          <w:sz w:val="32"/>
          <w:szCs w:val="32"/>
        </w:rPr>
        <w:t>将严格按照年初预算</w:t>
      </w:r>
      <w:r>
        <w:rPr>
          <w:rFonts w:hint="eastAsia" w:ascii="仿宋_GB2312" w:hAnsi="仿宋_GB2312" w:eastAsia="仿宋_GB2312" w:cs="仿宋_GB2312"/>
          <w:color w:val="auto"/>
          <w:sz w:val="32"/>
          <w:szCs w:val="32"/>
          <w:lang w:val="en-US" w:eastAsia="zh-CN"/>
        </w:rPr>
        <w:t>及绩效目标推进项目执行</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积极</w:t>
      </w:r>
      <w:r>
        <w:rPr>
          <w:rFonts w:hint="eastAsia" w:ascii="仿宋_GB2312" w:hAnsi="仿宋_GB2312" w:eastAsia="仿宋_GB2312" w:cs="仿宋_GB2312"/>
          <w:color w:val="auto"/>
          <w:sz w:val="32"/>
          <w:szCs w:val="32"/>
        </w:rPr>
        <w:t>开展绩效评价。</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1.落实主体责任。明确项目支出运行的主体，定期对项目支出信息进行收集、汇总、分析等。同时加强监督，及时审核、汇总、报告项目支出运行情况。 </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2.重视结果应用。对于绩效自评中发现的问题及时采取有 效措施予以纠正，促进绩效目标如期实现。开展重点项目绩效管理，通过调整、暂缓或停止预算拨款等措施及时纠偏，同时把运行结果作为调整预算和以后年度预算编制的参考依据。 </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黑体" w:hAnsi="黑体" w:eastAsia="黑体"/>
          <w:sz w:val="32"/>
          <w:szCs w:val="32"/>
        </w:rPr>
      </w:pPr>
      <w:r>
        <w:rPr>
          <w:rFonts w:hint="eastAsia" w:ascii="仿宋_GB2312" w:hAnsi="仿宋_GB2312" w:eastAsia="仿宋_GB2312" w:cs="仿宋_GB2312"/>
          <w:sz w:val="32"/>
          <w:szCs w:val="32"/>
        </w:rPr>
        <w:t>3.加强日常监控工作。按要求开展绩效运行监控，发现问题及时采取措施，确保绩效目标如期保质实现。针对年度目标任务，对未按时序进度完成的目标任务进行及时督促，确保目标任务实现。</w:t>
      </w:r>
    </w:p>
    <w:p>
      <w:pPr>
        <w:keepNext w:val="0"/>
        <w:keepLines w:val="0"/>
        <w:pageBreakBefore w:val="0"/>
        <w:widowControl w:val="0"/>
        <w:kinsoku/>
        <w:wordWrap/>
        <w:overflowPunct/>
        <w:topLinePunct w:val="0"/>
        <w:autoSpaceDE/>
        <w:autoSpaceDN/>
        <w:bidi w:val="0"/>
        <w:spacing w:line="578" w:lineRule="exact"/>
        <w:ind w:firstLine="4480" w:firstLineChars="14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共青团石家庄市鹿泉区委</w:t>
      </w:r>
    </w:p>
    <w:p>
      <w:pPr>
        <w:pStyle w:val="2"/>
        <w:ind w:firstLine="5120" w:firstLineChars="1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2025年4月28日</w:t>
      </w: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10"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8444D9F"/>
    <w:rsid w:val="09721397"/>
    <w:rsid w:val="0A774ACF"/>
    <w:rsid w:val="0BB63BED"/>
    <w:rsid w:val="0EB97A43"/>
    <w:rsid w:val="0EBD2122"/>
    <w:rsid w:val="0F214EAE"/>
    <w:rsid w:val="11B71E6A"/>
    <w:rsid w:val="1AAF0063"/>
    <w:rsid w:val="1BE140DE"/>
    <w:rsid w:val="248C197D"/>
    <w:rsid w:val="252959AF"/>
    <w:rsid w:val="277A6671"/>
    <w:rsid w:val="292D35B7"/>
    <w:rsid w:val="32817910"/>
    <w:rsid w:val="33EB6CFF"/>
    <w:rsid w:val="35A12947"/>
    <w:rsid w:val="37387040"/>
    <w:rsid w:val="39885D54"/>
    <w:rsid w:val="3B625C0A"/>
    <w:rsid w:val="3CEE1963"/>
    <w:rsid w:val="436B78D3"/>
    <w:rsid w:val="4C9C27FE"/>
    <w:rsid w:val="4FC16039"/>
    <w:rsid w:val="512260B4"/>
    <w:rsid w:val="512459A3"/>
    <w:rsid w:val="52BD6ACB"/>
    <w:rsid w:val="53EC6EF3"/>
    <w:rsid w:val="55537534"/>
    <w:rsid w:val="561A74F1"/>
    <w:rsid w:val="597244E8"/>
    <w:rsid w:val="5CD23D3A"/>
    <w:rsid w:val="5EB71C30"/>
    <w:rsid w:val="63AC09AA"/>
    <w:rsid w:val="64CC0C6F"/>
    <w:rsid w:val="66AF0CE5"/>
    <w:rsid w:val="6AC537CF"/>
    <w:rsid w:val="6E5B14A6"/>
    <w:rsid w:val="711B255E"/>
    <w:rsid w:val="762D3932"/>
    <w:rsid w:val="7AF73A5C"/>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_Style 1"/>
    <w:unhideWhenUsed/>
    <w:qFormat/>
    <w:uiPriority w:val="1"/>
    <w:pPr>
      <w:widowControl w:val="0"/>
      <w:jc w:val="both"/>
    </w:pPr>
    <w:rPr>
      <w:rFonts w:hint="eastAsia" w:ascii="宋体" w:hAnsi="宋体" w:eastAsia="宋体" w:cs="Times New Roman"/>
      <w:kern w:val="2"/>
      <w:sz w:val="32"/>
      <w:szCs w:val="22"/>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96</Words>
  <Characters>550</Characters>
  <Lines>4</Lines>
  <Paragraphs>1</Paragraphs>
  <TotalTime>3</TotalTime>
  <ScaleCrop>false</ScaleCrop>
  <LinksUpToDate>false</LinksUpToDate>
  <CharactersWithSpaces>645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2025-04-30T07:13:36Z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ies>
</file>