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石家庄市鹿泉区黄壁庄镇人民政府</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贯彻落实石家庄市鹿泉区人民政府《关于全面实施预算绩效管理的实施意见》（鹿发〔2019〕8号）文件精神，遵循“科学性、规范性、客观性和公正性”的原则，对</w:t>
      </w:r>
      <w:r>
        <w:rPr>
          <w:rFonts w:hint="eastAsia" w:ascii="仿宋" w:hAnsi="仿宋" w:eastAsia="仿宋"/>
          <w:sz w:val="32"/>
          <w:szCs w:val="32"/>
          <w:lang w:eastAsia="zh-CN"/>
        </w:rPr>
        <w:t>石家庄市鹿泉区黄壁庄镇人民政府</w:t>
      </w:r>
      <w:r>
        <w:rPr>
          <w:rFonts w:hint="eastAsia" w:ascii="仿宋" w:hAnsi="仿宋" w:eastAsia="仿宋"/>
          <w:sz w:val="32"/>
          <w:szCs w:val="32"/>
        </w:rPr>
        <w:t>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pPr>
        <w:widowControl w:val="0"/>
        <w:wordWrap/>
        <w:spacing w:line="560" w:lineRule="exact"/>
        <w:ind w:right="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1.部门职能： </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根据《石家庄市鹿泉区黄壁庄镇人民政府职能配置、内设机构和人员编制规定》，石家庄市鹿泉区黄壁庄镇人民政府的主要职责是：</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部门职责</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根据《石家庄市鹿泉区黄壁庄镇党委、人大、政府职能配置、内设机构和人员编制规定》</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石家庄市鹿泉区黄壁庄镇党委、人大、政府主要职责是：</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（二）讨论和决定本镇经济建设、政治建设、文化建设、社会建设、生态文明建设和党的建设以及乡村振兴中的重大问题。</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（三）组织召开本级人民代表大会，充分行使重大事项决定权、监督权和任免权，做好人大代表工作，联系选民、反映群众意见和要求。</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（四）负责拟订辖区经济发展规划、年度工作计划并组织实施，负责经济发展、招商引资工作，促进乡村全面振兴。</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五）执行本行政区域内的经济和社会发展计划、预算，管理本行政区域内的经济、教育、科学、文化、卫生健康、体育事业和财政、统计、。民政、司法行政等行政工作。落实本行政区域内发展规划、专项规划、区域规划、国土空间规划。</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六）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（七）加强镇党委自身建设和村党组织建设，以及其他隶属镇党委的党组织建设，抓好发展党员工作，加强党员队伍建设。维护和执行党的纪律，监督党员干部和其他任何工作人员严格遵守国家法律法规。</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（八）按照干部管理权限，负责对干部的教育、培训、选拔、考核和监督工作。协助管理上级有关部门驻镇单位的干部。做好人才服务工作。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九）领导本镇的基层治理，加强社会主义民主法治建设和精神文明建设，加强社会治安综合治理，做好应急管理、生态环保、乡村振兴、民生保障、民族宗教、防范邪教等工作。承担民兵预备役、征兵、退役军人服务、拥军优属等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十）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（十一）承办上级党委、人大、政府交办的其他事项。</w:t>
      </w:r>
    </w:p>
    <w:p>
      <w:pPr>
        <w:widowControl w:val="0"/>
        <w:wordWrap/>
        <w:spacing w:line="560" w:lineRule="exact"/>
        <w:ind w:right="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2.组织机构</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从决算编报单位构成看，纳入 2024年度石家庄市鹿泉区黄壁庄镇人民政府决算汇编范围的独立核算单位（以下简称“单位”）共 1 个，具体情况如下：</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p>
    <w:tbl>
      <w:tblPr>
        <w:tblStyle w:val="5"/>
        <w:tblW w:w="0" w:type="auto"/>
        <w:tblInd w:w="10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0"/>
        <w:gridCol w:w="3600"/>
        <w:gridCol w:w="2490"/>
        <w:gridCol w:w="19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0" w:hRule="atLeast"/>
        </w:trPr>
        <w:tc>
          <w:tcPr>
            <w:tcW w:w="900" w:type="dxa"/>
          </w:tcPr>
          <w:p>
            <w:pPr>
              <w:widowControl w:val="0"/>
              <w:wordWrap/>
              <w:spacing w:line="560" w:lineRule="exact"/>
              <w:ind w:right="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序号</w:t>
            </w:r>
          </w:p>
        </w:tc>
        <w:tc>
          <w:tcPr>
            <w:tcW w:w="3600" w:type="dxa"/>
          </w:tcPr>
          <w:p>
            <w:pPr>
              <w:widowControl w:val="0"/>
              <w:wordWrap/>
              <w:spacing w:line="560" w:lineRule="exact"/>
              <w:ind w:right="0"/>
              <w:jc w:val="center"/>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单位名称</w:t>
            </w:r>
          </w:p>
        </w:tc>
        <w:tc>
          <w:tcPr>
            <w:tcW w:w="2490" w:type="dxa"/>
          </w:tcPr>
          <w:p>
            <w:pPr>
              <w:widowControl w:val="0"/>
              <w:wordWrap/>
              <w:spacing w:line="560" w:lineRule="exact"/>
              <w:ind w:right="0"/>
              <w:jc w:val="center"/>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单位基本性质</w:t>
            </w:r>
          </w:p>
        </w:tc>
        <w:tc>
          <w:tcPr>
            <w:tcW w:w="1969" w:type="dxa"/>
          </w:tcPr>
          <w:p>
            <w:pPr>
              <w:widowControl w:val="0"/>
              <w:wordWrap/>
              <w:spacing w:line="560" w:lineRule="exact"/>
              <w:ind w:right="0"/>
              <w:jc w:val="center"/>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0" w:type="dxa"/>
          </w:tcPr>
          <w:p>
            <w:pPr>
              <w:widowControl w:val="0"/>
              <w:wordWrap/>
              <w:spacing w:line="560" w:lineRule="exact"/>
              <w:ind w:right="0"/>
              <w:jc w:val="center"/>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1</w:t>
            </w:r>
          </w:p>
        </w:tc>
        <w:tc>
          <w:tcPr>
            <w:tcW w:w="3600" w:type="dxa"/>
          </w:tcPr>
          <w:p>
            <w:pPr>
              <w:widowControl w:val="0"/>
              <w:wordWrap/>
              <w:spacing w:line="560" w:lineRule="exact"/>
              <w:ind w:right="0"/>
              <w:jc w:val="center"/>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石家庄市鹿泉区黄壁庄镇人民政府</w:t>
            </w:r>
          </w:p>
        </w:tc>
        <w:tc>
          <w:tcPr>
            <w:tcW w:w="2490" w:type="dxa"/>
          </w:tcPr>
          <w:p>
            <w:pPr>
              <w:widowControl w:val="0"/>
              <w:wordWrap/>
              <w:spacing w:line="560" w:lineRule="exact"/>
              <w:ind w:right="0"/>
              <w:jc w:val="center"/>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行政单位</w:t>
            </w:r>
          </w:p>
        </w:tc>
        <w:tc>
          <w:tcPr>
            <w:tcW w:w="1969" w:type="dxa"/>
          </w:tcPr>
          <w:p>
            <w:pPr>
              <w:widowControl w:val="0"/>
              <w:wordWrap/>
              <w:spacing w:line="560" w:lineRule="exact"/>
              <w:ind w:right="0"/>
              <w:jc w:val="center"/>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财政拨款</w:t>
            </w:r>
          </w:p>
        </w:tc>
      </w:tr>
    </w:tbl>
    <w:p>
      <w:pPr>
        <w:widowControl w:val="0"/>
        <w:wordWrap/>
        <w:spacing w:line="560" w:lineRule="exact"/>
        <w:ind w:right="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3.人员</w:t>
      </w:r>
    </w:p>
    <w:p>
      <w:pPr>
        <w:widowControl w:val="0"/>
        <w:wordWrap/>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2024年在编人员数量:</w:t>
      </w:r>
    </w:p>
    <w:p>
      <w:pPr>
        <w:widowControl w:val="0"/>
        <w:wordWrap/>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行政编制人数：21人</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事业编制人数:24人</w:t>
      </w:r>
    </w:p>
    <w:p>
      <w:pPr>
        <w:widowControl w:val="0"/>
        <w:wordWrap/>
        <w:spacing w:line="560" w:lineRule="exact"/>
        <w:ind w:right="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4.资产：</w:t>
      </w:r>
    </w:p>
    <w:p>
      <w:pPr>
        <w:widowControl w:val="0"/>
        <w:wordWrap/>
        <w:spacing w:line="560" w:lineRule="exact"/>
        <w:ind w:left="0" w:leftChars="0" w:right="0" w:firstLine="640" w:firstLineChars="200"/>
        <w:textAlignment w:val="auto"/>
        <w:outlineLvl w:val="9"/>
        <w:rPr>
          <w:rFonts w:hint="eastAsia" w:ascii="微软雅黑" w:hAnsi="微软雅黑" w:eastAsia="微软雅黑" w:cs="微软雅黑"/>
          <w:color w:val="000000"/>
          <w:kern w:val="0"/>
          <w:sz w:val="28"/>
          <w:szCs w:val="28"/>
          <w:lang w:val="en-US" w:eastAsia="zh-CN" w:bidi="ar"/>
        </w:rPr>
      </w:pPr>
      <w:r>
        <w:rPr>
          <w:rFonts w:hint="eastAsia" w:ascii="仿宋" w:hAnsi="仿宋" w:eastAsia="仿宋"/>
          <w:sz w:val="32"/>
          <w:szCs w:val="32"/>
          <w:lang w:val="en-US" w:eastAsia="zh-CN"/>
        </w:rPr>
        <w:t>截止到2024年年底石家庄市鹿泉区黄壁庄镇人民政府货币资金58.46万元，固定资产净值704.47万元。</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sectPr>
          <w:pgSz w:w="11900" w:h="16840"/>
          <w:pgMar w:top="1361" w:right="1020" w:bottom="1361" w:left="1020" w:header="720" w:footer="720" w:gutter="0"/>
          <w:pgNumType w:start="1"/>
        </w:sectPr>
      </w:pP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keepNext w:val="0"/>
        <w:keepLines w:val="0"/>
        <w:widowControl/>
        <w:suppressLineNumbers w:val="0"/>
        <w:jc w:val="left"/>
      </w:pPr>
      <w:r>
        <w:rPr>
          <w:rFonts w:hint="eastAsia" w:ascii="仿宋" w:hAnsi="仿宋" w:eastAsia="仿宋"/>
          <w:sz w:val="32"/>
          <w:szCs w:val="32"/>
          <w:lang w:val="en-US" w:eastAsia="zh-CN"/>
        </w:rPr>
        <w:t>2024年部门预算安排的总体情况：</w:t>
      </w:r>
      <w:r>
        <w:rPr>
          <w:rFonts w:hint="eastAsia" w:ascii="微软雅黑" w:hAnsi="微软雅黑" w:eastAsia="微软雅黑" w:cs="微软雅黑"/>
          <w:color w:val="000000"/>
          <w:kern w:val="0"/>
          <w:sz w:val="28"/>
          <w:szCs w:val="28"/>
          <w:lang w:val="en-US" w:eastAsia="zh-CN" w:bidi="ar"/>
        </w:rPr>
        <w:t xml:space="preserve"> </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default" w:ascii="仿宋" w:hAnsi="仿宋" w:eastAsia="仿宋"/>
          <w:sz w:val="32"/>
          <w:szCs w:val="32"/>
          <w:lang w:val="en-US" w:eastAsia="zh-CN"/>
        </w:rPr>
        <w:t>1</w:t>
      </w:r>
      <w:r>
        <w:rPr>
          <w:rFonts w:hint="eastAsia" w:ascii="仿宋" w:hAnsi="仿宋" w:eastAsia="仿宋"/>
          <w:sz w:val="32"/>
          <w:szCs w:val="32"/>
          <w:lang w:val="en-US" w:eastAsia="zh-CN"/>
        </w:rPr>
        <w:t>、收入说明：反映本部门当年全部收入。</w:t>
      </w:r>
      <w:r>
        <w:rPr>
          <w:rFonts w:hint="default" w:ascii="仿宋" w:hAnsi="仿宋" w:eastAsia="仿宋"/>
          <w:sz w:val="32"/>
          <w:szCs w:val="32"/>
          <w:lang w:val="en-US" w:eastAsia="zh-CN"/>
        </w:rPr>
        <w:t>202</w:t>
      </w:r>
      <w:r>
        <w:rPr>
          <w:rFonts w:hint="eastAsia" w:ascii="仿宋" w:hAnsi="仿宋" w:eastAsia="仿宋"/>
          <w:sz w:val="32"/>
          <w:szCs w:val="32"/>
          <w:lang w:val="en-US" w:eastAsia="zh-CN"/>
        </w:rPr>
        <w:t>4年预算收入 1622.89</w:t>
      </w:r>
      <w:r>
        <w:rPr>
          <w:rFonts w:hint="default" w:ascii="仿宋" w:hAnsi="仿宋" w:eastAsia="仿宋"/>
          <w:sz w:val="32"/>
          <w:szCs w:val="32"/>
          <w:lang w:val="en-US" w:eastAsia="zh-CN"/>
        </w:rPr>
        <w:t xml:space="preserve"> </w:t>
      </w:r>
      <w:r>
        <w:rPr>
          <w:rFonts w:hint="eastAsia" w:ascii="仿宋" w:hAnsi="仿宋" w:eastAsia="仿宋"/>
          <w:sz w:val="32"/>
          <w:szCs w:val="32"/>
          <w:lang w:val="en-US" w:eastAsia="zh-CN"/>
        </w:rPr>
        <w:t xml:space="preserve">万元，其中：一般公共预算收入 1544.22万元，基金预算收入 0万元，财政专户核拨收入 </w:t>
      </w:r>
      <w:r>
        <w:rPr>
          <w:rFonts w:hint="default" w:ascii="仿宋" w:hAnsi="仿宋" w:eastAsia="仿宋"/>
          <w:sz w:val="32"/>
          <w:szCs w:val="32"/>
          <w:lang w:val="en-US" w:eastAsia="zh-CN"/>
        </w:rPr>
        <w:t xml:space="preserve">0 </w:t>
      </w:r>
      <w:r>
        <w:rPr>
          <w:rFonts w:hint="eastAsia" w:ascii="仿宋" w:hAnsi="仿宋" w:eastAsia="仿宋"/>
          <w:sz w:val="32"/>
          <w:szCs w:val="32"/>
          <w:lang w:val="en-US" w:eastAsia="zh-CN"/>
        </w:rPr>
        <w:t>万元，其他来源收入（单位资金）</w:t>
      </w:r>
      <w:r>
        <w:rPr>
          <w:rFonts w:hint="default" w:ascii="仿宋" w:hAnsi="仿宋" w:eastAsia="仿宋"/>
          <w:sz w:val="32"/>
          <w:szCs w:val="32"/>
          <w:lang w:val="en-US" w:eastAsia="zh-CN"/>
        </w:rPr>
        <w:t xml:space="preserve">0 </w:t>
      </w:r>
      <w:r>
        <w:rPr>
          <w:rFonts w:hint="eastAsia" w:ascii="仿宋" w:hAnsi="仿宋" w:eastAsia="仿宋"/>
          <w:sz w:val="32"/>
          <w:szCs w:val="32"/>
          <w:lang w:val="en-US" w:eastAsia="zh-CN"/>
        </w:rPr>
        <w:t xml:space="preserve">万元，上年结转结余78.67万元。 </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2.支出说明：收支预算总表支出栏、基本支出表、项目支出表按经济分类和支出功能分类科目编制，反映鹿泉区黄壁庄镇年度部门预算中支出预算的总体情况。</w:t>
      </w:r>
      <w:r>
        <w:rPr>
          <w:rFonts w:hint="default" w:ascii="仿宋" w:hAnsi="仿宋" w:eastAsia="仿宋"/>
          <w:sz w:val="32"/>
          <w:szCs w:val="32"/>
          <w:lang w:val="en-US" w:eastAsia="zh-CN"/>
        </w:rPr>
        <w:t>202</w:t>
      </w:r>
      <w:r>
        <w:rPr>
          <w:rFonts w:hint="eastAsia" w:ascii="仿宋" w:hAnsi="仿宋" w:eastAsia="仿宋"/>
          <w:sz w:val="32"/>
          <w:szCs w:val="32"/>
          <w:lang w:val="en-US" w:eastAsia="zh-CN"/>
        </w:rPr>
        <w:t>4年支出预算 1622.89万元，其中基本支出 1049.06万元，包括人员经费825.52</w:t>
      </w:r>
      <w:r>
        <w:rPr>
          <w:rFonts w:hint="default" w:ascii="仿宋" w:hAnsi="仿宋" w:eastAsia="仿宋"/>
          <w:sz w:val="32"/>
          <w:szCs w:val="32"/>
          <w:lang w:val="en-US" w:eastAsia="zh-CN"/>
        </w:rPr>
        <w:t xml:space="preserve"> </w:t>
      </w:r>
      <w:r>
        <w:rPr>
          <w:rFonts w:hint="eastAsia" w:ascii="仿宋" w:hAnsi="仿宋" w:eastAsia="仿宋"/>
          <w:sz w:val="32"/>
          <w:szCs w:val="32"/>
          <w:lang w:val="en-US" w:eastAsia="zh-CN"/>
        </w:rPr>
        <w:t>万元和日常公用经费223.54万元；项目支出 573.83万元。</w:t>
      </w:r>
    </w:p>
    <w:p>
      <w:pPr>
        <w:widowControl w:val="0"/>
        <w:wordWrap/>
        <w:spacing w:line="560" w:lineRule="exact"/>
        <w:ind w:right="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2024年</w:t>
      </w:r>
      <w:r>
        <w:rPr>
          <w:rFonts w:hint="default" w:ascii="仿宋" w:hAnsi="仿宋" w:eastAsia="仿宋"/>
          <w:sz w:val="32"/>
          <w:szCs w:val="32"/>
          <w:lang w:val="en-US" w:eastAsia="zh-CN"/>
        </w:rPr>
        <w:t>部门</w:t>
      </w:r>
      <w:r>
        <w:rPr>
          <w:rFonts w:hint="eastAsia" w:ascii="仿宋" w:hAnsi="仿宋" w:eastAsia="仿宋"/>
          <w:sz w:val="32"/>
          <w:szCs w:val="32"/>
          <w:lang w:val="en-US" w:eastAsia="zh-CN"/>
        </w:rPr>
        <w:t>决算</w:t>
      </w:r>
      <w:r>
        <w:rPr>
          <w:rFonts w:hint="default" w:ascii="仿宋" w:hAnsi="仿宋" w:eastAsia="仿宋"/>
          <w:sz w:val="32"/>
          <w:szCs w:val="32"/>
          <w:lang w:val="en-US" w:eastAsia="zh-CN"/>
        </w:rPr>
        <w:t>的总体情况</w:t>
      </w:r>
      <w:r>
        <w:rPr>
          <w:rFonts w:hint="eastAsia" w:ascii="仿宋" w:hAnsi="仿宋" w:eastAsia="仿宋"/>
          <w:sz w:val="32"/>
          <w:szCs w:val="32"/>
          <w:lang w:val="en-US" w:eastAsia="zh-CN"/>
        </w:rPr>
        <w:t>：</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1.收入说明：石家庄市鹿泉区黄壁庄镇人民政府2024年度收入合计1739.25万元，其中：财政拨款收入1739.25万元，占100%。</w:t>
      </w:r>
    </w:p>
    <w:p>
      <w:pPr>
        <w:widowControl w:val="0"/>
        <w:wordWrap/>
        <w:spacing w:line="560" w:lineRule="exact"/>
        <w:ind w:left="0" w:leftChars="0" w:right="0" w:firstLine="640" w:firstLineChars="200"/>
        <w:textAlignment w:val="auto"/>
        <w:outlineLvl w:val="9"/>
        <w:rPr>
          <w:rFonts w:hint="eastAsia" w:ascii="楷体" w:hAnsi="楷体" w:eastAsia="楷体" w:cs="楷体_GB2312"/>
          <w:bCs/>
          <w:sz w:val="32"/>
          <w:szCs w:val="32"/>
        </w:rPr>
      </w:pPr>
      <w:r>
        <w:rPr>
          <w:rFonts w:hint="eastAsia" w:ascii="仿宋" w:hAnsi="仿宋" w:eastAsia="仿宋"/>
          <w:sz w:val="32"/>
          <w:szCs w:val="32"/>
          <w:lang w:val="en-US" w:eastAsia="zh-CN"/>
        </w:rPr>
        <w:t>2.支出说明：石家庄市鹿泉区黄壁庄镇人民政府2024年度支出合计1739.25万元，其中：基本支出1013.57万元，占58.3%；项目支出725.68万元，占41.7%。</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pStyle w:val="8"/>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部门整体支出绩效目标：始终坚持以习近平新时代中国特色社会主义思想为指导，坚持以人民为中心的发展思想，深入学习宣传贯彻党的二十大精神，弘扬伟大建党精神，党政同心、干群同向、踔厉奋发、真抓实干，认真落实国家政策方针，充分发挥经济管理职能，团结带领全镇广大干部群众，抢抓北部振兴的重大机遇，坚持抓党建促乡村振兴、打造生态农业乡镇、主动融入滹沱河生态经济带，全方位推动五大振兴，全面打造沿滹沱河片区乡村振兴带。</w:t>
      </w:r>
    </w:p>
    <w:p>
      <w:pPr>
        <w:pStyle w:val="8"/>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加强本乡镇全体民众的政策引导，为全镇人民提供公共服务，主动维护社会稳定，积极构建和谐社会，防范安全生产事故，营造安全氛围，改善生态环境，持续巩固已建成的省级美丽乡村成果，为建设生态宜居、乡风文明、人民满意的黄壁庄努力奋斗！</w:t>
      </w:r>
    </w:p>
    <w:p>
      <w:pPr>
        <w:pStyle w:val="8"/>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一）发展优势产业，创建特色知名品牌。围绕镇域实际，鼓励支持石家庄市鹿泉区吉武农产品专业合作社、河北生之谷农业科技有限公司扩大发展规模，建设高质量产业园示范区，帮助扶持田村千汇多肉种植基地、古贤豆腐坊等品牌创建和市场宣传，扩大品牌知名度和影响力，做好产业融合，延长产业链，实现经济高质量发展。</w:t>
      </w:r>
    </w:p>
    <w:p>
      <w:pPr>
        <w:pStyle w:val="8"/>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二）完善基础设施，持续增进民生福祉。将持续不断改善民生列入重点工作，优化人居环境，持续加强基础设施建设，实现美丽乡村精品化，进一步提高群众幸福感和满意度。同时，抢抓北部振兴机遇，围绕滹沱河等资源优势，完善休闲娱乐等服务设施建设，吸引更多游客前来观光游玩。</w:t>
      </w:r>
    </w:p>
    <w:p>
      <w:pPr>
        <w:pStyle w:val="8"/>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三）注重项目建设，加大招商引资力度。通过招商推介领导小组引进更多优质项目在我镇落地生根。抢抓滹沱河生态经济带建设和水源地调整的重大机遇，持续优化营商环境，整合资源，加强对接，谋划推进绿色低碳高效的生态经济项目，打好项目建设翻身仗，为全区高质量发展做贡献。</w:t>
      </w:r>
    </w:p>
    <w:p>
      <w:pPr>
        <w:pStyle w:val="8"/>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四）完善基层治理体系，提升社会治理水平。大力弘扬新时代“枫桥经验”，构建一站式多元化矛盾纠纷化解机制，做到信访问题“动态清零”，打造无信访村。常态化开展扫黑除恶斗争，持续打击“村霸”等黑恶势力，深入推进宗教领域系统治理，有效化解宗教领域风险隐患。统筹做好安全生产、食品药品安全、消防、防火等工作，严防各类安全事故发生。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jc w:val="left"/>
        <w:textAlignment w:val="auto"/>
        <w:outlineLvl w:val="9"/>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部门整体支出绩效指标：绩效指标权重由各部门根据评价对象实际情况确定，总分设定为100分。原则上一级指标权重统一设置为：产出指标40分（包含数量、质量、时效、成本)、预算执行率指标 10分、效益指标 40 分（包含经济效益、社会效益、生态效益、可持续影响）、满意度指标 10分，二、三级指标所占权重应当根据指标重要程度、项目实施阶段等因素综合确定，准确反映预算项目的产出和效果。同类评价对象的指标权重设置基本一致，便于评价结果相互比较。</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评价资料收集：绩效自评工作小组确定需要收集的资料，通过翻阅项目账本、原始凭证、询问相关科室确定自评的数据资料，各科室积极配合，告知自评小组相关项目概况、社会效益，自评小组通过实地考察、走街访户确定项目相关的质量信息和群众满意度。</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评价过程：成立绩效自评工作小组，收集项目资料，全面了解建设项目管理制度和流程、资金使用情况、受益群体的反馈情况，在收集和审核项目资料的基础上，制定了绩效评价指标体系，并进一步修改和完善，最后根据评价标准和资料依据，进行了分析，得出评价结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评价工作管理组织：绩效自评工作小组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组长：刘磊</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副组长：刘爱琴</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ascii="仿宋" w:hAnsi="仿宋" w:eastAsia="仿宋"/>
          <w:sz w:val="32"/>
          <w:szCs w:val="32"/>
        </w:rPr>
      </w:pPr>
      <w:r>
        <w:rPr>
          <w:rFonts w:hint="eastAsia" w:ascii="仿宋" w:hAnsi="仿宋" w:eastAsia="仿宋"/>
          <w:sz w:val="32"/>
          <w:szCs w:val="32"/>
          <w:lang w:val="en-US" w:eastAsia="zh-CN"/>
        </w:rPr>
        <w:t>组员：杨晓宇、尹海霆</w:t>
      </w:r>
    </w:p>
    <w:p>
      <w:pPr>
        <w:spacing w:line="560" w:lineRule="exact"/>
        <w:rPr>
          <w:rFonts w:ascii="仿宋" w:hAnsi="仿宋" w:eastAsia="仿宋"/>
          <w:sz w:val="32"/>
          <w:szCs w:val="32"/>
        </w:rPr>
      </w:pP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评价方法：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成本效益分析法、对比分析法、因素分析法、公众评判法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评价过程：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1.部门整体支出绩效自评指表评分表的指标解释和指标说明，结合本单位实际情況作出分析；</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2、根据以上指标对比实际情况给与每个小项打分；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3、完成部门整体支出绩效自评指表评分表打分，进行总结全面分析本单位通过绩效评价分析存在的问题，提出的问题，并且进行分析整改。</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ascii="楷体" w:hAnsi="楷体" w:eastAsia="楷体" w:cs="楷体_GB2312"/>
          <w:bCs/>
          <w:sz w:val="32"/>
          <w:szCs w:val="32"/>
        </w:rPr>
      </w:pPr>
      <w:r>
        <w:rPr>
          <w:rFonts w:hint="eastAsia" w:ascii="仿宋" w:hAnsi="仿宋" w:eastAsia="仿宋"/>
          <w:sz w:val="32"/>
          <w:szCs w:val="32"/>
          <w:lang w:val="en-US" w:eastAsia="zh-CN"/>
        </w:rPr>
        <w:t>4、将绩效评价结果运用。</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我单位积极履职，强化管理，能够根据年初工作规划和重点工作，加强预算收支管理，建立健全内部管理制度，梳理内部管理流程，使部门整体支出管理情況得到提升，认真落实国家政策方针，充分发挥经济管理职能，加强本乡镇全体民众的政策引导，为全镇人民提供公共服务，主动维护社会稳定，积极构建和谐社会，防范安全生产事故，营造安全氛围，改善生态环境，持续巩固已建成的省级美丽乡村成果，力争</w:t>
      </w:r>
      <w:bookmarkStart w:id="0" w:name="_GoBack"/>
      <w:bookmarkEnd w:id="0"/>
      <w:r>
        <w:rPr>
          <w:rFonts w:hint="eastAsia" w:ascii="仿宋" w:hAnsi="仿宋" w:eastAsia="仿宋"/>
          <w:sz w:val="32"/>
          <w:szCs w:val="32"/>
          <w:lang w:val="en-US" w:eastAsia="zh-CN"/>
        </w:rPr>
        <w:t>按时并高质量完成绩效目标。</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（1）2024年区级232省道至小壁林区道路两侧美化绿化工程</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按照我镇“十四五”规划中建设滹沱河沿线美丽乡村片区的工作谋划，美化绿化该道路提升镇村形象；提高路网建设水平、优化营商环境、提升群众幸福指数；建设宜居宜游的美丽新农村。232省道至小壁林区道路两侧美化绿化，硬化1条上吕村到小壁林区乡间道路，道路两侧平整、加固两侧路肩，清理垃圾，修建树池，道路两侧种植可观赏树木，道路全段热熔标线。</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绩效指标：道路硬化大于等于2280平方米，种植可观赏树木大于等于5000棵，道路热熔线大于等于1800米，清理垃圾4000方，验收合格率大于等于95%，及时完工率大于等于95%。全部达到绩效目标，得分100分。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（2）2024年区级截导流坑塘及配套工程后续运行管护资金</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绩效目标：为保证黄壁庄镇截导流坑塘及配套工程的正常运行，对截导流后续工作进行管护，改善水资源问题，优化环境，提升群众幸福指数。</w:t>
      </w:r>
      <w:r>
        <w:rPr>
          <w:rFonts w:hint="eastAsia" w:ascii="仿宋" w:hAnsi="仿宋" w:eastAsia="仿宋" w:cs="黑体"/>
          <w:kern w:val="2"/>
          <w:sz w:val="32"/>
          <w:szCs w:val="32"/>
          <w:lang w:val="en-US" w:eastAsia="zh-CN" w:bidi="ar-SA"/>
        </w:rPr>
        <w:tab/>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管护坑塘数量2个，污水设备运行单位成本8000元/年，管护成本48000元/年，二氧化氯粉材料费8000元/年，灌溉成本1000元/年，垃圾清运费800元/年，实际工程验收合格数量占总数量的比率大于等于95%，管护坑塘设备及时完工率大于等于95%。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（3）2024年区级滹沱河生态修复三期工程占地补偿费</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滹沱河生态修复三期工程占地生态补贴后美化乡村环境，工程量包括6.7公里主槽疏浚、岸坡修整、岸坡防护、水生态及道路修复，土方开挖375万立方米，生态绿化面积达到379.11万平方米，该项目2021年全部完工，项目占用下黄壁村、黄壁庄村集体土地478.86亩。补贴到位后缓解村内困难人民生活困难，进一步提升群众生活水平，提升群众幸福感。</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拥有集体土地使用证的总占地面积478.86亩，拥有集体土地使用证占地面积每亩补贴标准1440元/亩，拥有其他土地使用证的总占用面积2818.14亩，拥有其他土地占用面积每亩补贴标准400元、亩，补助、补贴发放覆盖率95%，补助、补贴发放时间：按规定时间及时发放。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（4）2024年区级军队退役人员劳务派遣、公益岗位工资及保险</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绩效目标：我镇对符合就业困难条件退役军人13人，实行公益岗位托管安置；帮扶救助到位，加大救助工作，实现就业；使退役军人实现最基本生活保障，通过公益岗位予以托管，共需资金72.2万元。</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涉军人员工资发放完成率100%,退役军人人数13人，涉军人员工资发放及时率100%，涉军人员工资标准不低于3300元；维持单位服务能力98%；涉军公益岗位人员工资发放完成情况100%。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（5）2024年区级村庄规划费</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按照区自然资源和规划局“多规合一”实用性村庄规划编制要求，编制黄壁庄镇10个村村庄规划，主要是结合村庄现状，利用原有路基、空闲地，优化村庄道路布局使农村居住环境进一步提升，提升人民群众居住幸福感。</w:t>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村庄规划编制数量10个，村庄规划编制合格率100%，村庄规划编制及时完成率100%，村庄规划编制成本15万元，村庄规划编制持续发展作用大于等于30年，受益人群不少于19000人，群众满意度不低于95%，实际群众满意度90%，扣一分，得分99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（6）2024年区级乡镇室外公厕建设</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绩效目标：进一步改善农村环境卫生，按照创建全国文明城市的建设要求，乡镇镇前大街和新时代文明实践所需有室外公厕，建设标准应达到全国文明城创建考核要求。</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绩效指标：建设1座室外公厕；项目验收通过率达到100%；完工及时率达到100%；项目完工总成本12万元；改善农村环境卫生；提高基本公共服务水平；人口满意度达到95%。全部达到绩效目标，得分100分。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（7）2024年区级93507部队置换土地地上附着物相关补偿申请</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绩效目标：地上附着物评估总价115786.11元，施工单位垫付地上附着物补偿57893.04元，剩余57893.07元约定2023年12月给付给群众。以维护黄壁庄稳定，保障村民权益，提高群众幸福感、安全感、获得感。</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拥有集体土地使用证的总占地面积为21.72亩；补贴成本为57893.07元；补助发放覆盖率大于等于95%；补贴按规定及时发放；受补助人群生活水平提高；补贴发放后得到村民好评；群众满意度不低于95%。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（8）2024区级镇区污水处理设备运行及管护</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绩效目标：定期对镇区2座污水处理站和4座提升泵站进行维护检修，保障电力供应，确保设备有效运行</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污水处理站2个；提升泵站4个；工程验收合格率不低于95%；工程按时完工率不低于95%；每年运行维护电费15万元、运行维护污泥处理及检测费4万元、运行维护维修费3万元、运行维护药剂及润滑油费用8万元、运行维护人员工资及劳保福利10万元；实际受益18000人；群众满意度不低于95%。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（9）2024年区级镇域绿化管护</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对京获路、幸福街、维明路、兴庄路、战备路、滨河路等镇区范围内2500棵树木、13000余平方米花草进行有效管护，包括除草、浇水、修建、打药除虫、清理垃圾等，保证成活率。除草5次以上，浇水10次以上，修剪5次以上，打药除虫施肥3次以上，随时清理绿化带垃圾，保证绿化带无垃圾堆积。</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管护树木2500棵；管护花草面积13000余平方米；除草次数不少于5次；浇水次数不少于10次；修剪次数不少于5次对绿化带打药除虫施肥不少于3次；管护成本20万元；项目持续发挥作用期限不少于10年；实际受益人数不少于18000人；群众满意度不低于95%。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（10）2024年镇级专项公用经费</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 2023年专项公用经费预算资金，保障全单位88人工作正常，共计164万元。保障单位日常工作正常运转</w:t>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保障办公人数88人；各项日常工作保障率不低于98%；及时保障各项日常办公需要不低于98%；单位人员满意度不低于98%；长期使用性，长期保障；专项公用经费支出，按规定支出。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（11）公共文化设施免费开放（乡镇文化站）</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绩效目标：举办黄壁庄镇文化公共设施免费开放交流活动，扩大黄壁庄镇影响力，提升人民幸福指数、提升人民生活质量。</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免费开放交流活动场次不低于5场；春节群众文化活动次数1次成本2000元；中秋和春节文化汇演活动次数2次成本4000元；文化活动宣传费用1000元；文化图书和杂志成本3000元；免费开放交流活动覆盖率，黄壁庄镇10个行政村都可参与免费开放活动；交流活动按期完成率不低于98%；举办文化活动持续性不低于5年；人民群众满意度不低于98%。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（12）2024年镇级代课老师工资</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绩效目标：用于2024年全年镇级43名代课教师工资，满足学校工作正常运转。</w:t>
      </w:r>
      <w:r>
        <w:rPr>
          <w:rFonts w:hint="eastAsia" w:ascii="仿宋" w:hAnsi="仿宋" w:eastAsia="仿宋" w:cs="黑体"/>
          <w:kern w:val="2"/>
          <w:sz w:val="32"/>
          <w:szCs w:val="32"/>
          <w:lang w:val="en-US" w:eastAsia="zh-CN" w:bidi="ar-SA"/>
        </w:rPr>
        <w:tab/>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保障人数43人；工资发放的准确性不低于98%；工资发放及时性，按规定时间发放；工资发放标准，按规定执行；长期使用性，长期发放；单位人员满意度不低于98%。实际单位人员满意度95%扣1分，得分99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（13）石财农【2022】89号2022年省级农村综合改革（上黄壁村一事一议项目）</w:t>
      </w:r>
    </w:p>
    <w:p>
      <w:pPr>
        <w:pStyle w:val="9"/>
        <w:rPr>
          <w:rFonts w:hint="eastAsia" w:ascii="仿宋" w:hAnsi="仿宋" w:eastAsia="仿宋" w:cs="黑体"/>
          <w:kern w:val="2"/>
          <w:sz w:val="32"/>
          <w:szCs w:val="32"/>
          <w:lang w:val="en-US" w:eastAsia="uk-UA" w:bidi="ar-SA"/>
        </w:rPr>
      </w:pPr>
      <w:r>
        <w:rPr>
          <w:rFonts w:hint="eastAsia" w:ascii="仿宋" w:hAnsi="仿宋" w:eastAsia="仿宋" w:cs="黑体"/>
          <w:kern w:val="2"/>
          <w:sz w:val="32"/>
          <w:szCs w:val="32"/>
          <w:lang w:val="en-US" w:eastAsia="uk-UA" w:bidi="ar-SA"/>
        </w:rPr>
        <w:t>绩效目标：给村民解决村内雨水排放，防汛安全问题，维修提升上黄壁村雨水排放管道</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新建排水管道242米，村南60cm水泥管111米，渠道垒石块约45立方米，缝隙抹灰400平米，1.5寸镀锌管防护栏170米。</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绩效指标:新建排水管道长度242米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修建水泥管长度111米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渠道垒石块体积</w:t>
      </w:r>
      <w:r>
        <w:rPr>
          <w:rFonts w:hint="eastAsia" w:ascii="仿宋" w:hAnsi="仿宋" w:eastAsia="仿宋" w:cs="黑体"/>
          <w:kern w:val="2"/>
          <w:sz w:val="32"/>
          <w:szCs w:val="32"/>
          <w:lang w:val="en-US" w:eastAsia="zh-CN" w:bidi="ar-SA"/>
        </w:rPr>
        <w:t>45</w:t>
      </w:r>
      <w:r>
        <w:rPr>
          <w:rFonts w:hint="eastAsia" w:ascii="仿宋" w:hAnsi="仿宋" w:eastAsia="仿宋" w:cs="黑体"/>
          <w:kern w:val="2"/>
          <w:sz w:val="32"/>
          <w:szCs w:val="32"/>
          <w:lang w:val="en-US" w:eastAsia="uk-UA" w:bidi="ar-SA"/>
        </w:rPr>
        <w:t>立方米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缝隙抹灰面积400平米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镀锌防护栏长度</w:t>
      </w:r>
      <w:r>
        <w:rPr>
          <w:rFonts w:hint="eastAsia" w:ascii="仿宋" w:hAnsi="仿宋" w:eastAsia="仿宋" w:cs="黑体"/>
          <w:kern w:val="2"/>
          <w:sz w:val="32"/>
          <w:szCs w:val="32"/>
          <w:lang w:val="en-US" w:eastAsia="uk-UA" w:bidi="ar-SA"/>
        </w:rPr>
        <w:tab/>
      </w:r>
      <w:r>
        <w:rPr>
          <w:rFonts w:hint="eastAsia" w:ascii="仿宋" w:hAnsi="仿宋" w:eastAsia="仿宋" w:cs="黑体"/>
          <w:kern w:val="2"/>
          <w:sz w:val="32"/>
          <w:szCs w:val="32"/>
          <w:lang w:val="en-US" w:eastAsia="uk-UA" w:bidi="ar-SA"/>
        </w:rPr>
        <w:t>170米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施工后使用年限</w:t>
      </w:r>
      <w:r>
        <w:rPr>
          <w:rFonts w:hint="eastAsia" w:ascii="仿宋" w:hAnsi="仿宋" w:eastAsia="仿宋" w:cs="黑体"/>
          <w:kern w:val="2"/>
          <w:sz w:val="32"/>
          <w:szCs w:val="32"/>
          <w:lang w:val="en-US" w:eastAsia="zh-CN" w:bidi="ar-SA"/>
        </w:rPr>
        <w:t>不低于</w:t>
      </w:r>
      <w:r>
        <w:rPr>
          <w:rFonts w:hint="eastAsia" w:ascii="仿宋" w:hAnsi="仿宋" w:eastAsia="仿宋" w:cs="黑体"/>
          <w:kern w:val="2"/>
          <w:sz w:val="32"/>
          <w:szCs w:val="32"/>
          <w:lang w:val="en-US" w:eastAsia="uk-UA" w:bidi="ar-SA"/>
        </w:rPr>
        <w:t>10年</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改善雨水排放环境</w:t>
      </w:r>
      <w:r>
        <w:rPr>
          <w:rFonts w:hint="eastAsia" w:ascii="仿宋" w:hAnsi="仿宋" w:eastAsia="仿宋" w:cs="黑体"/>
          <w:kern w:val="2"/>
          <w:sz w:val="32"/>
          <w:szCs w:val="32"/>
          <w:lang w:val="en-US" w:eastAsia="zh-CN" w:bidi="ar-SA"/>
        </w:rPr>
        <w:t>；人民</w:t>
      </w:r>
      <w:r>
        <w:rPr>
          <w:rFonts w:hint="eastAsia" w:ascii="仿宋" w:hAnsi="仿宋" w:eastAsia="仿宋" w:cs="黑体"/>
          <w:kern w:val="2"/>
          <w:sz w:val="32"/>
          <w:szCs w:val="32"/>
          <w:lang w:val="en-US" w:eastAsia="uk-UA" w:bidi="ar-SA"/>
        </w:rPr>
        <w:t>满意度</w:t>
      </w:r>
      <w:r>
        <w:rPr>
          <w:rFonts w:hint="eastAsia" w:ascii="仿宋" w:hAnsi="仿宋" w:eastAsia="仿宋" w:cs="黑体"/>
          <w:kern w:val="2"/>
          <w:sz w:val="32"/>
          <w:szCs w:val="32"/>
          <w:lang w:val="en-US" w:eastAsia="zh-CN" w:bidi="ar-SA"/>
        </w:rPr>
        <w:t>不低于</w:t>
      </w:r>
      <w:r>
        <w:rPr>
          <w:rFonts w:hint="eastAsia" w:ascii="仿宋" w:hAnsi="仿宋" w:eastAsia="仿宋" w:cs="黑体"/>
          <w:kern w:val="2"/>
          <w:sz w:val="32"/>
          <w:szCs w:val="32"/>
          <w:lang w:val="en-US" w:eastAsia="uk-UA" w:bidi="ar-SA"/>
        </w:rPr>
        <w:t>95%</w:t>
      </w:r>
      <w:r>
        <w:rPr>
          <w:rFonts w:hint="eastAsia" w:ascii="仿宋" w:hAnsi="仿宋" w:eastAsia="仿宋" w:cs="黑体"/>
          <w:kern w:val="2"/>
          <w:sz w:val="32"/>
          <w:szCs w:val="32"/>
          <w:lang w:val="en-US" w:eastAsia="zh-CN" w:bidi="ar-SA"/>
        </w:rPr>
        <w:t>。全部达到绩效目标，得分100分。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（14）石财农【2022】89号2022年省级农村综合改革（田村一事一议项目）</w:t>
      </w:r>
    </w:p>
    <w:p>
      <w:pPr>
        <w:pStyle w:val="9"/>
        <w:rPr>
          <w:rFonts w:hint="eastAsia" w:ascii="仿宋" w:hAnsi="仿宋" w:eastAsia="仿宋" w:cs="黑体"/>
          <w:kern w:val="2"/>
          <w:sz w:val="32"/>
          <w:szCs w:val="32"/>
          <w:lang w:val="en-US" w:eastAsia="uk-UA" w:bidi="ar-SA"/>
        </w:rPr>
      </w:pPr>
      <w:r>
        <w:rPr>
          <w:rFonts w:hint="eastAsia" w:ascii="仿宋" w:hAnsi="仿宋" w:eastAsia="仿宋" w:cs="黑体"/>
          <w:kern w:val="2"/>
          <w:sz w:val="32"/>
          <w:szCs w:val="32"/>
          <w:lang w:val="en-US" w:eastAsia="uk-UA" w:bidi="ar-SA"/>
        </w:rPr>
        <w:t>绩效目标：</w:t>
      </w:r>
      <w:r>
        <w:rPr>
          <w:rFonts w:hint="eastAsia" w:ascii="仿宋" w:hAnsi="仿宋" w:eastAsia="仿宋" w:cs="黑体"/>
          <w:kern w:val="2"/>
          <w:sz w:val="32"/>
          <w:szCs w:val="32"/>
          <w:lang w:val="en-US" w:eastAsia="zh-CN" w:bidi="ar-SA"/>
        </w:rPr>
        <w:t>通过对育英街八巷道路进行沥青混凝土硬化更换污水井盖事宜，硬化改善田村道路情况，增强村民的幸福感、获得感。更换铸铁井盖13个，挖沟槽土方624平方米，回填方605.63平方米，余土弃置18.37平方米，车行道平整、铺设水泥混凝土840平方米。</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绩效指标:更换铸铁井盖的数量13座</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挖沟槽土方的体积624立方米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回填方体积605.63立方米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余方弃置体积18.37立方米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车行道硬化整形面积840平方米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施工后使用年限</w:t>
      </w:r>
      <w:r>
        <w:rPr>
          <w:rFonts w:hint="eastAsia" w:ascii="仿宋" w:hAnsi="仿宋" w:eastAsia="仿宋" w:cs="黑体"/>
          <w:kern w:val="2"/>
          <w:sz w:val="32"/>
          <w:szCs w:val="32"/>
          <w:lang w:val="en-US" w:eastAsia="zh-CN" w:bidi="ar-SA"/>
        </w:rPr>
        <w:t>不少于</w:t>
      </w:r>
      <w:r>
        <w:rPr>
          <w:rFonts w:hint="eastAsia" w:ascii="仿宋" w:hAnsi="仿宋" w:eastAsia="仿宋" w:cs="黑体"/>
          <w:kern w:val="2"/>
          <w:sz w:val="32"/>
          <w:szCs w:val="32"/>
          <w:lang w:val="en-US" w:eastAsia="uk-UA" w:bidi="ar-SA"/>
        </w:rPr>
        <w:t>10年</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改善农村道路环境</w:t>
      </w:r>
      <w:r>
        <w:rPr>
          <w:rFonts w:hint="eastAsia" w:ascii="仿宋" w:hAnsi="仿宋" w:eastAsia="仿宋" w:cs="黑体"/>
          <w:kern w:val="2"/>
          <w:sz w:val="32"/>
          <w:szCs w:val="32"/>
          <w:lang w:val="en-US" w:eastAsia="zh-CN" w:bidi="ar-SA"/>
        </w:rPr>
        <w:t>；人民</w:t>
      </w:r>
      <w:r>
        <w:rPr>
          <w:rFonts w:hint="eastAsia" w:ascii="仿宋" w:hAnsi="仿宋" w:eastAsia="仿宋" w:cs="黑体"/>
          <w:kern w:val="2"/>
          <w:sz w:val="32"/>
          <w:szCs w:val="32"/>
          <w:lang w:val="en-US" w:eastAsia="uk-UA" w:bidi="ar-SA"/>
        </w:rPr>
        <w:t>满意度</w:t>
      </w:r>
      <w:r>
        <w:rPr>
          <w:rFonts w:hint="eastAsia" w:ascii="仿宋" w:hAnsi="仿宋" w:eastAsia="仿宋" w:cs="黑体"/>
          <w:kern w:val="2"/>
          <w:sz w:val="32"/>
          <w:szCs w:val="32"/>
          <w:lang w:val="en-US" w:eastAsia="zh-CN" w:bidi="ar-SA"/>
        </w:rPr>
        <w:t>不低于</w:t>
      </w:r>
      <w:r>
        <w:rPr>
          <w:rFonts w:hint="eastAsia" w:ascii="仿宋" w:hAnsi="仿宋" w:eastAsia="仿宋" w:cs="黑体"/>
          <w:kern w:val="2"/>
          <w:sz w:val="32"/>
          <w:szCs w:val="32"/>
          <w:lang w:val="en-US" w:eastAsia="uk-UA" w:bidi="ar-SA"/>
        </w:rPr>
        <w:t>95%</w:t>
      </w:r>
      <w:r>
        <w:rPr>
          <w:rFonts w:hint="eastAsia" w:ascii="仿宋" w:hAnsi="仿宋" w:eastAsia="仿宋" w:cs="黑体"/>
          <w:kern w:val="2"/>
          <w:sz w:val="32"/>
          <w:szCs w:val="32"/>
          <w:lang w:val="en-US" w:eastAsia="zh-CN" w:bidi="ar-SA"/>
        </w:rPr>
        <w:t>。全部达到绩效目标，得分100分。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（15）石财农【2022】89号2022年省级农村综合改革（下黄壁村一事一议项目）</w:t>
      </w:r>
    </w:p>
    <w:p>
      <w:pPr>
        <w:pStyle w:val="9"/>
        <w:rPr>
          <w:rFonts w:hint="eastAsia" w:ascii="仿宋" w:hAnsi="仿宋" w:eastAsia="仿宋" w:cs="黑体"/>
          <w:kern w:val="2"/>
          <w:sz w:val="32"/>
          <w:szCs w:val="32"/>
          <w:lang w:val="en-US" w:eastAsia="uk-UA" w:bidi="ar-SA"/>
        </w:rPr>
      </w:pPr>
      <w:r>
        <w:rPr>
          <w:rFonts w:hint="eastAsia" w:ascii="仿宋" w:hAnsi="仿宋" w:eastAsia="仿宋" w:cs="黑体"/>
          <w:kern w:val="2"/>
          <w:sz w:val="32"/>
          <w:szCs w:val="32"/>
          <w:lang w:val="en-US" w:eastAsia="uk-UA" w:bidi="ar-SA"/>
        </w:rPr>
        <w:t>绩效目标：</w:t>
      </w:r>
      <w:r>
        <w:rPr>
          <w:rFonts w:hint="eastAsia" w:ascii="仿宋" w:hAnsi="仿宋" w:eastAsia="仿宋" w:cs="黑体"/>
          <w:kern w:val="2"/>
          <w:sz w:val="32"/>
          <w:szCs w:val="32"/>
          <w:lang w:val="en-US" w:eastAsia="zh-CN" w:bidi="ar-SA"/>
        </w:rPr>
        <w:t>通过对安康街、众乐街道路进行沥青混凝土硬化更换污水井盖事宜，硬化改善下黄壁村庄道路情况，增强村民的幸福感、获得感。铺设沥青混凝土636米、宽4米、厚0.05米，更换铸铁井盖24个，型号700-800型，铣刨路面2544平方米，余方弃置23方，撒布粘层2544平方米。</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绩效指标:</w:t>
      </w:r>
      <w:r>
        <w:rPr>
          <w:rFonts w:hint="eastAsia" w:ascii="仿宋" w:hAnsi="仿宋" w:eastAsia="仿宋" w:cs="黑体"/>
          <w:kern w:val="2"/>
          <w:sz w:val="32"/>
          <w:szCs w:val="32"/>
          <w:lang w:val="en-US" w:eastAsia="zh-CN" w:bidi="ar-SA"/>
        </w:rPr>
        <w:t>铺设混凝土、撒布粘层油的面积2544平方米；更换铸铁井盖的数量24个；铣刨路面面积2544平方米；余土外运立方数114.48立方米；施工后使用年限不少于10年；改善农村道路环境；人民满意度不低于95%。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（16）石财农【2022】89号2022年省级农村综合改革（沿村一事一议项目）</w:t>
      </w:r>
    </w:p>
    <w:p>
      <w:pPr>
        <w:pStyle w:val="9"/>
        <w:rPr>
          <w:rFonts w:hint="eastAsia" w:ascii="仿宋" w:hAnsi="仿宋" w:eastAsia="仿宋" w:cs="黑体"/>
          <w:kern w:val="2"/>
          <w:sz w:val="32"/>
          <w:szCs w:val="32"/>
          <w:lang w:val="en-US" w:eastAsia="uk-UA" w:bidi="ar-SA"/>
        </w:rPr>
      </w:pPr>
      <w:r>
        <w:rPr>
          <w:rFonts w:hint="eastAsia" w:ascii="仿宋" w:hAnsi="仿宋" w:eastAsia="仿宋" w:cs="黑体"/>
          <w:kern w:val="2"/>
          <w:sz w:val="32"/>
          <w:szCs w:val="32"/>
          <w:lang w:val="en-US" w:eastAsia="uk-UA" w:bidi="ar-SA"/>
        </w:rPr>
        <w:t>绩效目标：</w:t>
      </w:r>
      <w:r>
        <w:rPr>
          <w:rFonts w:hint="eastAsia" w:ascii="仿宋" w:hAnsi="仿宋" w:eastAsia="仿宋" w:cs="黑体"/>
          <w:kern w:val="2"/>
          <w:sz w:val="32"/>
          <w:szCs w:val="32"/>
          <w:lang w:val="en-US" w:eastAsia="zh-CN" w:bidi="ar-SA"/>
        </w:rPr>
        <w:t>为了美丽乡村建设需要，经双委会研究，党员村民代表大会通过，实施沿村跃进街砌墙铺砖，路灯安装工程，美化农村环境，提高村民的获得感、幸福感，砌小墙8.84立方米，水泥砂浆抹面54.5平方米，便道砖铺设、砂石垫层1803平方米，土方7.56立方米，安装路灯35盏。</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绩效指标:</w:t>
      </w:r>
      <w:r>
        <w:rPr>
          <w:rFonts w:hint="eastAsia" w:ascii="仿宋" w:hAnsi="仿宋" w:eastAsia="仿宋" w:cs="黑体"/>
          <w:kern w:val="2"/>
          <w:sz w:val="32"/>
          <w:szCs w:val="32"/>
          <w:lang w:val="en-US" w:eastAsia="zh-CN" w:bidi="ar-SA"/>
        </w:rPr>
        <w:t>砌墙体积</w:t>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8.84立方米；水泥砂浆抹面面积54.54平方米；人行道整形碾压、铺砖面积1803平方米；挖基坑土方体积7.56立方米；安装一般路灯数量35套；施工后使用年限不少于10年；美化农村环境；人民满意度不低于95%。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（17）2024年区级田村废弃地道除险加固工程费用</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绩效目标：</w:t>
      </w:r>
      <w:r>
        <w:rPr>
          <w:rFonts w:hint="eastAsia" w:ascii="仿宋" w:hAnsi="仿宋" w:eastAsia="仿宋" w:cs="黑体"/>
          <w:kern w:val="2"/>
          <w:sz w:val="32"/>
          <w:szCs w:val="32"/>
          <w:lang w:val="en-US" w:eastAsia="zh-CN" w:bidi="ar-SA"/>
        </w:rPr>
        <w:t>对田村村25处地塌陷地方进行维修；到雨季时防止地道塌陷杜绝安全事故发生，消除安全隐患，保护村民生命财产安全，增强村民获得感、安全感、幸福感。</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绩效指标:</w:t>
      </w:r>
      <w:r>
        <w:rPr>
          <w:rFonts w:hint="eastAsia" w:ascii="仿宋" w:hAnsi="仿宋" w:eastAsia="仿宋" w:cs="黑体"/>
          <w:kern w:val="2"/>
          <w:sz w:val="32"/>
          <w:szCs w:val="32"/>
          <w:lang w:val="en-US" w:eastAsia="zh-CN" w:bidi="ar-SA"/>
        </w:rPr>
        <w:t>机械拆除12cm混凝土路面面积1200平方米，拆除人行道面积200平方米，路面垃圾外运体积144立方米，机械开挖土方体积4500立方米，人工回填坑槽体积4500立方米，恢复12cm厚混凝土路面面积1200平方米，铺设便道砖面积200平方米，砌筑污水井数量3座，维修更换双壁波纹管长度30米，砌筑砖墙面积100平方米，竣工验收合格率100%，项目按计划完工数占总工程量百分比100%，工程项目成本金额27万元，施工后使用年限不少于10年，消除安全隐患，保护村民生命财产安全消除安全隐患，人民满意度不低于95%。实际验收合格率98%扣1分，人民满意度89%扣2分，得分97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（18）2024年区级人居环境整治资金</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绩效目标：</w:t>
      </w:r>
      <w:r>
        <w:rPr>
          <w:rFonts w:hint="eastAsia" w:ascii="仿宋" w:hAnsi="仿宋" w:eastAsia="仿宋" w:cs="黑体"/>
          <w:kern w:val="2"/>
          <w:sz w:val="32"/>
          <w:szCs w:val="32"/>
          <w:lang w:val="en-US" w:eastAsia="zh-CN" w:bidi="ar-SA"/>
        </w:rPr>
        <w:t>对10个行政村的街道清扫保洁并对产生的垃圾及时清理，日产日清，达到生活垃圾无积存，保障农村生活垃圾清理范围全覆盖。</w:t>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绩效指标:</w:t>
      </w:r>
      <w:r>
        <w:rPr>
          <w:rFonts w:hint="eastAsia" w:ascii="仿宋" w:hAnsi="仿宋" w:eastAsia="仿宋" w:cs="黑体"/>
          <w:kern w:val="2"/>
          <w:sz w:val="32"/>
          <w:szCs w:val="32"/>
          <w:lang w:val="en-US" w:eastAsia="zh-CN" w:bidi="ar-SA"/>
        </w:rPr>
        <w:t>用于10个行政村的清扫保洁，生活垃圾的清运，所清扫的面积占应清扫面积的百分比100%，农村生活垃圾处理率不低于95%，保洁公司清扫生活垃圾服务期限1年，10个行政村生活垃圾处理预算金额20万元，农村生活垃圾处理及时率不低于95%，通过对10个行政村清扫保洁，进一步改善农村环境质量，提高群众生活环境，改善环境质量，受益群众满意度调查不少于90%。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（19）2024年区级大气污染防治资金</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绩效目标：</w:t>
      </w:r>
      <w:r>
        <w:rPr>
          <w:rFonts w:hint="eastAsia" w:ascii="仿宋" w:hAnsi="仿宋" w:eastAsia="仿宋" w:cs="黑体"/>
          <w:kern w:val="2"/>
          <w:sz w:val="32"/>
          <w:szCs w:val="32"/>
          <w:lang w:val="en-US" w:eastAsia="zh-CN" w:bidi="ar-SA"/>
        </w:rPr>
        <w:t>坚持高标准开展道路扬尘、裸露地面整治、垃圾清理工作，减少大气污染，改善农村生活环境，提高群众生活幸福感。</w:t>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绩效指标:</w:t>
      </w:r>
      <w:r>
        <w:rPr>
          <w:rFonts w:hint="eastAsia" w:ascii="仿宋" w:hAnsi="仿宋" w:eastAsia="仿宋" w:cs="黑体"/>
          <w:kern w:val="2"/>
          <w:sz w:val="32"/>
          <w:szCs w:val="32"/>
          <w:lang w:val="en-US" w:eastAsia="zh-CN" w:bidi="ar-SA"/>
        </w:rPr>
        <w:t>防治大气污染涉及行政村数量10个，所清扫的面积占应清扫面积不低于95%，所整治的道路扬尘、裸露地面占应整治道路扬尘、裸露地面的百分比不低于95%，我镇的空气综合指数得到改善程度空气综合指数得到改善10个行政村开展道路扬尘、场站治理、垃圾清理、裸露地面整治工作所需资金20万元，农村大气改善及时率不低于95%，通过对10个行政村大气污染防治，进一步改善农村环境质量，改善环境质量，保障10个行政村的大气环保工作得到保障，受益群众满意度调查不低于90%。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（20）2024年黄壁庄镇滹沱河沿岸和美乡村示范带环境卫生整治提升</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绩效目标：</w:t>
      </w:r>
      <w:r>
        <w:rPr>
          <w:rFonts w:hint="eastAsia" w:ascii="仿宋" w:hAnsi="仿宋" w:eastAsia="仿宋" w:cs="黑体"/>
          <w:kern w:val="2"/>
          <w:sz w:val="32"/>
          <w:szCs w:val="32"/>
          <w:lang w:val="en-US" w:eastAsia="zh-CN" w:bidi="ar-SA"/>
        </w:rPr>
        <w:t>围绕乡村生活垃圾、污水治理、基础设施、公共服务设施、村容村貌提升等方面，全面推进宜居宜业和美乡村建设步伐，清理垃圾21475立方，拆除私搭乱建、断壁残垣2810平方米，全域化排查，不留死角，将多年垃圾清理干净。</w:t>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绩效指标:</w:t>
      </w:r>
      <w:r>
        <w:rPr>
          <w:rFonts w:hint="eastAsia" w:ascii="仿宋" w:hAnsi="仿宋" w:eastAsia="仿宋" w:cs="黑体"/>
          <w:kern w:val="2"/>
          <w:sz w:val="32"/>
          <w:szCs w:val="32"/>
          <w:lang w:val="en-US" w:eastAsia="zh-CN" w:bidi="ar-SA"/>
        </w:rPr>
        <w:t>清理垃圾体积21475立方米，拆除私搭乱建、断壁残垣面积2810平方米，环境卫生整治处理率不低于95%，环境卫生整治及时率不低于95%，10个行政村环境卫生整治预算金额10万元，通过对10个行政村改造提升，进一步改善农村环境质量，提高群众生活环境，保障10个行政村的改造提升得到保障，受益群众满意度调查不低于90%。全部达到绩效目标，得分100分。</w:t>
      </w:r>
    </w:p>
    <w:p>
      <w:pPr>
        <w:pStyle w:val="9"/>
        <w:numPr>
          <w:ilvl w:val="0"/>
          <w:numId w:val="4"/>
        </w:numPr>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崔琳、李思梵溺亡帮扶救助资金</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绩效目标：</w:t>
      </w:r>
      <w:r>
        <w:rPr>
          <w:rFonts w:hint="eastAsia" w:ascii="仿宋" w:hAnsi="仿宋" w:eastAsia="仿宋" w:cs="黑体"/>
          <w:kern w:val="2"/>
          <w:sz w:val="32"/>
          <w:szCs w:val="32"/>
          <w:lang w:val="en-US" w:eastAsia="zh-CN" w:bidi="ar-SA"/>
        </w:rPr>
        <w:t>申请救助金53万元，解决死者家属部分合理需求，维护社会稳定。</w:t>
      </w:r>
      <w:r>
        <w:rPr>
          <w:rFonts w:hint="eastAsia" w:ascii="仿宋" w:hAnsi="仿宋" w:eastAsia="仿宋" w:cs="黑体"/>
          <w:kern w:val="2"/>
          <w:sz w:val="32"/>
          <w:szCs w:val="32"/>
          <w:lang w:val="en-US" w:eastAsia="zh-CN" w:bidi="ar-SA"/>
        </w:rPr>
        <w:tab/>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绩效指标:</w:t>
      </w:r>
      <w:r>
        <w:rPr>
          <w:rFonts w:hint="eastAsia" w:ascii="仿宋" w:hAnsi="仿宋" w:eastAsia="仿宋" w:cs="黑体"/>
          <w:kern w:val="2"/>
          <w:sz w:val="32"/>
          <w:szCs w:val="32"/>
          <w:lang w:val="en-US" w:eastAsia="zh-CN" w:bidi="ar-SA"/>
        </w:rPr>
        <w:t>黄壁庄镇实际发放补助人数2人，黄壁庄镇补助发放覆盖率100%，补助发放合规人数占发放总人数得比例100%，黄壁庄镇补助发放及时率100%，实际补助标准53万元，受补助人生活水平提高程度生活水平提高，维护社会稳定维护社会稳定，通过问卷调查，资助对象满意度调查不应低于95%。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（22）2024年中央农村综合改革转移支付预算（上黄壁一事一议项目）</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绩效目标：</w:t>
      </w:r>
      <w:r>
        <w:rPr>
          <w:rFonts w:hint="eastAsia" w:ascii="仿宋" w:hAnsi="仿宋" w:eastAsia="仿宋" w:cs="黑体"/>
          <w:kern w:val="2"/>
          <w:sz w:val="32"/>
          <w:szCs w:val="32"/>
          <w:lang w:val="en-US" w:eastAsia="zh-CN" w:bidi="ar-SA"/>
        </w:rPr>
        <w:t>将电线杆路灯更换为天阳能路灯，共28盏，新增太阳能路灯34盏，路灯60w，路灯灯杆高6米。项目共需资金102551元，省级奖补99564元，村级自筹2987元，方便村民出行，保障村民人身财产安全。</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绩效指标:</w:t>
      </w:r>
      <w:r>
        <w:rPr>
          <w:rFonts w:hint="eastAsia" w:ascii="仿宋" w:hAnsi="仿宋" w:eastAsia="仿宋" w:cs="黑体"/>
          <w:kern w:val="2"/>
          <w:sz w:val="32"/>
          <w:szCs w:val="32"/>
          <w:lang w:val="en-US" w:eastAsia="zh-CN" w:bidi="ar-SA"/>
        </w:rPr>
        <w:t>更换太阳能路灯需挖基坑土方数7.34立方米，更换太阳能路灯余方弃置数7.34立方米，拆除旧电线杆路灯数量28套，太阳能路灯高度6米，太阳能板功率60瓦，竣工验收合格率100%，项目按计划完工数占总工程量百分比100%，一事一议项目成本金额10.26万元，施工后使用年限不少于10年，方便村民出行，受益群众满意度不低于95%。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（23）2024年中央农村综合改革转移支付预算（下黄壁一事一议项目）</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绩效目标：</w:t>
      </w:r>
      <w:r>
        <w:rPr>
          <w:rFonts w:hint="eastAsia" w:ascii="仿宋" w:hAnsi="仿宋" w:eastAsia="仿宋" w:cs="黑体"/>
          <w:kern w:val="2"/>
          <w:sz w:val="32"/>
          <w:szCs w:val="32"/>
          <w:lang w:val="en-US" w:eastAsia="zh-CN" w:bidi="ar-SA"/>
        </w:rPr>
        <w:t>村内小巷道安装太阳能路灯，新装墙壁杆式太阳能路灯228盏，墙壁杆长1.8米，壁厚0.2毫米，材质热镀锌，太阳板80w，电池60AH铝电，安装每盏太阳能路灯需要4个膨胀螺丝，方便村民出行，保障村民人身财产安全。</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绩效指标:新装墙壁杆式太阳能路灯数量228盏</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新装墙壁杆长度1.8米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新装墙壁杆壁厚2毫米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新装墙壁杆式太阳能板功率80瓦</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新装墙壁杆式太阳能板电池容量60安时</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竣工验收合格率100%</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项目按计划完工数占总工程量百分比100%</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一事一议项目成本金额23.71万元</w:t>
      </w:r>
      <w:r>
        <w:rPr>
          <w:rFonts w:hint="eastAsia" w:ascii="仿宋" w:hAnsi="仿宋" w:eastAsia="仿宋" w:cs="黑体"/>
          <w:kern w:val="2"/>
          <w:sz w:val="32"/>
          <w:szCs w:val="32"/>
          <w:lang w:val="en-US" w:eastAsia="zh-CN" w:bidi="ar-SA"/>
        </w:rPr>
        <w:t>，施工后使用年限不少于10年，方便村民出行，受益群众满意度不低于95%。全部达到绩效目标，得分100分。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（24）2024年中央农村综合改革转移支付预算（沿村一事一议项目）</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绩效目标：</w:t>
      </w:r>
      <w:r>
        <w:rPr>
          <w:rFonts w:hint="eastAsia" w:ascii="仿宋" w:hAnsi="仿宋" w:eastAsia="仿宋" w:cs="黑体"/>
          <w:kern w:val="2"/>
          <w:sz w:val="32"/>
          <w:szCs w:val="32"/>
          <w:lang w:val="en-US" w:eastAsia="zh-CN" w:bidi="ar-SA"/>
        </w:rPr>
        <w:t>新兴街南头路东排水沟，浇筑底长64米宽1.3米厚0.15米，东排水沟壁64米高1米厚0.2米，西排水沟壁长20米，高1米，厚0.2米。主排水沟浇筑排水沟底分三段，第一段长71米宽6米，第二段245米宽4米，第三段长6米，宽6米，保障雨季排水通畅，保护村民生命财产安全。</w:t>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p>
    <w:p>
      <w:pPr>
        <w:pStyle w:val="9"/>
        <w:rPr>
          <w:rFonts w:hint="eastAsia" w:ascii="仿宋" w:hAnsi="仿宋" w:eastAsia="仿宋" w:cs="黑体"/>
          <w:kern w:val="2"/>
          <w:sz w:val="32"/>
          <w:szCs w:val="32"/>
          <w:lang w:val="en-US" w:eastAsia="uk-UA" w:bidi="ar-SA"/>
        </w:rPr>
      </w:pPr>
      <w:r>
        <w:rPr>
          <w:rFonts w:hint="eastAsia" w:ascii="仿宋" w:hAnsi="仿宋" w:eastAsia="仿宋" w:cs="黑体"/>
          <w:kern w:val="2"/>
          <w:sz w:val="32"/>
          <w:szCs w:val="32"/>
          <w:lang w:val="en-US" w:eastAsia="uk-UA" w:bidi="ar-SA"/>
        </w:rPr>
        <w:t>绩效指标:新兴街及主排水沟人工挖土方数145.95立方米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新兴街及主排水沟开挖清理土方数540.69立方米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新兴街及主排水沟垫层226.7立方米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新兴街及主排水沟排水沟底浇筑体积251.68平方米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新兴街排水沟回填方数32.46立方米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新兴街排水沟模板面积240.3平方米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竣工验收合格率100%</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项目按计划完工数占总工程量百分比100%</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一事一议项目成本金额20.14万元</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施工后使用年限10年</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保护村民生命财产安全</w:t>
      </w:r>
      <w:r>
        <w:rPr>
          <w:rFonts w:hint="eastAsia" w:ascii="仿宋" w:hAnsi="仿宋" w:eastAsia="仿宋" w:cs="黑体"/>
          <w:kern w:val="2"/>
          <w:sz w:val="32"/>
          <w:szCs w:val="32"/>
          <w:lang w:val="en-US" w:eastAsia="zh-CN" w:bidi="ar-SA"/>
        </w:rPr>
        <w:t>，受益群众满意度不低于95%。预算执行率未达100%扣1分，得分99分。</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eastAsia="zh-CN"/>
        </w:rPr>
        <w:t>202</w:t>
      </w:r>
      <w:r>
        <w:rPr>
          <w:rFonts w:hint="eastAsia" w:ascii="仿宋" w:hAnsi="仿宋" w:eastAsia="仿宋"/>
          <w:sz w:val="32"/>
          <w:szCs w:val="32"/>
          <w:lang w:val="en-US" w:eastAsia="zh-CN"/>
        </w:rPr>
        <w:t>4</w:t>
      </w:r>
      <w:r>
        <w:rPr>
          <w:rFonts w:hint="eastAsia" w:ascii="仿宋" w:hAnsi="仿宋" w:eastAsia="仿宋"/>
          <w:sz w:val="32"/>
          <w:szCs w:val="32"/>
          <w:lang w:eastAsia="zh-CN"/>
        </w:rPr>
        <w:t>年，我单位积极履职，强化管理，全部按时并高质量完成了目标任务，产出指标</w:t>
      </w:r>
      <w:r>
        <w:rPr>
          <w:rFonts w:hint="eastAsia" w:ascii="仿宋" w:hAnsi="仿宋" w:eastAsia="仿宋"/>
          <w:sz w:val="32"/>
          <w:szCs w:val="32"/>
          <w:lang w:val="en-US" w:eastAsia="zh-CN"/>
        </w:rPr>
        <w:t>39</w:t>
      </w:r>
      <w:r>
        <w:rPr>
          <w:rFonts w:hint="eastAsia" w:ascii="仿宋" w:hAnsi="仿宋" w:eastAsia="仿宋"/>
          <w:sz w:val="32"/>
          <w:szCs w:val="32"/>
          <w:lang w:eastAsia="zh-CN"/>
        </w:rPr>
        <w:t>分，效益指标</w:t>
      </w:r>
      <w:r>
        <w:rPr>
          <w:rFonts w:hint="eastAsia" w:ascii="仿宋" w:hAnsi="仿宋" w:eastAsia="仿宋"/>
          <w:sz w:val="32"/>
          <w:szCs w:val="32"/>
          <w:lang w:val="en-US" w:eastAsia="zh-CN"/>
        </w:rPr>
        <w:t>39</w:t>
      </w:r>
      <w:r>
        <w:rPr>
          <w:rFonts w:hint="eastAsia" w:ascii="仿宋" w:hAnsi="仿宋" w:eastAsia="仿宋"/>
          <w:sz w:val="32"/>
          <w:szCs w:val="32"/>
          <w:lang w:eastAsia="zh-CN"/>
        </w:rPr>
        <w:t>分，服务对象满意度</w:t>
      </w:r>
      <w:r>
        <w:rPr>
          <w:rFonts w:hint="eastAsia" w:ascii="仿宋" w:hAnsi="仿宋" w:eastAsia="仿宋"/>
          <w:sz w:val="32"/>
          <w:szCs w:val="32"/>
          <w:lang w:val="en-US" w:eastAsia="zh-CN"/>
        </w:rPr>
        <w:t>8</w:t>
      </w:r>
      <w:r>
        <w:rPr>
          <w:rFonts w:hint="eastAsia" w:ascii="仿宋" w:hAnsi="仿宋" w:eastAsia="仿宋"/>
          <w:sz w:val="32"/>
          <w:szCs w:val="32"/>
          <w:lang w:eastAsia="zh-CN"/>
        </w:rPr>
        <w:t>分，执行率</w:t>
      </w:r>
      <w:r>
        <w:rPr>
          <w:rFonts w:hint="eastAsia" w:ascii="仿宋" w:hAnsi="仿宋" w:eastAsia="仿宋"/>
          <w:sz w:val="32"/>
          <w:szCs w:val="32"/>
          <w:lang w:val="en-US" w:eastAsia="zh-CN"/>
        </w:rPr>
        <w:t>9分，</w:t>
      </w:r>
      <w:r>
        <w:rPr>
          <w:rFonts w:hint="eastAsia" w:ascii="仿宋" w:hAnsi="仿宋" w:eastAsia="仿宋"/>
          <w:sz w:val="32"/>
          <w:szCs w:val="32"/>
          <w:lang w:eastAsia="zh-CN"/>
        </w:rPr>
        <w:t>自评分数为</w:t>
      </w:r>
      <w:r>
        <w:rPr>
          <w:rFonts w:hint="eastAsia" w:ascii="仿宋" w:hAnsi="仿宋" w:eastAsia="仿宋"/>
          <w:sz w:val="32"/>
          <w:szCs w:val="32"/>
          <w:lang w:val="en-US" w:eastAsia="zh-CN"/>
        </w:rPr>
        <w:t>95</w:t>
      </w:r>
      <w:r>
        <w:rPr>
          <w:rFonts w:hint="eastAsia" w:ascii="仿宋" w:hAnsi="仿宋" w:eastAsia="仿宋"/>
          <w:sz w:val="32"/>
          <w:szCs w:val="32"/>
          <w:lang w:eastAsia="zh-CN"/>
        </w:rPr>
        <w:t>分，完成绩效目标。</w:t>
      </w:r>
      <w:r>
        <w:rPr>
          <w:rFonts w:hint="eastAsia" w:ascii="仿宋" w:hAnsi="仿宋" w:eastAsia="仿宋"/>
          <w:sz w:val="32"/>
          <w:szCs w:val="32"/>
          <w:lang w:val="en-US" w:eastAsia="zh-CN"/>
        </w:rPr>
        <w:t xml:space="preserve"> </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评价等级为优秀。</w:t>
      </w:r>
    </w:p>
    <w:p>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，给出总得分，满分100分，得出综合绩效评价等级。</w:t>
      </w:r>
      <w:r>
        <w:rPr>
          <w:rFonts w:hint="eastAsia" w:ascii="仿宋" w:hAnsi="仿宋" w:eastAsia="仿宋"/>
          <w:sz w:val="32"/>
          <w:szCs w:val="32"/>
          <w:lang w:eastAsia="zh-CN"/>
        </w:rPr>
        <w:t>部门整体支出</w:t>
      </w:r>
      <w:r>
        <w:rPr>
          <w:rFonts w:hint="eastAsia" w:ascii="仿宋" w:hAnsi="仿宋" w:eastAsia="仿宋"/>
          <w:sz w:val="32"/>
          <w:szCs w:val="32"/>
        </w:rPr>
        <w:t>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widowControl w:val="0"/>
        <w:wordWrap/>
        <w:spacing w:line="560" w:lineRule="exact"/>
        <w:ind w:left="0" w:leftChars="0" w:right="0" w:firstLine="640" w:firstLineChars="200"/>
        <w:textAlignment w:val="auto"/>
        <w:outlineLvl w:val="9"/>
        <w:rPr>
          <w:rFonts w:hint="eastAsia" w:ascii="楷体" w:hAnsi="楷体" w:eastAsia="楷体"/>
          <w:bCs/>
          <w:sz w:val="32"/>
          <w:szCs w:val="32"/>
        </w:rPr>
      </w:pPr>
      <w:r>
        <w:rPr>
          <w:rFonts w:hint="eastAsia" w:ascii="仿宋" w:hAnsi="仿宋" w:eastAsia="仿宋"/>
          <w:sz w:val="32"/>
          <w:szCs w:val="32"/>
        </w:rPr>
        <w:t>总体上我单位能够根据年初工作规划和重点工作，加强预算收支管理，建立健全内部管理制度，梳理内部管理流程，使部门整体支出管理情況得到提升，较好完成年度工作任务，但部门在绩效目标</w:t>
      </w:r>
      <w:r>
        <w:rPr>
          <w:rFonts w:hint="eastAsia" w:ascii="仿宋" w:hAnsi="仿宋" w:eastAsia="仿宋"/>
          <w:sz w:val="32"/>
          <w:szCs w:val="32"/>
          <w:lang w:eastAsia="zh-CN"/>
        </w:rPr>
        <w:t>编制</w:t>
      </w:r>
      <w:r>
        <w:rPr>
          <w:rFonts w:hint="eastAsia" w:ascii="仿宋" w:hAnsi="仿宋" w:eastAsia="仿宋"/>
          <w:sz w:val="32"/>
          <w:szCs w:val="32"/>
        </w:rPr>
        <w:t>、</w:t>
      </w:r>
      <w:r>
        <w:rPr>
          <w:rFonts w:hint="eastAsia" w:ascii="仿宋" w:hAnsi="仿宋" w:eastAsia="仿宋"/>
          <w:sz w:val="32"/>
          <w:szCs w:val="32"/>
          <w:lang w:eastAsia="zh-CN"/>
        </w:rPr>
        <w:t>预算执行和资金使用效率</w:t>
      </w:r>
      <w:r>
        <w:rPr>
          <w:rFonts w:hint="eastAsia" w:ascii="仿宋" w:hAnsi="仿宋" w:eastAsia="仿宋"/>
          <w:sz w:val="32"/>
          <w:szCs w:val="32"/>
        </w:rPr>
        <w:t>等方面仍有待完善。</w:t>
      </w:r>
    </w:p>
    <w:p>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pPr>
        <w:keepNext w:val="0"/>
        <w:keepLines w:val="0"/>
        <w:pageBreakBefore w:val="0"/>
        <w:widowControl w:val="0"/>
        <w:numPr>
          <w:ilvl w:val="0"/>
          <w:numId w:val="0"/>
        </w:numPr>
        <w:kinsoku/>
        <w:wordWrap/>
        <w:overflowPunct/>
        <w:topLinePunct w:val="0"/>
        <w:autoSpaceDE/>
        <w:autoSpaceDN/>
        <w:bidi w:val="0"/>
        <w:spacing w:line="560" w:lineRule="exact"/>
        <w:ind w:leftChars="0" w:right="0" w:rightChars="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lang w:eastAsia="zh-CN"/>
        </w:rPr>
        <w:t>、量化绩效指标：在编制绩效目标时，应设立清晰具体且可衡量的绩效指标，</w:t>
      </w:r>
      <w:r>
        <w:rPr>
          <w:rFonts w:hint="eastAsia" w:ascii="仿宋" w:hAnsi="仿宋" w:eastAsia="仿宋"/>
          <w:sz w:val="32"/>
          <w:szCs w:val="32"/>
        </w:rPr>
        <w:t>仔细研究项目情况，结合单位实际，制定更加合理、更加易于考核量化的目标，更好的开展项目绩效工作。</w:t>
      </w:r>
    </w:p>
    <w:p>
      <w:pPr>
        <w:keepNext w:val="0"/>
        <w:keepLines w:val="0"/>
        <w:pageBreakBefore w:val="0"/>
        <w:widowControl w:val="0"/>
        <w:numPr>
          <w:ilvl w:val="0"/>
          <w:numId w:val="0"/>
        </w:numPr>
        <w:kinsoku/>
        <w:wordWrap/>
        <w:overflowPunct/>
        <w:topLinePunct w:val="0"/>
        <w:autoSpaceDE/>
        <w:autoSpaceDN/>
        <w:bidi w:val="0"/>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密切关注目标进展，加快预算执行：督促业务部门加快项目实施进度，确保年底全部执行完成所有预算目标，确保绩效目标得到全面贯彻执行，密切关注目标任务开展，适时调整工作内容和方向，确保绩效目标全面贯彻执行。</w:t>
      </w:r>
    </w:p>
    <w:p>
      <w:pPr>
        <w:keepNext w:val="0"/>
        <w:keepLines w:val="0"/>
        <w:pageBreakBefore w:val="0"/>
        <w:widowControl w:val="0"/>
        <w:numPr>
          <w:ilvl w:val="0"/>
          <w:numId w:val="0"/>
        </w:numPr>
        <w:kinsoku/>
        <w:wordWrap/>
        <w:overflowPunct/>
        <w:topLinePunct w:val="0"/>
        <w:autoSpaceDE/>
        <w:autoSpaceDN/>
        <w:bidi w:val="0"/>
        <w:spacing w:line="560" w:lineRule="exact"/>
        <w:ind w:leftChars="0" w:right="0" w:rightChars="0" w:firstLine="640" w:firstLineChars="200"/>
        <w:textAlignment w:val="auto"/>
        <w:outlineLvl w:val="9"/>
        <w:rPr>
          <w:rFonts w:hint="eastAsia" w:ascii="黑体" w:hAnsi="黑体" w:eastAsia="黑体"/>
          <w:sz w:val="32"/>
          <w:szCs w:val="32"/>
        </w:rPr>
      </w:pPr>
      <w:r>
        <w:rPr>
          <w:rFonts w:hint="eastAsia" w:ascii="仿宋" w:hAnsi="仿宋" w:eastAsia="仿宋"/>
          <w:sz w:val="32"/>
          <w:szCs w:val="32"/>
          <w:lang w:val="en-US" w:eastAsia="zh-CN"/>
        </w:rPr>
        <w:t>3、透明度和公开度:在不影响敏感信息的前提下，提高绩效自评的透明度和公开度，以增强评估的公正性和可信度。</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E34AE1D"/>
    <w:multiLevelType w:val="singleLevel"/>
    <w:tmpl w:val="BE34AE1D"/>
    <w:lvl w:ilvl="0" w:tentative="0">
      <w:start w:val="21"/>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3">
    <w:nsid w:val="6ACFA158"/>
    <w:multiLevelType w:val="singleLevel"/>
    <w:tmpl w:val="6ACFA158"/>
    <w:lvl w:ilvl="0" w:tentative="0">
      <w:start w:val="2"/>
      <w:numFmt w:val="chineseCounting"/>
      <w:suff w:val="nothing"/>
      <w:lvlText w:val="（%1）"/>
      <w:lvlJc w:val="left"/>
      <w:rPr>
        <w:rFonts w:hint="eastAsia"/>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zRkYmQ4Y2I3YzlkODVjYTM3N2MwNDFhZmYzNzk5M2MifQ=="/>
  </w:docVars>
  <w:rsids>
    <w:rsidRoot w:val="0EBD2122"/>
    <w:rsid w:val="000B0260"/>
    <w:rsid w:val="001B713F"/>
    <w:rsid w:val="00376610"/>
    <w:rsid w:val="007E6C1F"/>
    <w:rsid w:val="008E3731"/>
    <w:rsid w:val="00956A93"/>
    <w:rsid w:val="009E575C"/>
    <w:rsid w:val="009F674E"/>
    <w:rsid w:val="00AF167E"/>
    <w:rsid w:val="00AF566A"/>
    <w:rsid w:val="00B478EA"/>
    <w:rsid w:val="00B6553A"/>
    <w:rsid w:val="00BC6576"/>
    <w:rsid w:val="00C66976"/>
    <w:rsid w:val="00CE06BA"/>
    <w:rsid w:val="00F441CC"/>
    <w:rsid w:val="01B104CA"/>
    <w:rsid w:val="02106AB0"/>
    <w:rsid w:val="02B43A28"/>
    <w:rsid w:val="046F331E"/>
    <w:rsid w:val="07956271"/>
    <w:rsid w:val="09721397"/>
    <w:rsid w:val="0BB63BED"/>
    <w:rsid w:val="0EB97A43"/>
    <w:rsid w:val="0EBD2122"/>
    <w:rsid w:val="0F214EAE"/>
    <w:rsid w:val="11B71E6A"/>
    <w:rsid w:val="12C07B29"/>
    <w:rsid w:val="18A16BCB"/>
    <w:rsid w:val="1AAF0063"/>
    <w:rsid w:val="1AF66B1E"/>
    <w:rsid w:val="1BE140DE"/>
    <w:rsid w:val="1D9458D2"/>
    <w:rsid w:val="248C197D"/>
    <w:rsid w:val="252959AF"/>
    <w:rsid w:val="256C1B33"/>
    <w:rsid w:val="277A6671"/>
    <w:rsid w:val="292D35B7"/>
    <w:rsid w:val="2F7A4AB2"/>
    <w:rsid w:val="32817910"/>
    <w:rsid w:val="33EB6CFF"/>
    <w:rsid w:val="35A12947"/>
    <w:rsid w:val="37387040"/>
    <w:rsid w:val="39885D54"/>
    <w:rsid w:val="3B625C0A"/>
    <w:rsid w:val="3CEE1963"/>
    <w:rsid w:val="3D886CAC"/>
    <w:rsid w:val="3EA070B5"/>
    <w:rsid w:val="436B78D3"/>
    <w:rsid w:val="472A1F87"/>
    <w:rsid w:val="4C9C27FE"/>
    <w:rsid w:val="512260B4"/>
    <w:rsid w:val="52BD6ACB"/>
    <w:rsid w:val="55537534"/>
    <w:rsid w:val="561A74F1"/>
    <w:rsid w:val="5901446D"/>
    <w:rsid w:val="597244E8"/>
    <w:rsid w:val="5CE75AB8"/>
    <w:rsid w:val="5D7F25A8"/>
    <w:rsid w:val="5EB71C30"/>
    <w:rsid w:val="5FA43C0F"/>
    <w:rsid w:val="66AF0CE5"/>
    <w:rsid w:val="6A5E037E"/>
    <w:rsid w:val="6AC537CF"/>
    <w:rsid w:val="6B5C4423"/>
    <w:rsid w:val="6E5B14A6"/>
    <w:rsid w:val="711B255E"/>
    <w:rsid w:val="73122C55"/>
    <w:rsid w:val="767E301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96</Words>
  <Characters>550</Characters>
  <Lines>4</Lines>
  <Paragraphs>1</Paragraphs>
  <TotalTime>9</TotalTime>
  <ScaleCrop>false</ScaleCrop>
  <LinksUpToDate>false</LinksUpToDate>
  <CharactersWithSpaces>645</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2025-04-09T03:30:53Z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96934721B1514D3FBAA28020338CE855_12</vt:lpwstr>
  </property>
</Properties>
</file>