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石家庄市鹿泉区司法局部门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 w:cs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一、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概况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石家庄市鹿泉区司法局属于石家庄市鹿泉区人民政府职能部门，主要职能：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（一）承担全面依法治区重大问题的政策研究。组织协调有关方面提出全面依法治区中长期规划建议，负责有关重大决策部署督查工作。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负责区政府各部门、各乡（镇、区）政府规范性文件的备案审查工作。负责对区政府政策措施、规范性文件和合同协议的合法性审核工作；承办区政府交办的涉法事务；承办区政府规范性文件上报市政府和区人大常委会备案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承担统筹推进鹿泉法治政府建设的责任。指导、监督区政府各部门、各乡（镇、区）政府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承担统筹规划全区法治社会建设的责任。负责拟订全区法治宣传教育规划，组织实施普法宣传工作；负责全区依法治理和法治创建工作，推动全区人民参与和促进法治建设，指导全区人民调解、行政调解工作，负责全区人民陪审员、人民监督员选任管理工作；负责全区司法所建设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（五）负责全区社区矫正工作，负责刑满释放人员帮教安置工作。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（六）负责拟订公共法律服务体系建设规划并组织实施，统筹和布局全区法律服务资源；负责全区律师、公证、法律援助、司法鉴定和基层法律服务管理工作。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（七）规划、协调、指导全区法治人才队伍建设相关工作；负责本系统队伍建设。</w:t>
      </w:r>
    </w:p>
    <w:p>
      <w:pPr>
        <w:pStyle w:val="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（八）完成区委、区政府交办的其他任务。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组织机构及人员：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行政机关1个（石家庄市鹿泉区司法局）事业单位（非参公）1个（鹿泉区法律援助中心）。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鹿泉区司法局：编制人数总计42人，均为政法编制42人，事业单位编制（非参公）编制11人（法律援助中心），2024年末在职实有人员48人，（政法编40人，事业编制8人）其中政法编离退休人员24人，其中退休23人，离休1人；遗属人员2人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3.资产情况： </w:t>
      </w:r>
      <w:r>
        <w:rPr>
          <w:rFonts w:hint="eastAsia" w:ascii="仿宋" w:hAnsi="仿宋" w:eastAsia="仿宋" w:cs="仿宋"/>
          <w:b w:val="0"/>
          <w:color w:val="000000"/>
          <w:sz w:val="32"/>
          <w:szCs w:val="32"/>
        </w:rPr>
        <w:t>石家庄市鹿泉区司法局本级上年末固定资产金额为</w:t>
      </w:r>
      <w:r>
        <w:rPr>
          <w:rFonts w:hint="eastAsia" w:ascii="仿宋" w:hAnsi="仿宋" w:eastAsia="仿宋" w:cs="仿宋"/>
          <w:b w:val="0"/>
          <w:color w:val="000000"/>
          <w:sz w:val="32"/>
          <w:szCs w:val="32"/>
          <w:lang w:val="en-US" w:eastAsia="zh-CN"/>
        </w:rPr>
        <w:t>184.21</w:t>
      </w:r>
      <w:r>
        <w:rPr>
          <w:rFonts w:hint="eastAsia" w:ascii="仿宋" w:hAnsi="仿宋" w:eastAsia="仿宋" w:cs="仿宋"/>
          <w:b w:val="0"/>
          <w:color w:val="000000"/>
          <w:sz w:val="32"/>
          <w:szCs w:val="32"/>
        </w:rPr>
        <w:t>万元。本年度拟购置固定资产总额为0.00万元，已按要求列入政府采购预算。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部门收支预决算情况</w:t>
      </w:r>
    </w:p>
    <w:p>
      <w:pPr>
        <w:pStyle w:val="8"/>
        <w:rPr>
          <w:rFonts w:hint="eastAsia" w:ascii="仿宋" w:hAnsi="仿宋" w:eastAsia="仿宋" w:cs="仿宋"/>
          <w:b w:val="0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color w:val="000000"/>
          <w:kern w:val="2"/>
          <w:sz w:val="32"/>
          <w:szCs w:val="32"/>
          <w:lang w:val="en-US" w:eastAsia="zh-CN" w:bidi="ar-SA"/>
        </w:rPr>
        <w:t xml:space="preserve"> 2024年预算收入2091.44万元，其中：一般公共预算收入1968.59万元，基金预算收入0.00万元，国有资本经营预算收入0.00万元，财政专户核拨收入0.00万元，单位资金收入0.00万元，上年结转结余122.85万元。</w:t>
      </w:r>
    </w:p>
    <w:p>
      <w:pPr>
        <w:spacing w:line="496" w:lineRule="exact"/>
        <w:ind w:left="100" w:right="86" w:firstLine="641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2024年支出预算2091.44万元，其中基本支出1405.92万元，包括人员经费1010.88万元和日常公用经费395.05万元；项目支出685.52万元，主要为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专职人民调解员工作经费、专项工作经费、行政执法经费、行政复议行政应诉经费、政府法律顾问经费、人民调解专项经费等。</w:t>
      </w:r>
    </w:p>
    <w:p>
      <w:pPr>
        <w:spacing w:line="495" w:lineRule="exact"/>
        <w:ind w:left="100" w:right="86" w:firstLine="641"/>
        <w:jc w:val="both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ascii="仿宋" w:hAnsi="仿宋" w:eastAsia="仿宋"/>
          <w:sz w:val="32"/>
        </w:rPr>
        <w:t xml:space="preserve"> </w:t>
      </w:r>
      <w:r>
        <w:rPr>
          <w:rFonts w:hint="eastAsia" w:ascii="仿宋" w:hAnsi="仿宋" w:eastAsia="仿宋"/>
          <w:sz w:val="32"/>
          <w:lang w:eastAsia="zh-CN"/>
        </w:rPr>
        <w:t>2024</w:t>
      </w:r>
      <w:r>
        <w:rPr>
          <w:rFonts w:ascii="仿宋" w:hAnsi="仿宋" w:eastAsia="仿宋"/>
          <w:sz w:val="32"/>
        </w:rPr>
        <w:t xml:space="preserve"> 年度</w:t>
      </w:r>
      <w:r>
        <w:rPr>
          <w:rFonts w:hint="eastAsia" w:ascii="仿宋" w:hAnsi="仿宋" w:eastAsia="仿宋"/>
          <w:sz w:val="32"/>
          <w:lang w:eastAsia="zh-CN"/>
        </w:rPr>
        <w:t>决算</w:t>
      </w:r>
      <w:r>
        <w:rPr>
          <w:rFonts w:ascii="仿宋" w:hAnsi="仿宋" w:eastAsia="仿宋"/>
          <w:sz w:val="32"/>
        </w:rPr>
        <w:t>支出合计 1</w:t>
      </w:r>
      <w:r>
        <w:rPr>
          <w:rFonts w:hint="eastAsia" w:ascii="仿宋" w:hAnsi="仿宋" w:eastAsia="仿宋"/>
          <w:sz w:val="32"/>
          <w:lang w:val="en-US" w:eastAsia="zh-CN"/>
        </w:rPr>
        <w:t>809.99</w:t>
      </w:r>
      <w:r>
        <w:rPr>
          <w:rFonts w:ascii="仿宋" w:hAnsi="仿宋" w:eastAsia="仿宋"/>
          <w:sz w:val="32"/>
        </w:rPr>
        <w:t xml:space="preserve">万元，其中：基本支出 </w:t>
      </w:r>
      <w:r>
        <w:rPr>
          <w:rFonts w:hint="eastAsia" w:ascii="仿宋" w:hAnsi="仿宋" w:eastAsia="仿宋"/>
          <w:sz w:val="32"/>
          <w:lang w:val="en-US" w:eastAsia="zh-CN"/>
        </w:rPr>
        <w:t>1345.9</w:t>
      </w:r>
      <w:r>
        <w:rPr>
          <w:rFonts w:ascii="仿宋" w:hAnsi="仿宋" w:eastAsia="仿宋"/>
          <w:sz w:val="32"/>
        </w:rPr>
        <w:t>万元，占 7</w:t>
      </w:r>
      <w:r>
        <w:rPr>
          <w:rFonts w:hint="eastAsia" w:ascii="仿宋" w:hAnsi="仿宋" w:eastAsia="仿宋"/>
          <w:sz w:val="32"/>
          <w:lang w:val="en-US" w:eastAsia="zh-CN"/>
        </w:rPr>
        <w:t>4.35</w:t>
      </w:r>
      <w:r>
        <w:rPr>
          <w:rFonts w:ascii="仿宋" w:hAnsi="仿宋" w:eastAsia="仿宋"/>
          <w:sz w:val="32"/>
        </w:rPr>
        <w:t xml:space="preserve">%；项目支出 </w:t>
      </w:r>
      <w:r>
        <w:rPr>
          <w:rFonts w:hint="eastAsia" w:ascii="仿宋" w:hAnsi="仿宋" w:eastAsia="仿宋"/>
          <w:sz w:val="32"/>
          <w:lang w:val="en-US" w:eastAsia="zh-CN"/>
        </w:rPr>
        <w:t>464.09</w:t>
      </w:r>
      <w:r>
        <w:rPr>
          <w:rFonts w:ascii="仿宋" w:hAnsi="仿宋" w:eastAsia="仿宋"/>
          <w:sz w:val="32"/>
        </w:rPr>
        <w:t>万元，占 2</w:t>
      </w:r>
      <w:r>
        <w:rPr>
          <w:rFonts w:hint="eastAsia" w:ascii="仿宋" w:hAnsi="仿宋" w:eastAsia="仿宋"/>
          <w:sz w:val="32"/>
          <w:lang w:val="en-US" w:eastAsia="zh-CN"/>
        </w:rPr>
        <w:t>5.65</w:t>
      </w:r>
      <w:r>
        <w:rPr>
          <w:rFonts w:ascii="仿宋" w:hAnsi="仿宋" w:eastAsia="仿宋"/>
          <w:sz w:val="32"/>
        </w:rPr>
        <w:t>%；经营支出 0 万元，占 0%。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pStyle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承担全面依法治区重大问题的政策研究。组织协调有关方面提出全面依法治区中长期规划建议，负责有关重大决策部署督查工作。负责区政府各部门、各乡（镇、区）政府规范性文件的备案审查工作。负责对区政府政策措施、规范性文件和合同协议的合法性审核工作；承办区政府交办的涉法事务；承办区政府规范性文件上报市政府和区人大常委会备案工作。承担统筹推进鹿泉法治政府建设的责任。指导、监督区政府各部门、各乡（镇、区）政府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承担统筹规划全区法治社会建设的责任。负责拟订全区法治宣传教育规划，组织实施普法宣传工作；负责全区依法治理和法治创建工作，推动全区人民参与和促进法治建设，指导全区人民调解、行政调解工作，负责全区人民陪审员、人民监督员选任管理工作；负责全区司法所建设。负责全区社区矫正工作，负责刑满释放人员帮教安置工作。负责拟订公共法律服务体系建设规划并组织实施，统筹和布局全区法律服务资源；负责全区律师、公证、法律援助、司法鉴定和基层法律服务管理工作。规划、协调、指导全区法治人才队伍建设相关工作；负责本系统队伍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二、自评工作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（一）自评的组织工作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我局成立了以分管财务的副局长为组长，相关科室负责人为成员的预算绩效评价工作小组，明确熟悉财务工作的同志具体负责绩效评价工作，机关各科室密切配合，提供绩效评价所需要的数据和材料，力争做好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年预算绩效评价工作。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年，全区司法行政工作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坚持以习近平新时代中国特色社会主义思想为指导，深入学习贯彻党的二十届三中全会精神及习近平法治思想，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全面落实区委区政府和省司法厅工作部署，较好地完成了各项绩效工作任务。主要工作情况自评如下：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）公共法律服务中心惠民生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OLE_LINK2"/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多措并举推进法律援助便民服务。截止2024年12月底，公共法律服务中心共受理法律援助案件1619件，其中刑事案件1157件，民事案件465件，共受理咨询 6000余人次，挽回经济损失约九百余万元。工作扎实有成效，法律援助质量不断提升。我中心聘请两名评估律师负责全区法律援助案件质量评查工作。对评为优秀等次的案卷进行通报表彰，让优秀法律服务人员树标杆、作表率、走前列，不断推动法律援助案件质量和服务水平更上一个台阶；每季度对受理案件情况和已结案件补贴发放情况进行公示，对已结案件进行回访和质量考评，加强案件跟踪管理，对本级受理的申请类、通知指派类法律援助案件加大抽查力度，有效提高了法律援助办案质量。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加大工作宣传力度。充分用好好热线平台。区公共法律服务中心每天安排值班律师、四个基层法律服务所每周安排值班律师，解答群众咨询，同时开展进集市、进社区、进校园、进军营、进企业、进景区等法律援助扩面提质民生工程系列宣传活动，共开展普法讲座10余场，组织普法宣传活动20余次，发放法治宣传材料6000余份。2024年，联合区妇联分批为全区13个乡镇区、208个行政村以及22个社区的240余名基层妇联主席开展了法治培训。通过政策宣讲、以案释法、法律咨询等方式向群众详细介绍法律援助扩面提质民生工程政策，解答咨询，告知如何申请法律援助业务，鼓励群众积极参与，真正实现“应援尽援、应援优援”。</w:t>
      </w:r>
    </w:p>
    <w:bookmarkEnd w:id="0"/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）深入推进“八五”普法规划贯彻落实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认真落实“谁执法谁普法”责任制，积极推进“互联网+普法”，“鹿泉普法”今日头条号发布法治资讯1280篇，阅读量达87万，2次进入全国榜单前20名。利用短信平台推送法治短信40万余条。与融媒体中心联合推出《法治时间》栏目，累计播放10期。开展各类线下普法宣传活动800余场次，受众人员10万名，多次在石家庄市普法融媒月考核中名列前茅。加强法治文化阵地建设，乡（镇、区）和村（居）建设法治文化公园（或广场、长廊、一条街、专栏）覆盖率达100%。开展红色法治文化建设，对全区红色法治元素进行挖掘、整理、保护、利用，重点打造培育了3家精品展区。按照上级要求积极创建第十批全国“民主法治示范村”和第八批省级“民主法治示范村”工作。第三批3335名乡村“法律明白人”已上岗开展工作。迎接省级“八五”普法终期验收工作。积极申报“河北省守法普法示范县（市、区）”单项--法治乡村建设示范地区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）矛盾纠纷化解促和谐</w:t>
      </w:r>
    </w:p>
    <w:p>
      <w:pPr>
        <w:widowControl/>
        <w:shd w:val="clear" w:color="auto" w:fill="FFFFFF"/>
        <w:spacing w:line="480" w:lineRule="auto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2024年，我区开展了“高质量调解年”专项行动，抓实矛盾纠纷排查化解和矛盾纠纷分析研判，探索新业态领域矛盾纠纷化解，有序推进商事调解工作，定期对各个重点领域、重点地方、重点人群的矛盾纠纷进行排查，扎实开展司法所规范化建设深化年活动，不断加强人民调解队伍建设，截止12月底，区、乡、村三级调解组织全年共受理各类纠纷3392件，调解成功3336件，成功率98.3%，涉及金额7989万元。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bookmarkStart w:id="1" w:name="OLE_LINK1"/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社矫对象监管无死角</w:t>
      </w:r>
    </w:p>
    <w:p>
      <w:pPr>
        <w:widowControl/>
        <w:shd w:val="clear" w:color="auto" w:fill="FFFFFF"/>
        <w:spacing w:line="480" w:lineRule="auto"/>
        <w:ind w:firstLine="48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年以来，我区社区矫正工作以习近平新时代中国特色社会主义思想为指引，认真贯彻落实全市司法行政工作会议精神，每个季度进行一次社区矫正工作专项督查。截至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年1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月，全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在册社区服刑人员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00余人，无脱管漏管和重新违法犯罪现象发生。</w:t>
      </w:r>
    </w:p>
    <w:bookmarkEnd w:id="1"/>
    <w:p>
      <w:pP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）建立绩效评价指标体系</w:t>
      </w:r>
    </w:p>
    <w:p>
      <w:pPr>
        <w:ind w:firstLine="640" w:firstLineChars="20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开展预算绩效评价工作时，针对具体绩效评价对象的特点，设计具体的绩效评价指标体系。除共性指标外，必须设置能够体现项目特点和绩效的个性指标；项目产出指标与项目效果指标设置数量在8个（含）以上，分值权重占总体的65%以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ascii="仿宋" w:hAnsi="仿宋" w:eastAsia="仿宋"/>
          <w:sz w:val="32"/>
        </w:rPr>
        <w:t xml:space="preserve">根据预算绩效管理要求，本部门组织对 </w:t>
      </w:r>
      <w:r>
        <w:rPr>
          <w:rFonts w:hint="eastAsia" w:ascii="仿宋" w:hAnsi="仿宋" w:eastAsia="仿宋"/>
          <w:sz w:val="32"/>
          <w:lang w:eastAsia="zh-CN"/>
        </w:rPr>
        <w:t>2024</w:t>
      </w:r>
      <w:r>
        <w:rPr>
          <w:rFonts w:ascii="仿宋" w:hAnsi="仿宋" w:eastAsia="仿宋"/>
          <w:sz w:val="32"/>
        </w:rPr>
        <w:t xml:space="preserve"> 年度一般公共预算项目支出全面开展绩效自评，其中，一级项目 1</w:t>
      </w:r>
      <w:r>
        <w:rPr>
          <w:rFonts w:hint="eastAsia" w:ascii="仿宋" w:hAnsi="仿宋" w:eastAsia="仿宋"/>
          <w:sz w:val="32"/>
          <w:lang w:val="en-US" w:eastAsia="zh-CN"/>
        </w:rPr>
        <w:t>9</w:t>
      </w:r>
      <w:r>
        <w:rPr>
          <w:rFonts w:ascii="仿宋" w:hAnsi="仿宋" w:eastAsia="仿宋"/>
          <w:sz w:val="32"/>
        </w:rPr>
        <w:t>个，共涉及资金</w:t>
      </w:r>
      <w:r>
        <w:rPr>
          <w:rFonts w:hint="eastAsia" w:ascii="仿宋" w:hAnsi="仿宋" w:eastAsia="仿宋"/>
          <w:sz w:val="32"/>
          <w:lang w:val="en-US" w:eastAsia="zh-CN"/>
        </w:rPr>
        <w:t>464.09</w:t>
      </w:r>
      <w:r>
        <w:rPr>
          <w:rFonts w:ascii="仿宋" w:hAnsi="仿宋" w:eastAsia="仿宋"/>
          <w:sz w:val="32"/>
        </w:rPr>
        <w:t>万元，占一般公共预算项目支出总额的 2</w:t>
      </w:r>
      <w:r>
        <w:rPr>
          <w:rFonts w:hint="eastAsia" w:ascii="仿宋" w:hAnsi="仿宋" w:eastAsia="仿宋"/>
          <w:sz w:val="32"/>
          <w:lang w:val="en-US" w:eastAsia="zh-CN"/>
        </w:rPr>
        <w:t>5.65%</w:t>
      </w:r>
      <w:r>
        <w:rPr>
          <w:rFonts w:ascii="仿宋" w:hAnsi="仿宋" w:eastAsia="仿宋"/>
          <w:sz w:val="32"/>
        </w:rPr>
        <w:t>。政府性基金预算项目 0 个,共涉及资金 0 万元，占政府性基金预算项目支出总额的 0%。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 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）重点推进社区矫正机构和建设工作场所，刑满释放人员安置帮教工作。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绩效目标：依据法律、法规做好社区矫正对象、刑满释放人员的管理、教育、帮扶工作，最大限度降低重新违法犯罪和社会不稳定因素发生。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绩效指标：社区矫正对象的核查率达到百分之百，矫正对象对帮扶工作满意度，降低矫正人员的重新犯罪率。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）运用法治思维和法治方法化解社会矛盾纠纷。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绩效目标：组建专业调解团队，实行跨区域调解，将矛盾化解在基层社会秩序平安稳定。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绩效指标：聘请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50</w:t>
      </w:r>
      <w:r>
        <w:rPr>
          <w:rFonts w:hint="eastAsia" w:ascii="仿宋" w:hAnsi="仿宋" w:eastAsia="仿宋" w:cs="仿宋"/>
          <w:sz w:val="32"/>
          <w:szCs w:val="32"/>
        </w:rPr>
        <w:t>名专职调解员，按最低工资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 w:cs="仿宋"/>
          <w:sz w:val="32"/>
          <w:szCs w:val="32"/>
        </w:rPr>
        <w:t>00元，“以案定补”财政补贴，每个案件补贴300-500元，促进人民调解工作质量和人民调解协议规范化水平。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）依法受理行政复议申请，履行《中华人民共和国行政复议法》规定的各项职责，行政执法协调监督科负责全区行政执法综合协调工作，指导监督各部门严格规范公正文明执法。</w:t>
      </w:r>
    </w:p>
    <w:p>
      <w:pPr>
        <w:pStyle w:val="9"/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绩效目标：依法受理符合法律规定的行政复议申请，处理案件率达到100%，提升政府在群众中的公信力，对我区行政执法单位执法人员学习培训，使执法人员的业务水平得到进一步提高。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绩效指标：对我区行政执法单位1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00名执法人员培训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0个课时以上并参加考试，行政复议案件的应诉率达到100%，执法案件中投诉的案件占总案件的比率不高于15%。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</w:t>
      </w:r>
      <w:r>
        <w:rPr>
          <w:rFonts w:hint="eastAsia" w:ascii="仿宋" w:hAnsi="仿宋" w:eastAsia="仿宋" w:cs="仿宋"/>
          <w:sz w:val="32"/>
          <w:szCs w:val="32"/>
        </w:rPr>
        <w:t>）组织开展“八五”普法规划，落实“谁执法谁普法”责任制，提高全区公民法律意识和法律素质。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绩效目标：增强法治化管理水平，促进全区民主与法治建设，更好地服务保障“法治鹿泉、平安鹿泉”建设。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绩效指标：每月开展一次专项主题宣传活动；组织全区干部法律知识培训工作；编印普法教材、展牌等宣传资料；打造法治示范点，提高全区公民法律知晓率。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）办理法律援助案件，落实法律援助的法律法规和政策的执行。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绩效目标：管理“12348”法律援助热线，开展法律援助理论研究。扩大法律援助覆盖面，重点组织好法律援助咨询补贴、代书补贴、办案补贴直接用于法律援助案件，推动全区法律援助长足发展。</w:t>
      </w:r>
    </w:p>
    <w:p>
      <w:pPr>
        <w:pStyle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绩效指标：组织全区律师、法律工作者为全区困难公民和特殊案件当事人提供法律咨询，全年无偿代理民事法律援助案件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465</w:t>
      </w:r>
      <w:r>
        <w:rPr>
          <w:rFonts w:hint="eastAsia" w:ascii="仿宋" w:hAnsi="仿宋" w:eastAsia="仿宋" w:cs="仿宋"/>
          <w:sz w:val="32"/>
          <w:szCs w:val="32"/>
        </w:rPr>
        <w:t>件，刑事辩护法律案件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1157</w:t>
      </w:r>
      <w:r>
        <w:rPr>
          <w:rFonts w:hint="eastAsia" w:ascii="仿宋" w:hAnsi="仿宋" w:eastAsia="仿宋" w:cs="仿宋"/>
          <w:sz w:val="32"/>
          <w:szCs w:val="32"/>
        </w:rPr>
        <w:t>件，法律咨询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6000</w:t>
      </w:r>
      <w:r>
        <w:rPr>
          <w:rFonts w:hint="eastAsia" w:ascii="仿宋" w:hAnsi="仿宋" w:eastAsia="仿宋" w:cs="仿宋"/>
          <w:sz w:val="32"/>
          <w:szCs w:val="32"/>
        </w:rPr>
        <w:t>人次。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部门职责和各项工作履职情况进行综合评价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给出总得分，指标体系设定满分100分，得出综合评价结论和项目综合绩效评价等级。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我局部门整体支出自评价90分，整体支出综合绩效自评价行者等级为优秀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（一）存在的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问题：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一是制定绩效目标和工作计划有脱节现象，绩效目标和经费效益有差别。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二是绩效自评过程，只是为了评价而评价，不能充分发挥绩效自评价对实际工作中实际运用的反馈作用。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三是绩效自评价过程中，工作人员对如何搞好绩效自评价方法和手段比较单一，内容形式比较简单。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针对问题提出具体的改进措施和建议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针对以上在自评价过程中存在的问题，我局将做好以下几个方面的工作。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一是进一步加强制定绩效目标的准确性、有效性，进一步提高绩效目标和实际工作的切合度。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二是严把绩效自评关口，充分发挥提高绩效自评的反馈作用和激励作用。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三是加强对工作人员绩效自评价的培训学习，提高业务能力素质，充分利用各种方法，做好绩效自评价工作。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2" w:name="_GoBack"/>
      <w:bookmarkEnd w:id="2"/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石家庄市鹿泉区司法局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  2025年4月23日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3BAD3"/>
    <w:multiLevelType w:val="singleLevel"/>
    <w:tmpl w:val="08B3BA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4MjhkZTMzYzY1MDQ0MWQ0ZjhiNjYxMWQwMzgwMTQifQ=="/>
  </w:docVars>
  <w:rsids>
    <w:rsidRoot w:val="0EBD2122"/>
    <w:rsid w:val="007E6C1F"/>
    <w:rsid w:val="00AF566A"/>
    <w:rsid w:val="00B6553A"/>
    <w:rsid w:val="01B104CA"/>
    <w:rsid w:val="02106AB0"/>
    <w:rsid w:val="02B43A28"/>
    <w:rsid w:val="03F26793"/>
    <w:rsid w:val="04475879"/>
    <w:rsid w:val="046F331E"/>
    <w:rsid w:val="0676612F"/>
    <w:rsid w:val="07956271"/>
    <w:rsid w:val="09721397"/>
    <w:rsid w:val="0BB63BED"/>
    <w:rsid w:val="0EB97A43"/>
    <w:rsid w:val="0EBD2122"/>
    <w:rsid w:val="0F214EAE"/>
    <w:rsid w:val="10256E2D"/>
    <w:rsid w:val="113373E5"/>
    <w:rsid w:val="11B71E6A"/>
    <w:rsid w:val="11BF549D"/>
    <w:rsid w:val="13690617"/>
    <w:rsid w:val="14FE4A9D"/>
    <w:rsid w:val="165F32D7"/>
    <w:rsid w:val="1AAF0063"/>
    <w:rsid w:val="1B2578B9"/>
    <w:rsid w:val="1BE140DE"/>
    <w:rsid w:val="1FB23774"/>
    <w:rsid w:val="1FEA15B7"/>
    <w:rsid w:val="20A53730"/>
    <w:rsid w:val="248C197D"/>
    <w:rsid w:val="250718B0"/>
    <w:rsid w:val="252959AF"/>
    <w:rsid w:val="25995858"/>
    <w:rsid w:val="277A6671"/>
    <w:rsid w:val="290D27BA"/>
    <w:rsid w:val="292D35B7"/>
    <w:rsid w:val="2A594280"/>
    <w:rsid w:val="2BDB094E"/>
    <w:rsid w:val="2CC4675B"/>
    <w:rsid w:val="31EC619B"/>
    <w:rsid w:val="33EB6CFF"/>
    <w:rsid w:val="35A12947"/>
    <w:rsid w:val="36A75B98"/>
    <w:rsid w:val="37387040"/>
    <w:rsid w:val="3B625C0A"/>
    <w:rsid w:val="3C79639B"/>
    <w:rsid w:val="3CEE1963"/>
    <w:rsid w:val="3FAA2F41"/>
    <w:rsid w:val="40CF58D3"/>
    <w:rsid w:val="44045420"/>
    <w:rsid w:val="4C9C27FE"/>
    <w:rsid w:val="4F6873EB"/>
    <w:rsid w:val="512260B4"/>
    <w:rsid w:val="51EB4B97"/>
    <w:rsid w:val="52886C6B"/>
    <w:rsid w:val="52BD6ACB"/>
    <w:rsid w:val="55537534"/>
    <w:rsid w:val="561A74F1"/>
    <w:rsid w:val="597244E8"/>
    <w:rsid w:val="5DA9362C"/>
    <w:rsid w:val="5EB71C30"/>
    <w:rsid w:val="5F967FE2"/>
    <w:rsid w:val="653C3FC2"/>
    <w:rsid w:val="66AF0CE5"/>
    <w:rsid w:val="6AC537CF"/>
    <w:rsid w:val="6B455028"/>
    <w:rsid w:val="6BE56631"/>
    <w:rsid w:val="6E5B14A6"/>
    <w:rsid w:val="6F864754"/>
    <w:rsid w:val="702332EC"/>
    <w:rsid w:val="711B255E"/>
    <w:rsid w:val="71E94B9F"/>
    <w:rsid w:val="7317199D"/>
    <w:rsid w:val="73887A3B"/>
    <w:rsid w:val="786864A1"/>
    <w:rsid w:val="79BF60C5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2024-05-08T06:45:00Z</cp:lastPrinted>
  <dcterms:modified xsi:type="dcterms:W3CDTF">2025-04-25T03:23:20Z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1941798D85B2489787B743E1A2E86A35_12</vt:lpwstr>
  </property>
</Properties>
</file>