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石家庄市鹿泉区发展和改革局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w:t>
      </w:r>
      <w:r>
        <w:rPr>
          <w:rFonts w:hint="eastAsia" w:ascii="仿宋" w:hAnsi="仿宋" w:eastAsia="仿宋"/>
          <w:sz w:val="32"/>
          <w:szCs w:val="32"/>
          <w:lang w:val="en-US" w:eastAsia="zh-CN"/>
        </w:rPr>
        <w:t>区委区政府</w:t>
      </w:r>
      <w:r>
        <w:rPr>
          <w:rFonts w:hint="eastAsia" w:ascii="仿宋" w:hAnsi="仿宋" w:eastAsia="仿宋"/>
          <w:sz w:val="32"/>
          <w:szCs w:val="32"/>
        </w:rPr>
        <w:t>《关于全面实施预算绩效管理的实施意见》（鹿发〔2019〕8号）文件精神，遵循“科学性、规范性、客观性和公正性”的原则，对石家庄市鹿泉区发展和改革局部门202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（1）贯彻落实上级国民经济和社会发展、经济体制改革和对外开放的有关地方性法规、政府规章，制定相关规范性文件。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（2）提出加快建设全区现代化经济体系、推动高质量发展的总体目标、重大任务以及相关政策。落实相关重大战略规划、重大政策、重大工程等的评估督导，提出相关调整建议。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（3）贯彻落实国家、省、市宏观调控政策，统筹提出全区国民经济和社会发展主要目标，监测预测预警宏观经济和社会发展态势趋势，提出经济调节政策建议。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（4）落实国家、省、市完善基本经济制度政策，推动现代化市场体系建设，会同有关部门组织实施市场准入负面清单制度。协调推进优化营商环境。负责生产经营类事业单位管理体制改革工作。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（5）提出全区利用外资和境外投资的战略、规划、总量平衡和结构优化政策。</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（6）负责全区投资综合管理。</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（7）推进落实区域协调发展战略、新型城镇化战略和重大政策。落实推进实施京津冀协同发展等区域发展战略。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（8）贯彻实施国家、省、市产业政策。协调一二三产业发展重大问题并统筹衔接相关发展规划和重大政策。</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（9）推动实施全区创新驱动发展战略。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跟踪研判涉及经济安全、生态安全、资源安全、科技安全、社会安全等各类风险隐患，提出相关工作建议。协调落实重要工业品、原材料和重要农产品进出口调控措施。落实上级拟订的储备物资品种目录、总体发展规划。</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（11）负责全区社会发展与国民经济发展的政策衔接，协调有关重大问题。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（12）推进实施可持续发展战略，推动生态文明建设和改革，协调生态环境保护与修复、能源资源节约和综合利用等工作。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（13）落实上级经济建设与国防建设协调发展的战略和规划，组织推进经济建设项目贯彻国防要求。</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（14）拟订并组织实施有关价格政策，落实上级管理的重要商品、服务价格和重要收费标准。</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（15）提出全区能源发展战略建议，落实上级能源发展规划、产业政策和年度制定计划。</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（16）落实上级粮食流通规划。</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17）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（18）协调、管理、推动物流业发展，组织推动重大物流园区和物流项目建设等相关工作。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（19）贯彻落实国家、省、市有关国内外贸易、国际经济合作的发展战略、方针、政策以及相关法律法规。</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（20）拟定全区国内贸易发展规划。</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（21）提出流通体制改革建议。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（22）牵头推进商务领域信用体系建设，建立商务诚信公共服务平台。</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（23）组织实施重要消费品市场调控。</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24）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（25）贯彻执行国家对外技术贸易、进出口管制以及鼓励技术和成套设备进出口的贸易政策。贯彻落实科技兴贸战略，依法监督技术引进、设备进口、国家限制出口技术。</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（26）会同有关部门贯彻执行国家促进服务出口和服务外包发展的规划、政策,牵头拟订全区服务贸易发展规划并组织实施。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（27）负责对外投资和经济合作工作。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（28）配合上级部门调查国（境）外对我国出口商品实施的歧视性贸易政策、法律法规及做法。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（29）负责上级交办的涉及世贸组织相关工作。贯彻执行上级制定的对自由贸易区国家和地区的经贸规划、政策并组织实施。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（30）负责会展业促进与管理工作。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（31）负责经贸交流合作工作。建立联系国内友好关系城市。</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（32）监测分析全区商务运行情况，承担全区商务系统对外宣传和信息发布工作。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33）跟踪了解、分析研判全区民营经济发展状况，统筹协调、组织拟定促进全区民营经济发展政策措施，建立与民营企业常态化沟通交流机制，协调解决民营经济发展重大问题，协调支持民营经济对外交流合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34）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（35）完成区委、区政府交办的其他任务。</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2.组织机构及人员、资产等基本情况。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年本部门包括1个独立核算机构，其中5个独立编制机构：1个行政单位（石家庄市鹿泉区发展和改革局）和4个事业单位（石家庄市鹿泉区大项目服务中心、石家庄市鹿泉区</w:t>
      </w:r>
      <w:r>
        <w:rPr>
          <w:rFonts w:hint="eastAsia" w:ascii="仿宋" w:hAnsi="仿宋" w:eastAsia="仿宋"/>
          <w:sz w:val="32"/>
          <w:szCs w:val="32"/>
          <w:lang w:val="en-US" w:eastAsia="zh-CN"/>
        </w:rPr>
        <w:t>绿色发展</w:t>
      </w:r>
      <w:r>
        <w:rPr>
          <w:rFonts w:hint="eastAsia" w:ascii="仿宋" w:hAnsi="仿宋" w:eastAsia="仿宋"/>
          <w:sz w:val="32"/>
          <w:szCs w:val="32"/>
        </w:rPr>
        <w:t>中心、石家庄市鹿泉区价格认证中心、石家庄市鹿泉区人防指挥信息保障中心）。</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下设十</w:t>
      </w:r>
      <w:r>
        <w:rPr>
          <w:rFonts w:hint="eastAsia" w:ascii="仿宋" w:hAnsi="仿宋" w:eastAsia="仿宋"/>
          <w:sz w:val="32"/>
          <w:szCs w:val="32"/>
          <w:lang w:val="en-US" w:eastAsia="zh-CN"/>
        </w:rPr>
        <w:t>三</w:t>
      </w:r>
      <w:r>
        <w:rPr>
          <w:rFonts w:hint="eastAsia" w:ascii="仿宋" w:hAnsi="仿宋" w:eastAsia="仿宋"/>
          <w:sz w:val="32"/>
          <w:szCs w:val="32"/>
        </w:rPr>
        <w:t>个</w:t>
      </w:r>
      <w:r>
        <w:rPr>
          <w:rFonts w:hint="eastAsia" w:ascii="仿宋" w:hAnsi="仿宋" w:eastAsia="仿宋"/>
          <w:sz w:val="32"/>
          <w:szCs w:val="32"/>
          <w:lang w:val="en-US" w:eastAsia="zh-CN"/>
        </w:rPr>
        <w:t>股</w:t>
      </w:r>
      <w:r>
        <w:rPr>
          <w:rFonts w:hint="eastAsia" w:ascii="仿宋" w:hAnsi="仿宋" w:eastAsia="仿宋"/>
          <w:sz w:val="32"/>
          <w:szCs w:val="32"/>
        </w:rPr>
        <w:t>室：办公室、财务股、固定资产投资股、贸易股、市场</w:t>
      </w:r>
      <w:r>
        <w:rPr>
          <w:rFonts w:hint="eastAsia" w:ascii="仿宋" w:hAnsi="仿宋" w:eastAsia="仿宋"/>
          <w:sz w:val="32"/>
          <w:szCs w:val="32"/>
          <w:lang w:val="en-US" w:eastAsia="zh-CN"/>
        </w:rPr>
        <w:t>管理</w:t>
      </w:r>
      <w:r>
        <w:rPr>
          <w:rFonts w:hint="eastAsia" w:ascii="仿宋" w:hAnsi="仿宋" w:eastAsia="仿宋"/>
          <w:sz w:val="32"/>
          <w:szCs w:val="32"/>
        </w:rPr>
        <w:t>股、价格管理股</w:t>
      </w:r>
      <w:r>
        <w:rPr>
          <w:rFonts w:hint="eastAsia" w:ascii="仿宋" w:hAnsi="仿宋" w:eastAsia="仿宋"/>
          <w:sz w:val="32"/>
          <w:szCs w:val="32"/>
          <w:lang w:val="en-US" w:eastAsia="zh-CN"/>
        </w:rPr>
        <w:t>、</w:t>
      </w:r>
      <w:r>
        <w:rPr>
          <w:rFonts w:hint="eastAsia" w:ascii="仿宋" w:hAnsi="仿宋" w:eastAsia="仿宋"/>
          <w:sz w:val="32"/>
          <w:szCs w:val="32"/>
        </w:rPr>
        <w:t>发展规划股、项目股、能源股、政策法规股、</w:t>
      </w:r>
      <w:r>
        <w:rPr>
          <w:rFonts w:hint="eastAsia" w:ascii="仿宋" w:hAnsi="仿宋" w:eastAsia="仿宋"/>
          <w:sz w:val="32"/>
          <w:szCs w:val="32"/>
          <w:lang w:val="en-US" w:eastAsia="zh-CN"/>
        </w:rPr>
        <w:t>国防动员股（人防股）</w:t>
      </w:r>
      <w:r>
        <w:rPr>
          <w:rFonts w:hint="eastAsia" w:ascii="仿宋" w:hAnsi="仿宋" w:eastAsia="仿宋"/>
          <w:sz w:val="32"/>
          <w:szCs w:val="32"/>
        </w:rPr>
        <w:t>、粮食和物资储备股、油气管理股。</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年底本部门在职职工6</w:t>
      </w:r>
      <w:r>
        <w:rPr>
          <w:rFonts w:hint="eastAsia" w:ascii="仿宋" w:hAnsi="仿宋" w:eastAsia="仿宋"/>
          <w:sz w:val="32"/>
          <w:szCs w:val="32"/>
          <w:lang w:val="en-US" w:eastAsia="zh-CN"/>
        </w:rPr>
        <w:t>8</w:t>
      </w:r>
      <w:r>
        <w:rPr>
          <w:rFonts w:hint="eastAsia" w:ascii="仿宋" w:hAnsi="仿宋" w:eastAsia="仿宋"/>
          <w:sz w:val="32"/>
          <w:szCs w:val="32"/>
        </w:rPr>
        <w:t>人，较202</w:t>
      </w:r>
      <w:r>
        <w:rPr>
          <w:rFonts w:hint="eastAsia" w:ascii="仿宋" w:hAnsi="仿宋" w:eastAsia="仿宋"/>
          <w:sz w:val="32"/>
          <w:szCs w:val="32"/>
          <w:lang w:val="en-US" w:eastAsia="zh-CN"/>
        </w:rPr>
        <w:t>3</w:t>
      </w:r>
      <w:r>
        <w:rPr>
          <w:rFonts w:hint="eastAsia" w:ascii="仿宋" w:hAnsi="仿宋" w:eastAsia="仿宋"/>
          <w:sz w:val="32"/>
          <w:szCs w:val="32"/>
        </w:rPr>
        <w:t>年年底减少</w:t>
      </w:r>
      <w:r>
        <w:rPr>
          <w:rFonts w:hint="eastAsia" w:ascii="仿宋" w:hAnsi="仿宋" w:eastAsia="仿宋"/>
          <w:sz w:val="32"/>
          <w:szCs w:val="32"/>
          <w:lang w:val="en-US" w:eastAsia="zh-CN"/>
        </w:rPr>
        <w:t>1</w:t>
      </w:r>
      <w:r>
        <w:rPr>
          <w:rFonts w:hint="eastAsia" w:ascii="仿宋" w:hAnsi="仿宋" w:eastAsia="仿宋"/>
          <w:sz w:val="32"/>
          <w:szCs w:val="32"/>
        </w:rPr>
        <w:t>人。其中行政编制减少5人：行政编人员退休</w:t>
      </w:r>
      <w:r>
        <w:rPr>
          <w:rFonts w:hint="eastAsia" w:ascii="仿宋" w:hAnsi="仿宋" w:eastAsia="仿宋"/>
          <w:sz w:val="32"/>
          <w:szCs w:val="32"/>
          <w:lang w:val="en-US" w:eastAsia="zh-CN"/>
        </w:rPr>
        <w:t>4</w:t>
      </w:r>
      <w:r>
        <w:rPr>
          <w:rFonts w:hint="eastAsia" w:ascii="仿宋" w:hAnsi="仿宋" w:eastAsia="仿宋"/>
          <w:sz w:val="32"/>
          <w:szCs w:val="32"/>
        </w:rPr>
        <w:t>人、调走</w:t>
      </w:r>
      <w:r>
        <w:rPr>
          <w:rFonts w:hint="eastAsia" w:ascii="仿宋" w:hAnsi="仿宋" w:eastAsia="仿宋"/>
          <w:sz w:val="32"/>
          <w:szCs w:val="32"/>
          <w:lang w:val="en-US" w:eastAsia="zh-CN"/>
        </w:rPr>
        <w:t>2</w:t>
      </w:r>
      <w:r>
        <w:rPr>
          <w:rFonts w:hint="eastAsia" w:ascii="仿宋" w:hAnsi="仿宋" w:eastAsia="仿宋"/>
          <w:sz w:val="32"/>
          <w:szCs w:val="32"/>
        </w:rPr>
        <w:t>人，调入</w:t>
      </w:r>
      <w:r>
        <w:rPr>
          <w:rFonts w:hint="eastAsia" w:ascii="仿宋" w:hAnsi="仿宋" w:eastAsia="仿宋"/>
          <w:sz w:val="32"/>
          <w:szCs w:val="32"/>
          <w:lang w:val="en-US" w:eastAsia="zh-CN"/>
        </w:rPr>
        <w:t>4</w:t>
      </w:r>
      <w:r>
        <w:rPr>
          <w:rFonts w:hint="eastAsia" w:ascii="仿宋" w:hAnsi="仿宋" w:eastAsia="仿宋"/>
          <w:sz w:val="32"/>
          <w:szCs w:val="32"/>
        </w:rPr>
        <w:t>人，</w:t>
      </w:r>
      <w:r>
        <w:rPr>
          <w:rFonts w:hint="eastAsia" w:ascii="仿宋" w:hAnsi="仿宋" w:eastAsia="仿宋"/>
          <w:sz w:val="32"/>
          <w:szCs w:val="32"/>
          <w:lang w:val="en-US" w:eastAsia="zh-CN"/>
        </w:rPr>
        <w:t>新招入1人；</w:t>
      </w:r>
      <w:r>
        <w:rPr>
          <w:rFonts w:hint="eastAsia" w:ascii="仿宋" w:hAnsi="仿宋" w:eastAsia="仿宋"/>
          <w:sz w:val="32"/>
          <w:szCs w:val="32"/>
        </w:rPr>
        <w:t>事业编调走</w:t>
      </w:r>
      <w:r>
        <w:rPr>
          <w:rFonts w:hint="eastAsia" w:ascii="仿宋" w:hAnsi="仿宋" w:eastAsia="仿宋"/>
          <w:sz w:val="32"/>
          <w:szCs w:val="32"/>
          <w:lang w:val="en-US" w:eastAsia="zh-CN"/>
        </w:rPr>
        <w:t>2</w:t>
      </w:r>
      <w:r>
        <w:rPr>
          <w:rFonts w:hint="eastAsia" w:ascii="仿宋" w:hAnsi="仿宋" w:eastAsia="仿宋"/>
          <w:sz w:val="32"/>
          <w:szCs w:val="32"/>
        </w:rPr>
        <w:t>人，新</w:t>
      </w:r>
      <w:r>
        <w:rPr>
          <w:rFonts w:hint="eastAsia" w:ascii="仿宋" w:hAnsi="仿宋" w:eastAsia="仿宋"/>
          <w:sz w:val="32"/>
          <w:szCs w:val="32"/>
          <w:lang w:val="en-US" w:eastAsia="zh-CN"/>
        </w:rPr>
        <w:t>招</w:t>
      </w:r>
      <w:r>
        <w:rPr>
          <w:rFonts w:hint="eastAsia" w:ascii="仿宋" w:hAnsi="仿宋" w:eastAsia="仿宋"/>
          <w:sz w:val="32"/>
          <w:szCs w:val="32"/>
        </w:rPr>
        <w:t>入</w:t>
      </w:r>
      <w:r>
        <w:rPr>
          <w:rFonts w:hint="eastAsia" w:ascii="仿宋" w:hAnsi="仿宋" w:eastAsia="仿宋"/>
          <w:sz w:val="32"/>
          <w:szCs w:val="32"/>
          <w:lang w:val="en-US" w:eastAsia="zh-CN"/>
        </w:rPr>
        <w:t>2</w:t>
      </w:r>
      <w:r>
        <w:rPr>
          <w:rFonts w:hint="eastAsia" w:ascii="仿宋" w:hAnsi="仿宋" w:eastAsia="仿宋"/>
          <w:sz w:val="32"/>
          <w:szCs w:val="32"/>
        </w:rPr>
        <w:t>人</w:t>
      </w:r>
      <w:r>
        <w:rPr>
          <w:rFonts w:hint="eastAsia" w:ascii="仿宋" w:hAnsi="仿宋" w:eastAsia="仿宋"/>
          <w:sz w:val="32"/>
          <w:szCs w:val="32"/>
          <w:lang w:eastAsia="zh-CN"/>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年底，</w:t>
      </w:r>
      <w:r>
        <w:rPr>
          <w:rFonts w:hint="eastAsia" w:ascii="仿宋" w:hAnsi="仿宋" w:eastAsia="仿宋"/>
          <w:sz w:val="32"/>
          <w:szCs w:val="32"/>
          <w:lang w:val="en-US" w:eastAsia="zh-CN"/>
        </w:rPr>
        <w:t>本部门</w:t>
      </w:r>
      <w:r>
        <w:rPr>
          <w:rFonts w:hint="eastAsia" w:ascii="仿宋" w:hAnsi="仿宋" w:eastAsia="仿宋"/>
          <w:sz w:val="32"/>
          <w:szCs w:val="32"/>
        </w:rPr>
        <w:t>资产合计</w:t>
      </w:r>
      <w:r>
        <w:rPr>
          <w:rFonts w:hint="eastAsia" w:ascii="仿宋" w:hAnsi="仿宋" w:eastAsia="仿宋"/>
          <w:sz w:val="32"/>
          <w:szCs w:val="32"/>
          <w:lang w:val="en-US" w:eastAsia="zh-CN"/>
        </w:rPr>
        <w:t>11403.41</w:t>
      </w:r>
      <w:r>
        <w:rPr>
          <w:rFonts w:hint="eastAsia" w:ascii="仿宋" w:hAnsi="仿宋" w:eastAsia="仿宋"/>
          <w:sz w:val="32"/>
          <w:szCs w:val="32"/>
        </w:rPr>
        <w:t xml:space="preserve">万元，其中：流动资产 </w:t>
      </w:r>
      <w:r>
        <w:rPr>
          <w:rFonts w:hint="eastAsia" w:ascii="仿宋" w:hAnsi="仿宋" w:eastAsia="仿宋"/>
          <w:sz w:val="32"/>
          <w:szCs w:val="32"/>
          <w:lang w:val="en-US" w:eastAsia="zh-CN"/>
        </w:rPr>
        <w:t>407.79</w:t>
      </w:r>
      <w:r>
        <w:rPr>
          <w:rFonts w:hint="eastAsia" w:ascii="仿宋" w:hAnsi="仿宋" w:eastAsia="仿宋"/>
          <w:sz w:val="32"/>
          <w:szCs w:val="32"/>
        </w:rPr>
        <w:t>万元、非流动资产</w:t>
      </w:r>
      <w:r>
        <w:rPr>
          <w:rFonts w:hint="eastAsia" w:ascii="仿宋" w:hAnsi="仿宋" w:eastAsia="仿宋"/>
          <w:sz w:val="32"/>
          <w:szCs w:val="32"/>
          <w:lang w:val="en-US" w:eastAsia="zh-CN"/>
        </w:rPr>
        <w:t>11022.62</w:t>
      </w:r>
      <w:r>
        <w:rPr>
          <w:rFonts w:hint="eastAsia" w:ascii="仿宋" w:hAnsi="仿宋" w:eastAsia="仿宋"/>
          <w:sz w:val="32"/>
          <w:szCs w:val="32"/>
        </w:rPr>
        <w:t xml:space="preserve"> 万元;负债合计</w:t>
      </w:r>
      <w:r>
        <w:rPr>
          <w:rFonts w:hint="eastAsia" w:ascii="仿宋" w:hAnsi="仿宋" w:eastAsia="仿宋"/>
          <w:sz w:val="32"/>
          <w:szCs w:val="32"/>
          <w:lang w:val="en-US" w:eastAsia="zh-CN"/>
        </w:rPr>
        <w:t>541.68</w:t>
      </w:r>
      <w:r>
        <w:rPr>
          <w:rFonts w:hint="eastAsia" w:ascii="仿宋" w:hAnsi="仿宋" w:eastAsia="仿宋"/>
          <w:sz w:val="32"/>
          <w:szCs w:val="32"/>
        </w:rPr>
        <w:t xml:space="preserve"> 万元，其中：流动负债</w:t>
      </w:r>
      <w:r>
        <w:rPr>
          <w:rFonts w:hint="eastAsia" w:ascii="仿宋" w:hAnsi="仿宋" w:eastAsia="仿宋"/>
          <w:sz w:val="32"/>
          <w:szCs w:val="32"/>
          <w:lang w:val="en-US" w:eastAsia="zh-CN"/>
        </w:rPr>
        <w:t>541.68</w:t>
      </w:r>
      <w:r>
        <w:rPr>
          <w:rFonts w:hint="eastAsia" w:ascii="仿宋" w:hAnsi="仿宋" w:eastAsia="仿宋"/>
          <w:sz w:val="32"/>
          <w:szCs w:val="32"/>
        </w:rPr>
        <w:t>万元;净资产合计</w:t>
      </w:r>
      <w:r>
        <w:rPr>
          <w:rFonts w:hint="eastAsia" w:ascii="仿宋" w:hAnsi="仿宋" w:eastAsia="仿宋"/>
          <w:sz w:val="32"/>
          <w:szCs w:val="32"/>
          <w:lang w:val="en-US" w:eastAsia="zh-CN"/>
        </w:rPr>
        <w:t>10888.73</w:t>
      </w:r>
      <w:r>
        <w:rPr>
          <w:rFonts w:hint="eastAsia" w:ascii="仿宋" w:hAnsi="仿宋" w:eastAsia="仿宋"/>
          <w:sz w:val="32"/>
          <w:szCs w:val="32"/>
        </w:rPr>
        <w:t xml:space="preserve"> 万元，其中：累计盈余</w:t>
      </w:r>
      <w:r>
        <w:rPr>
          <w:rFonts w:hint="eastAsia" w:ascii="仿宋" w:hAnsi="仿宋" w:eastAsia="仿宋"/>
          <w:sz w:val="32"/>
          <w:szCs w:val="32"/>
          <w:lang w:val="en-US" w:eastAsia="zh-CN"/>
        </w:rPr>
        <w:t>10888.73</w:t>
      </w:r>
      <w:r>
        <w:rPr>
          <w:rFonts w:hint="eastAsia" w:ascii="仿宋" w:hAnsi="仿宋" w:eastAsia="仿宋"/>
          <w:sz w:val="32"/>
          <w:szCs w:val="32"/>
        </w:rPr>
        <w:t>万元。</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（1）预、决算差异情况</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2024年年初预算收支为2024年预算收入33887.47万元，其中：一般公共预算收入12114.11万元，基金预算收入0.00万元，国有资本经营预算收入0.00万元，财政专户核拨收入0.00万元，单位资金收入0.00万元，上年结转结余21773.37万元（四舍五入）。2024年决算总收入为</w:t>
      </w:r>
      <w:r>
        <w:rPr>
          <w:rFonts w:hint="eastAsia" w:ascii="仿宋_GB2312" w:hAnsi="仿宋" w:eastAsia="仿宋_GB2312" w:cs="Times New Roman"/>
          <w:sz w:val="32"/>
          <w:szCs w:val="32"/>
          <w:lang w:val="en-US" w:eastAsia="zh-CN"/>
        </w:rPr>
        <w:t>26138.55</w:t>
      </w:r>
      <w:r>
        <w:rPr>
          <w:rFonts w:hint="eastAsia" w:ascii="仿宋_GB2312" w:hAnsi="仿宋" w:eastAsia="仿宋_GB2312"/>
          <w:sz w:val="32"/>
          <w:szCs w:val="32"/>
          <w:lang w:val="en-US" w:eastAsia="zh-CN"/>
        </w:rPr>
        <w:t>万元，其中2024年收入26108.09万元，上年结转结余34.46万元；2024年决算支出为26112.43万元（详见2023年预决算收支情况表）</w:t>
      </w:r>
      <w:r>
        <w:rPr>
          <w:rFonts w:hint="eastAsia" w:ascii="仿宋_GB2312" w:hAnsi="仿宋" w:eastAsia="仿宋_GB2312"/>
          <w:sz w:val="32"/>
          <w:szCs w:val="32"/>
        </w:rPr>
        <w:t>。</w:t>
      </w:r>
    </w:p>
    <w:p>
      <w:pPr>
        <w:rPr>
          <w:rFonts w:hint="eastAsia" w:ascii="仿宋_GB2312" w:hAnsi="仿宋" w:eastAsia="仿宋_GB2312"/>
          <w:sz w:val="32"/>
          <w:szCs w:val="32"/>
        </w:rPr>
      </w:pPr>
      <w:r>
        <w:rPr>
          <w:rFonts w:hint="eastAsia" w:ascii="仿宋_GB2312" w:hAnsi="仿宋" w:eastAsia="仿宋_GB2312"/>
          <w:sz w:val="32"/>
          <w:szCs w:val="32"/>
        </w:rPr>
        <w:br w:type="page"/>
      </w:r>
    </w:p>
    <w:tbl>
      <w:tblPr>
        <w:tblStyle w:val="7"/>
        <w:tblW w:w="82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43"/>
        <w:gridCol w:w="1525"/>
        <w:gridCol w:w="1782"/>
        <w:gridCol w:w="1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295" w:type="dxa"/>
            <w:gridSpan w:val="4"/>
            <w:tcBorders>
              <w:top w:val="nil"/>
              <w:left w:val="nil"/>
              <w:bottom w:val="nil"/>
              <w:right w:val="nil"/>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2024年预决算收支情况表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single" w:color="auto" w:sz="4" w:space="0"/>
              <w:right w:val="nil"/>
            </w:tcBorders>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auto" w:sz="4" w:space="0"/>
              <w:right w:val="nil"/>
            </w:tcBorders>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auto" w:sz="4" w:space="0"/>
              <w:right w:val="nil"/>
            </w:tcBorders>
            <w:noWrap/>
            <w:vAlign w:val="center"/>
          </w:tcPr>
          <w:p>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auto"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项目（按功能分类）</w:t>
            </w:r>
          </w:p>
        </w:tc>
        <w:tc>
          <w:tcPr>
            <w:tcW w:w="0" w:type="auto"/>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年初预算数</w:t>
            </w:r>
          </w:p>
        </w:tc>
        <w:tc>
          <w:tcPr>
            <w:tcW w:w="0" w:type="auto"/>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收入</w:t>
            </w:r>
          </w:p>
        </w:tc>
        <w:tc>
          <w:tcPr>
            <w:tcW w:w="0" w:type="auto"/>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1,378.66</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2532.96</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2507.63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国防支出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286.81</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科学技术支出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522.95</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453.27</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80.39</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74.97</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6,902.00</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4952.29</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4952.29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817.62</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515.71</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资源勘探工业信息等支出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700.00</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5683.30</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5683.30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商业服务业等支出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1,091.57</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1926.10</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1926.10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107.23</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102.34</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粮油物资储备支出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693.55</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747.96</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747.96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21,599.64</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8362.84</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8362.84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33,893.62</w:t>
            </w:r>
          </w:p>
        </w:tc>
        <w:tc>
          <w:tcPr>
            <w:tcW w:w="154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26138.55</w:t>
            </w:r>
          </w:p>
        </w:tc>
        <w:tc>
          <w:tcPr>
            <w:tcW w:w="168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26112.43</w:t>
            </w:r>
          </w:p>
        </w:tc>
      </w:tr>
    </w:tbl>
    <w:p>
      <w:pPr>
        <w:numPr>
          <w:ilvl w:val="0"/>
          <w:numId w:val="2"/>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pStyle w:val="2"/>
        <w:numPr>
          <w:ilvl w:val="0"/>
          <w:numId w:val="0"/>
        </w:numPr>
        <w:rPr>
          <w:rFonts w:hint="default" w:ascii="仿宋" w:hAnsi="仿宋" w:eastAsia="仿宋" w:cs="仿宋"/>
          <w:lang w:val="en-US" w:eastAsia="zh-CN"/>
        </w:rPr>
      </w:pPr>
      <w:r>
        <w:rPr>
          <w:rFonts w:hint="eastAsia" w:ascii="仿宋" w:hAnsi="仿宋" w:eastAsia="仿宋" w:cs="仿宋"/>
          <w:lang w:val="en-US" w:eastAsia="zh-CN"/>
        </w:rPr>
        <w:t xml:space="preserve">     本部门本年度绩效自评工作涉及专项资金项目57个，涉及预算资金54202.15万元。其中17个上级专项资金及相关项目，因文件要求不给予公开，涉及资金44197.94万元。在本次绩效自评报告中给予公开的项目有40个，涉及资金9504.21万元，预算资金完成支出9477.2万元，预算执行进度为99.72%，高质量完成了预算支出目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 w:eastAsia="仿宋_GB2312" w:cs="Times New Roman"/>
          <w:sz w:val="32"/>
          <w:szCs w:val="32"/>
          <w:highlight w:val="none"/>
          <w:lang w:val="en-US" w:eastAsia="zh-CN"/>
        </w:rPr>
        <w:t>我单位领导对绩效自评工作高度重视，积极开展，认真部署，根据区委区政府《关于全面实施预算绩效管理的实施意见》（鹿发〔2019〕8号）、《鹿泉区区级部门绩效自评管理办法》（鹿财字〔2020〕18号）成立了以盖端阳副局长为组长，财务股负责人侯静能源股负责人石俊峰为副组长，各业务股室负责人为组员的绩效自评小组。通过业务资料、财务台账、问卷调查等方式收集数据，对照年初设定的绩效目标（产出指标、效益指标、满意度指标等），细化量化指标数据，修订不合理指标，补充缺失项，确保指标评价可衡量、可操作。重点关注资金执行率、目标完成情况。</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绩效自评方法：本次绩效自评根据《鹿泉区区级部门项目绩效自评管理办法》，以目标对比法为核心，结合问卷调查法与成本效益分析法等，形成多思维评估体系，科学、合理地对本项目进行绩效自评。</w:t>
      </w:r>
    </w:p>
    <w:p>
      <w:pPr>
        <w:spacing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绩效自评过程：明确自评目的、范围和时间周期，收集与本项目相关的资料数据，依据评价指标体系和评价标准，运用适合的自评方法对项目的产出、效益、满意度等指标进行评价打分，对评价过程中发现的问题进行详细记录，并分析原因，提出具有针对性和可操作性的意见建议。</w:t>
      </w:r>
    </w:p>
    <w:p>
      <w:pPr>
        <w:spacing w:line="560" w:lineRule="exact"/>
        <w:ind w:firstLine="640" w:firstLineChars="200"/>
        <w:rPr>
          <w:rFonts w:hint="eastAsia" w:ascii="仿宋_GB2312" w:hAnsi="仿宋" w:eastAsia="仿宋_GB2312" w:cs="Times New Roman"/>
          <w:sz w:val="32"/>
          <w:szCs w:val="32"/>
          <w:highlight w:val="none"/>
          <w:lang w:val="en-US" w:eastAsia="zh-CN"/>
        </w:rPr>
      </w:pPr>
      <w:r>
        <w:rPr>
          <w:rFonts w:hint="eastAsia" w:ascii="仿宋_GB2312" w:hAnsi="仿宋" w:eastAsia="仿宋_GB2312" w:cs="Times New Roman"/>
          <w:sz w:val="32"/>
          <w:szCs w:val="32"/>
          <w:highlight w:val="none"/>
          <w:lang w:val="en-US" w:eastAsia="zh-CN"/>
        </w:rPr>
        <w:t>项目绩效自评表及自评报告报财务股室进行整合汇总，并形成本部门整体支出绩效自评报告，报财政局绩效科审核。</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石家庄市鹿泉区发展和改革局将深入贯彻党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认真落实区委区政府工作部署，始终抓牢发展第一要务不放松，统筹经济社会发展，强化经济运行，全面践行“项目为王”的理念，大力推动全区项目建设不断提速、提质、提效，经济运行稳中向好,充分挖掘消费潜力，推动现代服务业高质量发展；狠抓粮食安全，保障能源稳定供应，确保重点领域安全，经济社会发展呈现出稳中向好、逆势上扬的良好态势。</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sz w:val="32"/>
          <w:szCs w:val="32"/>
          <w:lang w:val="en-US" w:eastAsia="zh-CN"/>
        </w:rPr>
        <w:t>为最大程度把政策红利转化为发展实效，发挥中央</w:t>
      </w:r>
      <w:r>
        <w:rPr>
          <w:rFonts w:hint="eastAsia" w:ascii="宋体" w:hAnsi="宋体" w:cs="仿宋_GB2312"/>
          <w:sz w:val="32"/>
          <w:szCs w:val="32"/>
          <w:lang w:val="en-US" w:eastAsia="zh-CN"/>
        </w:rPr>
        <w:t>、省、市</w:t>
      </w:r>
      <w:r>
        <w:rPr>
          <w:rFonts w:hint="eastAsia" w:ascii="宋体" w:hAnsi="宋体" w:eastAsia="仿宋_GB2312" w:cs="仿宋_GB2312"/>
          <w:sz w:val="32"/>
          <w:szCs w:val="32"/>
          <w:lang w:val="en-US" w:eastAsia="zh-CN"/>
        </w:rPr>
        <w:t>资金对破解项目建设资金瓶颈的推动作用，我局牵头抓好中央预算投资项目申报和地方政府债券申报工作，认真研究政策文件，组织相关部门积极梳理符合条件的项目录入国家重大建设项目库。2024年共发行地方政府专项债券项目10个，项目总投资20.88亿元，专项债券发行规模3.68亿元。增发国债项目5个，总投资24592万元，安排增发国债资金15751万元。目前，2个项目已完工，剩余3个项目正常推进中。发行超长期特别国债项目1个，为南水北调中线山尹村沟、洨河南支、普连河防洪影响处理后续工程，项目总投资6754万元，安排国债资金金额5403万元，预计12月15日开工</w:t>
      </w:r>
      <w:r>
        <w:rPr>
          <w:rFonts w:hint="eastAsia" w:cs="仿宋_GB2312"/>
          <w:sz w:val="32"/>
          <w:szCs w:val="32"/>
          <w:lang w:val="en-US" w:eastAsia="zh-CN"/>
        </w:rPr>
        <w:t>；</w:t>
      </w:r>
      <w:r>
        <w:rPr>
          <w:rFonts w:hint="eastAsia" w:ascii="宋体" w:hAnsi="宋体" w:eastAsia="仿宋_GB2312" w:cs="仿宋_GB2312"/>
          <w:sz w:val="32"/>
          <w:szCs w:val="32"/>
          <w:lang w:val="en-US" w:eastAsia="zh-CN"/>
        </w:rPr>
        <w:t>鹿泉区君乐宝乳业特色小镇，在2024年河北省特色小镇年度评估中获得第三名</w:t>
      </w:r>
      <w:r>
        <w:rPr>
          <w:rFonts w:hint="eastAsia" w:cs="仿宋_GB2312"/>
          <w:sz w:val="32"/>
          <w:szCs w:val="32"/>
          <w:lang w:val="en-US" w:eastAsia="zh-CN"/>
        </w:rPr>
        <w:t>；</w:t>
      </w:r>
      <w:r>
        <w:rPr>
          <w:rFonts w:hint="eastAsia" w:ascii="宋体" w:hAnsi="宋体" w:eastAsia="仿宋_GB2312" w:cs="仿宋_GB2312"/>
          <w:color w:val="auto"/>
          <w:sz w:val="32"/>
          <w:szCs w:val="32"/>
          <w:lang w:val="en-US" w:eastAsia="zh-CN"/>
        </w:rPr>
        <w:t>做好我区农业水价综合改革工作，</w:t>
      </w:r>
      <w:r>
        <w:rPr>
          <w:rFonts w:hint="eastAsia" w:ascii="仿宋_GB2312" w:hAnsi="仿宋_GB2312" w:eastAsia="仿宋_GB2312" w:cs="仿宋_GB2312"/>
          <w:sz w:val="32"/>
          <w:szCs w:val="32"/>
          <w:lang w:val="en-US" w:eastAsia="zh-CN"/>
        </w:rPr>
        <w:t>协调区水利局、区农业农村局、区财政局，</w:t>
      </w:r>
      <w:r>
        <w:rPr>
          <w:rFonts w:hint="eastAsia" w:ascii="宋体" w:hAnsi="宋体" w:eastAsia="仿宋_GB2312" w:cs="仿宋_GB2312"/>
          <w:color w:val="auto"/>
          <w:sz w:val="32"/>
          <w:szCs w:val="32"/>
          <w:lang w:val="en-US" w:eastAsia="zh-CN"/>
        </w:rPr>
        <w:t>2023年度考核评定等级为优秀，代表石家庄市迎接全国交叉调研工作。</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8" w:lineRule="exact"/>
        <w:ind w:left="0" w:firstLine="640" w:firstLineChars="200"/>
        <w:textAlignment w:val="auto"/>
        <w:rPr>
          <w:rFonts w:hint="default" w:ascii="宋体" w:hAnsi="宋体" w:eastAsia="仿宋_GB2312" w:cs="仿宋_GB2312"/>
          <w:color w:val="auto"/>
          <w:kern w:val="2"/>
          <w:sz w:val="32"/>
          <w:szCs w:val="24"/>
          <w:highlight w:val="yellow"/>
          <w:u w:val="none"/>
          <w:lang w:val="en-US" w:eastAsia="zh-CN" w:bidi="ar-SA"/>
        </w:rPr>
      </w:pPr>
      <w:r>
        <w:rPr>
          <w:rFonts w:hint="eastAsia" w:ascii="宋体" w:hAnsi="宋体" w:eastAsia="楷体_GB2312" w:cs="楷体_GB2312"/>
          <w:sz w:val="32"/>
          <w:szCs w:val="32"/>
          <w:lang w:val="en-US" w:eastAsia="zh-CN"/>
        </w:rPr>
        <w:t>1.</w:t>
      </w:r>
      <w:r>
        <w:rPr>
          <w:rFonts w:hint="eastAsia" w:ascii="宋体" w:hAnsi="宋体" w:eastAsia="楷体_GB2312" w:cs="楷体_GB2312"/>
          <w:sz w:val="32"/>
          <w:szCs w:val="32"/>
          <w:lang w:eastAsia="zh-CN"/>
        </w:rPr>
        <w:t>经济运行平稳增长。</w:t>
      </w:r>
      <w:r>
        <w:rPr>
          <w:rFonts w:hint="eastAsia" w:ascii="宋体" w:hAnsi="宋体" w:eastAsia="仿宋_GB2312" w:cs="仿宋_GB2312"/>
          <w:color w:val="auto"/>
          <w:sz w:val="32"/>
          <w:highlight w:val="none"/>
          <w:u w:val="none"/>
          <w:lang w:val="en-US" w:eastAsia="zh-CN" w:bidi="ar-SA"/>
        </w:rPr>
        <w:t>预计全年，固定资产投资完成136.2亿，增长8.5%；社零额完成131.75亿元，增速4.9%左右；服务业增加值预计完成247.28亿元，增速7%；外贸进出口完成27亿元，增长12.5%。</w:t>
      </w:r>
    </w:p>
    <w:p>
      <w:pPr>
        <w:pStyle w:val="11"/>
        <w:keepNext w:val="0"/>
        <w:keepLines w:val="0"/>
        <w:pageBreakBefore w:val="0"/>
        <w:widowControl w:val="0"/>
        <w:kinsoku/>
        <w:wordWrap/>
        <w:overflowPunct/>
        <w:topLinePunct w:val="0"/>
        <w:autoSpaceDE/>
        <w:autoSpaceDN/>
        <w:bidi w:val="0"/>
        <w:adjustRightInd/>
        <w:snapToGrid/>
        <w:spacing w:line="578" w:lineRule="exact"/>
        <w:ind w:left="0" w:firstLine="640" w:firstLineChars="200"/>
        <w:textAlignment w:val="auto"/>
        <w:rPr>
          <w:rFonts w:hint="default" w:ascii="宋体" w:hAnsi="宋体" w:cs="仿宋_GB2312"/>
          <w:color w:val="000000"/>
          <w:sz w:val="32"/>
          <w:szCs w:val="32"/>
          <w:lang w:val="en-US" w:eastAsia="zh-CN"/>
        </w:rPr>
      </w:pPr>
      <w:r>
        <w:rPr>
          <w:rFonts w:hint="eastAsia" w:eastAsia="楷体_GB2312" w:cs="楷体_GB2312"/>
          <w:kern w:val="2"/>
          <w:sz w:val="32"/>
          <w:szCs w:val="32"/>
          <w:lang w:val="en-US" w:eastAsia="zh-CN" w:bidi="ar-SA"/>
        </w:rPr>
        <w:t>2.</w:t>
      </w:r>
      <w:r>
        <w:rPr>
          <w:rFonts w:hint="eastAsia" w:ascii="宋体" w:hAnsi="宋体" w:eastAsia="楷体_GB2312" w:cs="楷体_GB2312"/>
          <w:kern w:val="2"/>
          <w:sz w:val="32"/>
          <w:szCs w:val="32"/>
          <w:lang w:val="en-US" w:eastAsia="zh-CN" w:bidi="ar-SA"/>
        </w:rPr>
        <w:t>项目建设卓有成效</w:t>
      </w:r>
      <w:r>
        <w:rPr>
          <w:rFonts w:hint="eastAsia" w:eastAsia="楷体_GB2312" w:cs="楷体_GB2312"/>
          <w:kern w:val="2"/>
          <w:sz w:val="32"/>
          <w:szCs w:val="32"/>
          <w:lang w:val="en-US" w:eastAsia="zh-CN" w:bidi="ar-SA"/>
        </w:rPr>
        <w:t>。</w:t>
      </w:r>
      <w:bookmarkStart w:id="0" w:name="OLE_LINK1"/>
      <w:r>
        <w:rPr>
          <w:rFonts w:hint="eastAsia" w:ascii="宋体" w:hAnsi="宋体" w:eastAsia="仿宋_GB2312" w:cs="仿宋_GB2312"/>
          <w:b w:val="0"/>
          <w:bCs w:val="0"/>
          <w:color w:val="auto"/>
          <w:sz w:val="32"/>
          <w:szCs w:val="32"/>
          <w:lang w:val="en-US" w:eastAsia="zh-CN"/>
        </w:rPr>
        <w:t>2024年共安排区领导分包重点项目253个，总投资723.9亿元</w:t>
      </w:r>
      <w:bookmarkEnd w:id="0"/>
      <w:r>
        <w:rPr>
          <w:rFonts w:hint="eastAsia" w:cs="仿宋_GB2312"/>
          <w:b w:val="0"/>
          <w:bCs w:val="0"/>
          <w:color w:val="auto"/>
          <w:sz w:val="32"/>
          <w:szCs w:val="32"/>
          <w:lang w:val="en-US" w:eastAsia="zh-CN"/>
        </w:rPr>
        <w:t>；</w:t>
      </w:r>
      <w:r>
        <w:rPr>
          <w:rFonts w:hint="eastAsia" w:ascii="宋体" w:hAnsi="宋体" w:eastAsia="仿宋_GB2312" w:cs="仿宋_GB2312"/>
          <w:b w:val="0"/>
          <w:bCs w:val="0"/>
          <w:kern w:val="2"/>
          <w:sz w:val="32"/>
          <w:szCs w:val="32"/>
          <w:lang w:val="en-US" w:eastAsia="zh-CN" w:bidi="ar-SA"/>
        </w:rPr>
        <w:t>参加全市一季度集中项目建设开工活动，项目个数全市排名第二，总投资全市排名第一</w:t>
      </w:r>
      <w:r>
        <w:rPr>
          <w:rFonts w:hint="eastAsia" w:cs="仿宋_GB2312"/>
          <w:b w:val="0"/>
          <w:bCs w:val="0"/>
          <w:kern w:val="2"/>
          <w:sz w:val="32"/>
          <w:szCs w:val="32"/>
          <w:lang w:val="en-US" w:eastAsia="zh-CN" w:bidi="ar-SA"/>
        </w:rPr>
        <w:t>；</w:t>
      </w:r>
      <w:r>
        <w:rPr>
          <w:rFonts w:hint="eastAsia" w:ascii="宋体" w:hAnsi="宋体" w:cs="仿宋_GB2312"/>
          <w:b w:val="0"/>
          <w:bCs w:val="0"/>
          <w:kern w:val="2"/>
          <w:sz w:val="32"/>
          <w:szCs w:val="32"/>
          <w:lang w:val="en-US" w:eastAsia="zh-CN" w:bidi="ar-SA"/>
        </w:rPr>
        <w:t>组织</w:t>
      </w:r>
      <w:r>
        <w:rPr>
          <w:rFonts w:hint="eastAsia" w:ascii="宋体" w:hAnsi="宋体" w:cs="仿宋_GB2312"/>
          <w:color w:val="auto"/>
          <w:sz w:val="32"/>
          <w:szCs w:val="32"/>
          <w:highlight w:val="none"/>
          <w:lang w:val="en-US" w:eastAsia="zh-CN"/>
        </w:rPr>
        <w:t>参加全市2024年第一季度、第三季度项目观摩活动，分别排名全市第一和第二。</w:t>
      </w:r>
      <w:r>
        <w:rPr>
          <w:rFonts w:hint="eastAsia" w:ascii="宋体" w:hAnsi="宋体" w:eastAsia="仿宋_GB2312" w:cs="仿宋_GB2312"/>
          <w:kern w:val="2"/>
          <w:sz w:val="32"/>
          <w:szCs w:val="32"/>
          <w:highlight w:val="none"/>
          <w:lang w:val="en-US" w:eastAsia="zh-CN" w:bidi="ar-SA"/>
        </w:rPr>
        <w:t>参加</w:t>
      </w:r>
      <w:r>
        <w:rPr>
          <w:rFonts w:hint="eastAsia" w:ascii="宋体" w:hAnsi="宋体" w:cs="仿宋_GB2312"/>
          <w:kern w:val="2"/>
          <w:sz w:val="32"/>
          <w:szCs w:val="32"/>
          <w:highlight w:val="none"/>
          <w:lang w:val="en-US" w:eastAsia="zh-CN" w:bidi="ar-SA"/>
        </w:rPr>
        <w:t>石家庄市</w:t>
      </w:r>
      <w:r>
        <w:rPr>
          <w:rFonts w:hint="eastAsia" w:ascii="宋体" w:hAnsi="宋体" w:eastAsia="仿宋_GB2312" w:cs="仿宋_GB2312"/>
          <w:kern w:val="2"/>
          <w:sz w:val="32"/>
          <w:szCs w:val="32"/>
          <w:highlight w:val="none"/>
          <w:lang w:val="en-US" w:eastAsia="zh-CN" w:bidi="ar-SA"/>
        </w:rPr>
        <w:t>“百日攻坚”行动的项目共39个，总投资79.0亿元，年度计划投资11.0亿元</w:t>
      </w:r>
      <w:r>
        <w:rPr>
          <w:rFonts w:hint="eastAsia" w:cs="仿宋_GB2312"/>
          <w:kern w:val="2"/>
          <w:sz w:val="32"/>
          <w:szCs w:val="32"/>
          <w:highlight w:val="none"/>
          <w:lang w:val="en-US" w:eastAsia="zh-CN" w:bidi="ar-SA"/>
        </w:rPr>
        <w:t>；</w:t>
      </w:r>
      <w:r>
        <w:rPr>
          <w:rFonts w:hint="eastAsia" w:ascii="宋体" w:hAnsi="宋体" w:eastAsia="仿宋_GB2312" w:cs="仿宋_GB2312"/>
          <w:b w:val="0"/>
          <w:bCs w:val="0"/>
          <w:color w:val="auto"/>
          <w:sz w:val="32"/>
          <w:szCs w:val="32"/>
          <w:highlight w:val="none"/>
          <w:lang w:val="en-US" w:eastAsia="zh-CN"/>
        </w:rPr>
        <w:t>省市审批通过85个，总投资406.76亿元</w:t>
      </w:r>
      <w:r>
        <w:rPr>
          <w:rFonts w:hint="eastAsia"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申报省级企业技术中心3家，</w:t>
      </w:r>
      <w:r>
        <w:rPr>
          <w:rFonts w:hint="eastAsia" w:ascii="宋体" w:hAnsi="宋体" w:cs="仿宋_GB2312"/>
          <w:color w:val="auto"/>
          <w:sz w:val="32"/>
          <w:szCs w:val="32"/>
          <w:highlight w:val="none"/>
          <w:lang w:val="en-US" w:eastAsia="zh-CN"/>
        </w:rPr>
        <w:t>目前拟认定1家</w:t>
      </w:r>
      <w:r>
        <w:rPr>
          <w:rFonts w:hint="eastAsia" w:cs="仿宋_GB2312"/>
          <w:color w:val="auto"/>
          <w:sz w:val="32"/>
          <w:szCs w:val="32"/>
          <w:highlight w:val="none"/>
          <w:lang w:val="en-US" w:eastAsia="zh-CN"/>
        </w:rPr>
        <w:t>；申报</w:t>
      </w:r>
      <w:r>
        <w:rPr>
          <w:rFonts w:hint="eastAsia" w:ascii="宋体" w:hAnsi="宋体" w:eastAsia="仿宋_GB2312" w:cs="仿宋_GB2312"/>
          <w:b w:val="0"/>
          <w:bCs w:val="0"/>
          <w:color w:val="auto"/>
          <w:sz w:val="32"/>
          <w:szCs w:val="32"/>
          <w:highlight w:val="none"/>
          <w:lang w:val="en-US" w:eastAsia="zh-CN"/>
        </w:rPr>
        <w:t>市级企业技术中心6家，</w:t>
      </w:r>
      <w:r>
        <w:rPr>
          <w:rFonts w:hint="eastAsia" w:cs="仿宋_GB2312"/>
          <w:color w:val="auto"/>
          <w:sz w:val="32"/>
          <w:szCs w:val="32"/>
          <w:highlight w:val="none"/>
          <w:lang w:val="en-US" w:eastAsia="zh-CN"/>
        </w:rPr>
        <w:t>新</w:t>
      </w:r>
      <w:r>
        <w:rPr>
          <w:rFonts w:hint="eastAsia" w:ascii="宋体" w:hAnsi="宋体" w:cs="仿宋_GB2312"/>
          <w:color w:val="auto"/>
          <w:sz w:val="32"/>
          <w:szCs w:val="32"/>
          <w:highlight w:val="none"/>
          <w:lang w:val="en-US" w:eastAsia="zh-CN"/>
        </w:rPr>
        <w:t>认定3家</w:t>
      </w:r>
      <w:r>
        <w:rPr>
          <w:rFonts w:hint="eastAsia" w:cs="仿宋_GB2312"/>
          <w:color w:val="auto"/>
          <w:sz w:val="32"/>
          <w:szCs w:val="32"/>
          <w:highlight w:val="none"/>
          <w:lang w:val="en-US" w:eastAsia="zh-CN"/>
        </w:rPr>
        <w:t>；申报</w:t>
      </w:r>
      <w:r>
        <w:rPr>
          <w:rFonts w:hint="eastAsia" w:ascii="宋体" w:hAnsi="宋体" w:eastAsia="仿宋_GB2312" w:cs="仿宋_GB2312"/>
          <w:b w:val="0"/>
          <w:bCs w:val="0"/>
          <w:color w:val="auto"/>
          <w:sz w:val="32"/>
          <w:szCs w:val="32"/>
          <w:highlight w:val="none"/>
          <w:lang w:val="en-US" w:eastAsia="zh-CN"/>
        </w:rPr>
        <w:t>省级工程研究中心6家</w:t>
      </w:r>
      <w:r>
        <w:rPr>
          <w:rFonts w:hint="eastAsia" w:ascii="宋体" w:hAnsi="宋体"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市级瞪羚企业7家</w:t>
      </w:r>
      <w:r>
        <w:rPr>
          <w:rFonts w:hint="eastAsia" w:cs="仿宋_GB2312"/>
          <w:b w:val="0"/>
          <w:bCs w:val="0"/>
          <w:color w:val="auto"/>
          <w:sz w:val="32"/>
          <w:szCs w:val="32"/>
          <w:highlight w:val="none"/>
          <w:lang w:val="en-US" w:eastAsia="zh-CN"/>
        </w:rPr>
        <w:t>；</w:t>
      </w:r>
      <w:r>
        <w:rPr>
          <w:rFonts w:hint="eastAsia" w:ascii="宋体" w:hAnsi="宋体" w:cs="仿宋_GB2312"/>
          <w:b w:val="0"/>
          <w:bCs w:val="0"/>
          <w:color w:val="auto"/>
          <w:sz w:val="32"/>
          <w:szCs w:val="32"/>
          <w:highlight w:val="none"/>
          <w:lang w:val="en-US" w:eastAsia="zh-CN"/>
        </w:rPr>
        <w:t>牵头</w:t>
      </w:r>
      <w:r>
        <w:rPr>
          <w:rFonts w:hint="eastAsia" w:ascii="宋体" w:hAnsi="宋体" w:eastAsia="仿宋_GB2312" w:cs="仿宋_GB2312"/>
          <w:b w:val="0"/>
          <w:bCs w:val="0"/>
          <w:color w:val="auto"/>
          <w:sz w:val="32"/>
          <w:szCs w:val="32"/>
          <w:highlight w:val="none"/>
          <w:lang w:val="en-US" w:eastAsia="zh-CN"/>
        </w:rPr>
        <w:t>新建规上工业企业入统工作</w:t>
      </w:r>
      <w:r>
        <w:rPr>
          <w:rFonts w:hint="eastAsia" w:ascii="宋体" w:hAnsi="宋体" w:cs="仿宋_GB2312"/>
          <w:b w:val="0"/>
          <w:bCs w:val="0"/>
          <w:color w:val="auto"/>
          <w:sz w:val="32"/>
          <w:szCs w:val="32"/>
          <w:highlight w:val="none"/>
          <w:lang w:val="en-US" w:eastAsia="zh-CN"/>
        </w:rPr>
        <w:t>，</w:t>
      </w:r>
      <w:r>
        <w:rPr>
          <w:rFonts w:hint="eastAsia" w:ascii="宋体" w:hAnsi="宋体" w:eastAsia="仿宋_GB2312" w:cs="仿宋_GB2312"/>
          <w:color w:val="000000"/>
          <w:sz w:val="32"/>
          <w:szCs w:val="32"/>
          <w:lang w:val="en-US" w:eastAsia="zh-CN"/>
        </w:rPr>
        <w:t>按照市级年初下发4家任务要求，通过入企调研、督导、宣贯政策，共培育5家企业</w:t>
      </w:r>
      <w:r>
        <w:rPr>
          <w:rFonts w:hint="eastAsia" w:cs="仿宋_GB2312"/>
          <w:color w:val="000000"/>
          <w:sz w:val="32"/>
          <w:szCs w:val="32"/>
          <w:lang w:val="en-US" w:eastAsia="zh-CN"/>
        </w:rPr>
        <w:t>。</w:t>
      </w:r>
    </w:p>
    <w:p>
      <w:pPr>
        <w:pStyle w:val="11"/>
        <w:keepNext w:val="0"/>
        <w:keepLines w:val="0"/>
        <w:pageBreakBefore w:val="0"/>
        <w:widowControl w:val="0"/>
        <w:kinsoku/>
        <w:wordWrap/>
        <w:overflowPunct/>
        <w:topLinePunct w:val="0"/>
        <w:autoSpaceDE/>
        <w:autoSpaceDN/>
        <w:bidi w:val="0"/>
        <w:adjustRightInd/>
        <w:snapToGrid/>
        <w:spacing w:line="578" w:lineRule="exact"/>
        <w:ind w:left="0" w:firstLine="640" w:firstLineChars="200"/>
        <w:textAlignment w:val="auto"/>
        <w:rPr>
          <w:rFonts w:hint="eastAsia" w:ascii="宋体" w:hAnsi="宋体" w:cs="仿宋_GB2312"/>
          <w:b w:val="0"/>
          <w:bCs w:val="0"/>
          <w:color w:val="auto"/>
          <w:sz w:val="32"/>
          <w:szCs w:val="32"/>
          <w:highlight w:val="none"/>
          <w:lang w:val="en-US" w:eastAsia="zh-CN"/>
        </w:rPr>
      </w:pPr>
      <w:r>
        <w:rPr>
          <w:rFonts w:hint="eastAsia" w:eastAsia="楷体_GB2312" w:cs="楷体_GB2312"/>
          <w:b w:val="0"/>
          <w:bCs w:val="0"/>
          <w:sz w:val="32"/>
          <w:szCs w:val="32"/>
          <w:lang w:val="en-US" w:eastAsia="zh-CN"/>
        </w:rPr>
        <w:t>3.</w:t>
      </w:r>
      <w:r>
        <w:rPr>
          <w:rFonts w:hint="eastAsia" w:ascii="宋体" w:hAnsi="宋体" w:eastAsia="楷体_GB2312" w:cs="楷体_GB2312"/>
          <w:b w:val="0"/>
          <w:bCs w:val="0"/>
          <w:sz w:val="32"/>
          <w:szCs w:val="32"/>
          <w:lang w:eastAsia="zh-CN"/>
        </w:rPr>
        <w:t>商贸服务业繁荣发展</w:t>
      </w:r>
      <w:r>
        <w:rPr>
          <w:rFonts w:hint="eastAsia" w:eastAsia="楷体_GB2312" w:cs="楷体_GB2312"/>
          <w:b w:val="0"/>
          <w:bCs w:val="0"/>
          <w:sz w:val="32"/>
          <w:szCs w:val="32"/>
          <w:lang w:eastAsia="zh-CN"/>
        </w:rPr>
        <w:t>。</w:t>
      </w:r>
      <w:r>
        <w:rPr>
          <w:rFonts w:hint="eastAsia" w:ascii="宋体" w:hAnsi="宋体" w:eastAsia="仿宋_GB2312" w:cs="仿宋"/>
          <w:color w:val="auto"/>
          <w:spacing w:val="0"/>
          <w:w w:val="100"/>
          <w:sz w:val="32"/>
          <w:szCs w:val="32"/>
          <w:lang w:val="en-US" w:eastAsia="zh-CN"/>
        </w:rPr>
        <w:t>为进一步激活市场活力，繁荣鹿泉商贸经济和城市夜经济，我局牵头举办各类促销活动</w:t>
      </w:r>
      <w:r>
        <w:rPr>
          <w:rFonts w:hint="eastAsia" w:cs="仿宋"/>
          <w:color w:val="auto"/>
          <w:spacing w:val="0"/>
          <w:w w:val="100"/>
          <w:sz w:val="32"/>
          <w:szCs w:val="32"/>
          <w:lang w:val="en-US" w:eastAsia="zh-CN"/>
        </w:rPr>
        <w:t>，</w:t>
      </w:r>
      <w:r>
        <w:rPr>
          <w:rFonts w:hint="eastAsia" w:ascii="宋体" w:hAnsi="宋体" w:eastAsia="仿宋_GB2312" w:cs="仿宋_GB2312"/>
          <w:bCs/>
          <w:sz w:val="32"/>
          <w:szCs w:val="32"/>
        </w:rPr>
        <w:t>拉动消费约30000万元，提高限上零售额增速约4.5个百分点</w:t>
      </w:r>
      <w:r>
        <w:rPr>
          <w:rFonts w:hint="eastAsia" w:ascii="宋体" w:hAnsi="宋体" w:cs="仿宋_GB2312"/>
          <w:bCs/>
          <w:sz w:val="32"/>
          <w:szCs w:val="32"/>
          <w:lang w:eastAsia="zh-CN"/>
        </w:rPr>
        <w:t>，</w:t>
      </w:r>
      <w:r>
        <w:rPr>
          <w:rFonts w:hint="eastAsia" w:ascii="宋体" w:hAnsi="宋体" w:eastAsia="仿宋_GB2312" w:cs="仿宋_GB2312"/>
          <w:bCs/>
          <w:sz w:val="32"/>
          <w:szCs w:val="32"/>
        </w:rPr>
        <w:t>极大地促进释放消费潜力</w:t>
      </w:r>
      <w:r>
        <w:rPr>
          <w:rFonts w:hint="eastAsia" w:ascii="宋体" w:hAnsi="宋体" w:cs="仿宋_GB2312"/>
          <w:bCs/>
          <w:sz w:val="32"/>
          <w:szCs w:val="32"/>
          <w:lang w:eastAsia="zh-CN"/>
        </w:rPr>
        <w:t>，</w:t>
      </w:r>
      <w:r>
        <w:rPr>
          <w:rFonts w:hint="eastAsia" w:ascii="宋体" w:hAnsi="宋体" w:eastAsia="仿宋_GB2312" w:cs="仿宋_GB2312"/>
          <w:bCs/>
          <w:sz w:val="32"/>
          <w:szCs w:val="32"/>
        </w:rPr>
        <w:t>持续推动消费市场稳步增长</w:t>
      </w:r>
      <w:r>
        <w:rPr>
          <w:rFonts w:hint="eastAsia" w:cs="仿宋_GB2312"/>
          <w:bCs/>
          <w:sz w:val="32"/>
          <w:szCs w:val="32"/>
          <w:lang w:eastAsia="zh-CN"/>
        </w:rPr>
        <w:t>；</w:t>
      </w:r>
      <w:r>
        <w:rPr>
          <w:rFonts w:hint="eastAsia" w:ascii="宋体" w:hAnsi="宋体" w:eastAsia="仿宋_GB2312" w:cs="仿宋_GB2312"/>
          <w:b w:val="0"/>
          <w:bCs w:val="0"/>
          <w:color w:val="auto"/>
          <w:sz w:val="32"/>
          <w:szCs w:val="32"/>
          <w:highlight w:val="none"/>
          <w:lang w:val="en-US" w:eastAsia="zh-CN"/>
        </w:rPr>
        <w:t>开展夜间经济促销及商业街区商旅文化活动</w:t>
      </w:r>
      <w:r>
        <w:rPr>
          <w:rFonts w:hint="eastAsia"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四条特色商业街营业额为10.4亿元，同比增长2.46%；客流量为1018.1万人，同比增长0.05%；举办活动次数1002场</w:t>
      </w:r>
      <w:r>
        <w:rPr>
          <w:rFonts w:hint="eastAsia"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实施汽车</w:t>
      </w:r>
      <w:r>
        <w:rPr>
          <w:rFonts w:hint="eastAsia" w:ascii="宋体" w:hAnsi="宋体"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家电</w:t>
      </w:r>
      <w:r>
        <w:rPr>
          <w:rFonts w:hint="eastAsia" w:ascii="宋体" w:hAnsi="宋体"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家装、电动自行车领域以旧换新促消费活动</w:t>
      </w:r>
      <w:r>
        <w:rPr>
          <w:rFonts w:hint="eastAsia" w:cs="仿宋_GB2312"/>
          <w:b w:val="0"/>
          <w:bCs w:val="0"/>
          <w:color w:val="auto"/>
          <w:sz w:val="32"/>
          <w:szCs w:val="32"/>
          <w:highlight w:val="none"/>
          <w:lang w:val="en-US" w:eastAsia="zh-CN"/>
        </w:rPr>
        <w:t>，</w:t>
      </w:r>
      <w:r>
        <w:rPr>
          <w:rFonts w:hint="eastAsia" w:ascii="宋体" w:hAnsi="宋体" w:eastAsia="仿宋_GB2312" w:cs="仿宋_GB2312"/>
          <w:b w:val="0"/>
          <w:bCs w:val="0"/>
          <w:color w:val="auto"/>
          <w:sz w:val="32"/>
          <w:szCs w:val="32"/>
          <w:highlight w:val="none"/>
          <w:lang w:val="en-US" w:eastAsia="zh-CN"/>
        </w:rPr>
        <w:t>进一步激发了市民消费热情，进一步挖掘了消费潜力，推动本区消费市场持续繁荣</w:t>
      </w:r>
      <w:r>
        <w:rPr>
          <w:rFonts w:hint="eastAsia" w:cs="仿宋_GB2312"/>
          <w:b w:val="0"/>
          <w:bCs w:val="0"/>
          <w:color w:val="auto"/>
          <w:sz w:val="32"/>
          <w:szCs w:val="32"/>
          <w:highlight w:val="none"/>
          <w:lang w:val="en-US" w:eastAsia="zh-CN"/>
        </w:rPr>
        <w:t>。</w:t>
      </w:r>
      <w:r>
        <w:rPr>
          <w:rFonts w:hint="eastAsia" w:ascii="宋体" w:hAnsi="宋体" w:cs="仿宋_GB2312"/>
          <w:b w:val="0"/>
          <w:bCs w:val="0"/>
          <w:color w:val="auto"/>
          <w:sz w:val="32"/>
          <w:szCs w:val="32"/>
          <w:highlight w:val="none"/>
          <w:lang w:val="en-US" w:eastAsia="zh-CN"/>
        </w:rPr>
        <w:t xml:space="preserve">      </w:t>
      </w:r>
    </w:p>
    <w:p>
      <w:pPr>
        <w:pStyle w:val="11"/>
        <w:keepNext w:val="0"/>
        <w:keepLines w:val="0"/>
        <w:pageBreakBefore w:val="0"/>
        <w:widowControl w:val="0"/>
        <w:kinsoku/>
        <w:wordWrap/>
        <w:overflowPunct/>
        <w:topLinePunct w:val="0"/>
        <w:autoSpaceDE/>
        <w:autoSpaceDN/>
        <w:bidi w:val="0"/>
        <w:adjustRightInd/>
        <w:snapToGrid/>
        <w:spacing w:line="578" w:lineRule="exact"/>
        <w:ind w:left="0" w:firstLine="640" w:firstLineChars="200"/>
        <w:textAlignment w:val="auto"/>
        <w:rPr>
          <w:rFonts w:hint="eastAsia" w:eastAsia="楷体_GB2312" w:cs="楷体_GB2312"/>
          <w:b w:val="0"/>
          <w:bCs w:val="0"/>
          <w:sz w:val="32"/>
          <w:szCs w:val="32"/>
          <w:lang w:val="en-US" w:eastAsia="zh-CN"/>
        </w:rPr>
      </w:pPr>
      <w:r>
        <w:rPr>
          <w:rFonts w:hint="eastAsia" w:eastAsia="楷体_GB2312" w:cs="楷体_GB2312"/>
          <w:b w:val="0"/>
          <w:bCs w:val="0"/>
          <w:sz w:val="32"/>
          <w:szCs w:val="32"/>
          <w:lang w:val="en-US" w:eastAsia="zh-CN"/>
        </w:rPr>
        <w:t>4.优化营商环境。</w:t>
      </w:r>
      <w:r>
        <w:rPr>
          <w:rFonts w:hint="eastAsia" w:ascii="仿宋" w:hAnsi="仿宋" w:eastAsia="仿宋" w:cs="仿宋"/>
          <w:b w:val="0"/>
          <w:bCs w:val="0"/>
          <w:sz w:val="32"/>
          <w:szCs w:val="32"/>
          <w:lang w:val="en-US" w:eastAsia="zh-CN"/>
        </w:rPr>
        <w:t>作为全区优化营商环境办公室，牵头抓好优化营商环境工作。通过一系列措施，我区营商环境得到有效提升：市场环境更公平稳定、政务环境更周到高效、要素环境更多元顺畅、法治环境更公平正义、信用环境更诚实遵约。</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eastAsia="仿宋_GB2312" w:cs="仿宋_GB2312"/>
          <w:sz w:val="32"/>
          <w:szCs w:val="32"/>
          <w:lang w:val="en-US" w:eastAsia="zh-CN"/>
        </w:rPr>
      </w:pPr>
      <w:r>
        <w:rPr>
          <w:rFonts w:hint="eastAsia" w:eastAsia="楷体_GB2312" w:cs="楷体_GB2312"/>
          <w:sz w:val="32"/>
          <w:szCs w:val="32"/>
          <w:lang w:val="en-US" w:eastAsia="zh-CN"/>
        </w:rPr>
        <w:t>5.</w:t>
      </w:r>
      <w:r>
        <w:rPr>
          <w:rFonts w:hint="eastAsia" w:ascii="宋体" w:hAnsi="宋体" w:eastAsia="楷体_GB2312" w:cs="楷体_GB2312"/>
          <w:sz w:val="32"/>
          <w:szCs w:val="32"/>
          <w:lang w:val="en-US" w:eastAsia="zh-CN"/>
        </w:rPr>
        <w:t>聚焦要素保障</w:t>
      </w:r>
      <w:r>
        <w:rPr>
          <w:rFonts w:hint="eastAsia" w:eastAsia="楷体_GB2312" w:cs="楷体_GB2312"/>
          <w:sz w:val="32"/>
          <w:szCs w:val="32"/>
          <w:lang w:val="en-US" w:eastAsia="zh-CN"/>
        </w:rPr>
        <w:t>。</w:t>
      </w:r>
      <w:r>
        <w:rPr>
          <w:rFonts w:hint="eastAsia" w:ascii="宋体" w:hAnsi="宋体" w:cs="仿宋_GB2312"/>
          <w:sz w:val="32"/>
          <w:szCs w:val="32"/>
          <w:highlight w:val="none"/>
          <w:lang w:val="en-US" w:eastAsia="zh-CN"/>
        </w:rPr>
        <w:t>做好能源要素保障</w:t>
      </w:r>
      <w:r>
        <w:rPr>
          <w:rFonts w:hint="eastAsia" w:cs="仿宋_GB2312"/>
          <w:sz w:val="32"/>
          <w:szCs w:val="32"/>
          <w:highlight w:val="none"/>
          <w:lang w:val="en-US" w:eastAsia="zh-CN"/>
        </w:rPr>
        <w:t>：</w:t>
      </w:r>
      <w:r>
        <w:rPr>
          <w:rFonts w:hint="eastAsia" w:ascii="宋体" w:hAnsi="宋体" w:cs="仿宋_GB2312"/>
          <w:sz w:val="32"/>
          <w:szCs w:val="32"/>
          <w:highlight w:val="none"/>
          <w:lang w:val="en-US" w:eastAsia="zh-CN"/>
        </w:rPr>
        <w:t>统筹推进碳达峰碳中和工作的开展，</w:t>
      </w:r>
      <w:r>
        <w:rPr>
          <w:rFonts w:hint="eastAsia" w:ascii="宋体" w:hAnsi="宋体" w:eastAsia="仿宋_GB2312" w:cs="仿宋_GB2312"/>
          <w:kern w:val="0"/>
          <w:sz w:val="32"/>
          <w:szCs w:val="32"/>
          <w:lang w:val="en-US" w:eastAsia="zh-CN" w:bidi="ar"/>
        </w:rPr>
        <w:t>兼顾</w:t>
      </w:r>
      <w:r>
        <w:rPr>
          <w:rFonts w:hint="eastAsia" w:ascii="宋体" w:hAnsi="宋体" w:cs="仿宋_GB2312"/>
          <w:kern w:val="0"/>
          <w:sz w:val="32"/>
          <w:szCs w:val="32"/>
          <w:lang w:val="en-US" w:eastAsia="zh-CN" w:bidi="ar"/>
        </w:rPr>
        <w:t>经济社会发展和煤炭消费，全力做好节能削煤、采暖季天然气保供等重点工作</w:t>
      </w:r>
      <w:r>
        <w:rPr>
          <w:rFonts w:hint="eastAsia" w:cs="仿宋_GB2312"/>
          <w:kern w:val="0"/>
          <w:lang w:eastAsia="zh-CN" w:bidi="ar"/>
        </w:rPr>
        <w:t>；</w:t>
      </w:r>
      <w:r>
        <w:rPr>
          <w:rFonts w:hint="eastAsia" w:ascii="宋体" w:hAnsi="宋体" w:cs="仿宋_GB2312"/>
          <w:sz w:val="32"/>
          <w:szCs w:val="32"/>
          <w:highlight w:val="none"/>
          <w:lang w:val="en-US" w:eastAsia="zh-CN"/>
        </w:rPr>
        <w:t>做好粮食要素保障</w:t>
      </w:r>
      <w:r>
        <w:rPr>
          <w:rFonts w:hint="eastAsia" w:cs="仿宋_GB2312"/>
          <w:sz w:val="32"/>
          <w:szCs w:val="32"/>
          <w:highlight w:val="none"/>
          <w:lang w:val="en-US" w:eastAsia="zh-CN"/>
        </w:rPr>
        <w:t>：做好区级储备粮</w:t>
      </w:r>
      <w:r>
        <w:rPr>
          <w:rFonts w:hint="eastAsia" w:ascii="宋体" w:hAnsi="宋体" w:eastAsia="仿宋_GB2312" w:cstheme="minorBidi"/>
          <w:kern w:val="2"/>
          <w:sz w:val="32"/>
          <w:szCs w:val="32"/>
          <w:lang w:val="en-US" w:eastAsia="zh-CN" w:bidi="ar-SA"/>
        </w:rPr>
        <w:t>存储</w:t>
      </w:r>
      <w:r>
        <w:rPr>
          <w:rFonts w:hint="eastAsia" w:cstheme="minorBidi"/>
          <w:kern w:val="2"/>
          <w:sz w:val="32"/>
          <w:szCs w:val="32"/>
          <w:lang w:val="en-US" w:eastAsia="zh-CN" w:bidi="ar-SA"/>
        </w:rPr>
        <w:t>及</w:t>
      </w:r>
      <w:r>
        <w:rPr>
          <w:rFonts w:hint="eastAsia" w:ascii="宋体" w:hAnsi="宋体" w:eastAsia="仿宋_GB2312" w:cstheme="minorBidi"/>
          <w:kern w:val="2"/>
          <w:sz w:val="32"/>
          <w:szCs w:val="32"/>
          <w:lang w:val="en-US" w:eastAsia="zh-CN" w:bidi="ar-SA"/>
        </w:rPr>
        <w:t>粮食应急供应网点</w:t>
      </w:r>
      <w:r>
        <w:rPr>
          <w:rFonts w:hint="eastAsia" w:cstheme="minorBidi"/>
          <w:kern w:val="2"/>
          <w:sz w:val="32"/>
          <w:szCs w:val="32"/>
          <w:lang w:val="en-US" w:eastAsia="zh-CN" w:bidi="ar-SA"/>
        </w:rPr>
        <w:t>保障，</w:t>
      </w:r>
      <w:r>
        <w:rPr>
          <w:rFonts w:hint="eastAsia" w:ascii="宋体" w:hAnsi="宋体" w:eastAsia="仿宋_GB2312" w:cstheme="minorBidi"/>
          <w:kern w:val="2"/>
          <w:sz w:val="32"/>
          <w:szCs w:val="32"/>
          <w:lang w:val="en-US" w:eastAsia="zh-CN" w:bidi="ar-SA"/>
        </w:rPr>
        <w:t>抓好秋粮、夏粮收购工作，完善物资储备管理，增加储备品种</w:t>
      </w:r>
      <w:r>
        <w:rPr>
          <w:rFonts w:hint="eastAsia" w:cstheme="minorBidi"/>
          <w:kern w:val="2"/>
          <w:sz w:val="32"/>
          <w:szCs w:val="32"/>
          <w:lang w:val="en-US" w:eastAsia="zh-CN" w:bidi="ar-SA"/>
        </w:rPr>
        <w:t>；</w:t>
      </w:r>
      <w:r>
        <w:rPr>
          <w:rFonts w:hint="eastAsia" w:ascii="宋体" w:hAnsi="宋体" w:eastAsia="仿宋_GB2312" w:cs="仿宋_GB2312"/>
          <w:b w:val="0"/>
          <w:bCs w:val="0"/>
          <w:color w:val="auto"/>
          <w:sz w:val="32"/>
          <w:szCs w:val="32"/>
          <w:lang w:val="en-US" w:eastAsia="zh-CN"/>
        </w:rPr>
        <w:t>做好价格要素保障</w:t>
      </w:r>
      <w:r>
        <w:rPr>
          <w:rFonts w:hint="eastAsia" w:cs="仿宋_GB2312"/>
          <w:color w:val="auto"/>
          <w:sz w:val="32"/>
          <w:szCs w:val="32"/>
          <w:lang w:val="en-US" w:eastAsia="zh-CN"/>
        </w:rPr>
        <w:t>：</w:t>
      </w:r>
      <w:r>
        <w:rPr>
          <w:rFonts w:hint="eastAsia" w:ascii="宋体" w:hAnsi="宋体" w:eastAsia="仿宋_GB2312" w:cs="仿宋_GB2312"/>
          <w:color w:val="auto"/>
          <w:sz w:val="32"/>
          <w:szCs w:val="32"/>
          <w:lang w:val="en-US" w:eastAsia="zh-CN"/>
        </w:rPr>
        <w:t>认真做好市场价格监测和分析预警工作，密切关注农业生产资料和重要生产资料价格走势</w:t>
      </w:r>
      <w:r>
        <w:rPr>
          <w:rFonts w:hint="eastAsia" w:cs="仿宋_GB2312"/>
          <w:color w:val="auto"/>
          <w:sz w:val="32"/>
          <w:szCs w:val="32"/>
          <w:lang w:val="en-US" w:eastAsia="zh-CN"/>
        </w:rPr>
        <w:t>，</w:t>
      </w:r>
      <w:r>
        <w:rPr>
          <w:rFonts w:hint="eastAsia" w:ascii="宋体" w:hAnsi="宋体" w:eastAsia="仿宋_GB2312" w:cs="仿宋_GB2312"/>
          <w:color w:val="auto"/>
          <w:sz w:val="32"/>
          <w:szCs w:val="32"/>
          <w:lang w:val="en-US" w:eastAsia="zh-CN"/>
        </w:rPr>
        <w:t>出台</w:t>
      </w:r>
      <w:r>
        <w:rPr>
          <w:rFonts w:hint="eastAsia" w:cs="仿宋_GB2312"/>
          <w:color w:val="auto"/>
          <w:sz w:val="32"/>
          <w:szCs w:val="32"/>
          <w:lang w:val="en-US" w:eastAsia="zh-CN"/>
        </w:rPr>
        <w:t>区域内价格</w:t>
      </w:r>
      <w:r>
        <w:rPr>
          <w:rFonts w:hint="eastAsia" w:ascii="仿宋_GB2312" w:hAnsi="仿宋_GB2312" w:eastAsia="仿宋_GB2312" w:cs="仿宋_GB2312"/>
          <w:sz w:val="32"/>
          <w:szCs w:val="32"/>
          <w:lang w:val="en-US" w:eastAsia="zh-CN"/>
        </w:rPr>
        <w:t>收费政策</w:t>
      </w:r>
      <w:r>
        <w:rPr>
          <w:rFonts w:hint="eastAsia" w:ascii="宋体" w:hAnsi="宋体" w:cs="仿宋_GB2312"/>
          <w:color w:val="auto"/>
          <w:sz w:val="32"/>
          <w:szCs w:val="32"/>
          <w:lang w:val="en-US" w:eastAsia="zh-CN"/>
        </w:rPr>
        <w:t>，</w:t>
      </w:r>
      <w:r>
        <w:rPr>
          <w:rFonts w:hint="eastAsia" w:cs="仿宋_GB2312"/>
          <w:color w:val="auto"/>
          <w:sz w:val="32"/>
          <w:szCs w:val="32"/>
          <w:lang w:val="en-US" w:eastAsia="zh-CN"/>
        </w:rPr>
        <w:t>做好不同领域</w:t>
      </w:r>
      <w:r>
        <w:rPr>
          <w:rFonts w:hint="eastAsia" w:ascii="宋体" w:hAnsi="宋体" w:eastAsia="仿宋_GB2312" w:cs="仿宋_GB2312"/>
          <w:color w:val="auto"/>
          <w:sz w:val="32"/>
          <w:szCs w:val="32"/>
          <w:lang w:val="en-US" w:eastAsia="zh-CN"/>
        </w:rPr>
        <w:t>销售价格</w:t>
      </w:r>
      <w:r>
        <w:rPr>
          <w:rFonts w:hint="eastAsia" w:cs="仿宋_GB2312"/>
          <w:color w:val="auto"/>
          <w:sz w:val="32"/>
          <w:szCs w:val="32"/>
          <w:lang w:val="en-US" w:eastAsia="zh-CN"/>
        </w:rPr>
        <w:t>、</w:t>
      </w:r>
      <w:r>
        <w:rPr>
          <w:rFonts w:hint="eastAsia" w:ascii="仿宋_GB2312" w:hAnsi="仿宋_GB2312" w:eastAsia="仿宋_GB2312" w:cs="仿宋_GB2312"/>
          <w:sz w:val="32"/>
          <w:szCs w:val="32"/>
          <w:lang w:val="en-US" w:eastAsia="zh-CN"/>
        </w:rPr>
        <w:t>成本审核工作</w:t>
      </w:r>
      <w:r>
        <w:rPr>
          <w:rFonts w:hint="eastAsia" w:ascii="仿宋_GB2312" w:hAnsi="仿宋_GB2312" w:cs="仿宋_GB2312"/>
          <w:sz w:val="32"/>
          <w:szCs w:val="32"/>
          <w:lang w:val="en-US" w:eastAsia="zh-CN"/>
        </w:rPr>
        <w:t>；</w:t>
      </w:r>
      <w:r>
        <w:rPr>
          <w:rFonts w:hint="eastAsia" w:ascii="宋体" w:hAnsi="宋体" w:eastAsia="仿宋_GB2312" w:cs="Times New Roman"/>
          <w:color w:val="000000"/>
          <w:sz w:val="32"/>
          <w:lang w:val="en-US" w:eastAsia="zh-CN"/>
        </w:rPr>
        <w:t>做好价格认证工作，</w:t>
      </w:r>
      <w:r>
        <w:rPr>
          <w:rFonts w:hint="eastAsia" w:ascii="宋体" w:hAnsi="宋体" w:eastAsia="仿宋_GB2312" w:cs="仿宋_GB2312"/>
          <w:sz w:val="32"/>
          <w:szCs w:val="32"/>
          <w:lang w:val="en-US" w:eastAsia="zh-CN"/>
        </w:rPr>
        <w:t>共办结案件共计</w:t>
      </w:r>
      <w:r>
        <w:rPr>
          <w:rFonts w:hint="eastAsia" w:ascii="宋体" w:hAnsi="宋体" w:cs="仿宋_GB2312"/>
          <w:sz w:val="32"/>
          <w:szCs w:val="32"/>
          <w:lang w:val="en-US" w:eastAsia="zh-CN"/>
        </w:rPr>
        <w:t>75</w:t>
      </w:r>
      <w:r>
        <w:rPr>
          <w:rFonts w:hint="eastAsia" w:ascii="宋体" w:hAnsi="宋体" w:eastAsia="仿宋_GB2312" w:cs="仿宋_GB2312"/>
          <w:sz w:val="32"/>
          <w:szCs w:val="32"/>
          <w:lang w:val="en-US" w:eastAsia="zh-CN"/>
        </w:rPr>
        <w:t>件，认定价格近</w:t>
      </w:r>
      <w:r>
        <w:rPr>
          <w:rFonts w:hint="eastAsia" w:ascii="宋体" w:hAnsi="宋体" w:cs="仿宋_GB2312"/>
          <w:sz w:val="32"/>
          <w:szCs w:val="32"/>
          <w:lang w:val="en-US" w:eastAsia="zh-CN"/>
        </w:rPr>
        <w:t>290</w:t>
      </w:r>
      <w:r>
        <w:rPr>
          <w:rFonts w:hint="eastAsia" w:ascii="宋体" w:hAnsi="宋体" w:eastAsia="仿宋_GB2312" w:cs="仿宋_GB2312"/>
          <w:sz w:val="32"/>
          <w:szCs w:val="32"/>
          <w:lang w:val="en-US" w:eastAsia="zh-CN"/>
        </w:rPr>
        <w:t>万元。</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textAlignment w:val="auto"/>
        <w:rPr>
          <w:rFonts w:hint="eastAsia" w:ascii="宋体" w:hAnsi="宋体" w:eastAsia="仿宋_GB2312" w:cs="仿宋_GB2312"/>
          <w:sz w:val="32"/>
          <w:szCs w:val="32"/>
          <w:lang w:val="en-US" w:eastAsia="zh-CN"/>
        </w:rPr>
      </w:pPr>
      <w:r>
        <w:rPr>
          <w:rFonts w:hint="eastAsia" w:ascii="楷体_GB2312" w:hAnsi="楷体_GB2312" w:eastAsia="楷体_GB2312" w:cs="楷体_GB2312"/>
          <w:color w:val="auto"/>
          <w:kern w:val="2"/>
          <w:sz w:val="32"/>
          <w:szCs w:val="32"/>
          <w:lang w:val="en-US" w:eastAsia="zh-CN" w:bidi="ar-SA"/>
        </w:rPr>
        <w:t>6.抓好国防人防工作。</w:t>
      </w:r>
      <w:r>
        <w:rPr>
          <w:rFonts w:hint="eastAsia" w:ascii="宋体" w:hAnsi="宋体" w:eastAsia="仿宋_GB2312" w:cs="仿宋_GB2312"/>
          <w:sz w:val="32"/>
          <w:szCs w:val="32"/>
          <w:lang w:eastAsia="zh-CN"/>
        </w:rPr>
        <w:t>严把工程建设项目审批关口，</w:t>
      </w:r>
      <w:r>
        <w:rPr>
          <w:rFonts w:hint="eastAsia" w:ascii="宋体" w:hAnsi="宋体" w:eastAsia="仿宋_GB2312" w:cs="仿宋_GB2312"/>
          <w:sz w:val="32"/>
          <w:szCs w:val="32"/>
          <w:lang w:val="en-US" w:eastAsia="zh-CN"/>
        </w:rPr>
        <w:t>今年</w:t>
      </w:r>
      <w:r>
        <w:rPr>
          <w:rFonts w:hint="eastAsia" w:ascii="宋体" w:hAnsi="宋体" w:eastAsia="仿宋_GB2312" w:cs="仿宋_GB2312"/>
          <w:sz w:val="32"/>
          <w:szCs w:val="32"/>
          <w:lang w:eastAsia="zh-CN"/>
        </w:rPr>
        <w:t>共批建防空地下室面积</w:t>
      </w:r>
      <w:r>
        <w:rPr>
          <w:rFonts w:hint="eastAsia" w:ascii="宋体" w:hAnsi="宋体" w:eastAsia="仿宋_GB2312" w:cs="仿宋_GB2312"/>
          <w:sz w:val="32"/>
          <w:szCs w:val="32"/>
          <w:lang w:val="en-US" w:eastAsia="zh-CN"/>
        </w:rPr>
        <w:t>5万多</w:t>
      </w:r>
      <w:r>
        <w:rPr>
          <w:rFonts w:hint="eastAsia" w:ascii="宋体" w:hAnsi="宋体" w:eastAsia="仿宋_GB2312" w:cs="仿宋_GB2312"/>
          <w:sz w:val="32"/>
          <w:szCs w:val="32"/>
          <w:lang w:eastAsia="zh-CN"/>
        </w:rPr>
        <w:t>平方米，办理竣工验收人防工程</w:t>
      </w:r>
      <w:r>
        <w:rPr>
          <w:rFonts w:hint="eastAsia" w:ascii="宋体" w:hAnsi="宋体" w:eastAsia="仿宋_GB2312" w:cs="仿宋_GB2312"/>
          <w:sz w:val="32"/>
          <w:szCs w:val="32"/>
          <w:lang w:val="en-US" w:eastAsia="zh-CN"/>
        </w:rPr>
        <w:t>21</w:t>
      </w:r>
      <w:r>
        <w:rPr>
          <w:rFonts w:hint="eastAsia" w:ascii="宋体" w:hAnsi="宋体" w:eastAsia="仿宋_GB2312" w:cs="仿宋_GB2312"/>
          <w:sz w:val="32"/>
          <w:szCs w:val="32"/>
          <w:lang w:eastAsia="zh-CN"/>
        </w:rPr>
        <w:t>个，人防面积</w:t>
      </w:r>
      <w:r>
        <w:rPr>
          <w:rFonts w:hint="eastAsia" w:ascii="宋体" w:hAnsi="宋体" w:eastAsia="仿宋_GB2312" w:cs="仿宋_GB2312"/>
          <w:sz w:val="32"/>
          <w:szCs w:val="32"/>
          <w:lang w:val="en-US" w:eastAsia="zh-CN"/>
        </w:rPr>
        <w:t>12万多平方米，</w:t>
      </w:r>
      <w:r>
        <w:rPr>
          <w:rFonts w:hint="eastAsia" w:ascii="宋体" w:hAnsi="宋体" w:eastAsia="仿宋_GB2312" w:cs="仿宋_GB2312"/>
          <w:sz w:val="32"/>
          <w:szCs w:val="32"/>
          <w:lang w:eastAsia="zh-CN"/>
        </w:rPr>
        <w:t>收取易地建设费</w:t>
      </w:r>
      <w:r>
        <w:rPr>
          <w:rFonts w:hint="eastAsia" w:ascii="宋体" w:hAnsi="宋体" w:eastAsia="仿宋_GB2312" w:cs="仿宋_GB2312"/>
          <w:sz w:val="32"/>
          <w:szCs w:val="32"/>
          <w:lang w:val="en-US" w:eastAsia="zh-CN"/>
        </w:rPr>
        <w:t>1300多万</w:t>
      </w:r>
      <w:r>
        <w:rPr>
          <w:rFonts w:hint="eastAsia" w:ascii="宋体" w:hAnsi="宋体" w:eastAsia="仿宋_GB2312" w:cs="仿宋_GB2312"/>
          <w:sz w:val="32"/>
          <w:szCs w:val="32"/>
          <w:lang w:eastAsia="zh-CN"/>
        </w:rPr>
        <w:t>元，全部缴入财政专户；</w:t>
      </w:r>
      <w:r>
        <w:rPr>
          <w:rFonts w:hint="eastAsia" w:ascii="宋体" w:hAnsi="宋体" w:eastAsia="仿宋_GB2312" w:cs="仿宋_GB2312"/>
          <w:sz w:val="32"/>
          <w:szCs w:val="32"/>
          <w:lang w:val="en-US" w:eastAsia="zh-CN"/>
        </w:rPr>
        <w:t>编制《人民防空方案计划》，整组人防专业队，支持帮助企业申报国防动员领域项目资金，</w:t>
      </w:r>
      <w:r>
        <w:rPr>
          <w:rFonts w:hint="eastAsia" w:ascii="宋体" w:hAnsi="宋体" w:eastAsia="仿宋_GB2312" w:cs="仿宋_GB2312"/>
          <w:sz w:val="32"/>
          <w:szCs w:val="32"/>
          <w:lang w:eastAsia="zh-CN"/>
        </w:rPr>
        <w:t>努力做好国防动员宣传工作，</w:t>
      </w:r>
      <w:r>
        <w:rPr>
          <w:rFonts w:hint="eastAsia" w:ascii="宋体" w:hAnsi="宋体" w:eastAsia="仿宋_GB2312" w:cs="仿宋_GB2312"/>
          <w:sz w:val="32"/>
          <w:szCs w:val="32"/>
          <w:lang w:val="en-US" w:eastAsia="zh-CN"/>
        </w:rPr>
        <w:t>利用全民健身中心公园，精心建设一个集国防、人防元素于一体的主题公园，推动人防宣传教育取得新实效。</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textAlignment w:val="auto"/>
        <w:rPr>
          <w:rFonts w:hint="eastAsia" w:ascii="宋体" w:hAnsi="宋体" w:eastAsia="仿宋_GB2312"/>
          <w:color w:val="auto"/>
          <w:sz w:val="32"/>
          <w:szCs w:val="32"/>
          <w:highlight w:val="none"/>
        </w:rPr>
      </w:pPr>
      <w:r>
        <w:rPr>
          <w:rFonts w:hint="eastAsia" w:ascii="宋体" w:hAnsi="宋体" w:eastAsia="楷体_GB2312" w:cs="楷体_GB2312"/>
          <w:sz w:val="32"/>
          <w:szCs w:val="32"/>
          <w:lang w:val="en-US" w:eastAsia="zh-CN"/>
        </w:rPr>
        <w:t>7.积极开展两新工作。</w:t>
      </w:r>
      <w:r>
        <w:rPr>
          <w:rFonts w:hint="eastAsia" w:ascii="宋体" w:hAnsi="宋体" w:eastAsia="仿宋_GB2312"/>
          <w:sz w:val="32"/>
          <w:szCs w:val="32"/>
          <w:lang w:eastAsia="zh-CN"/>
        </w:rPr>
        <w:t>认真落实国家</w:t>
      </w:r>
      <w:r>
        <w:rPr>
          <w:rFonts w:hint="eastAsia" w:ascii="宋体" w:hAnsi="宋体" w:eastAsia="仿宋_GB2312"/>
          <w:sz w:val="32"/>
          <w:szCs w:val="32"/>
        </w:rPr>
        <w:t>“两新”</w:t>
      </w:r>
      <w:r>
        <w:rPr>
          <w:rFonts w:hint="eastAsia" w:ascii="宋体" w:hAnsi="宋体" w:eastAsia="仿宋_GB2312"/>
          <w:sz w:val="32"/>
          <w:szCs w:val="32"/>
          <w:lang w:eastAsia="zh-CN"/>
        </w:rPr>
        <w:t>政策，牵头成立</w:t>
      </w:r>
      <w:r>
        <w:rPr>
          <w:rFonts w:hint="eastAsia" w:ascii="宋体" w:hAnsi="宋体" w:eastAsia="仿宋_GB2312"/>
          <w:sz w:val="32"/>
          <w:szCs w:val="32"/>
        </w:rPr>
        <w:t>工作专班，强化统筹协调，积极向上问计，推动“两新”工作顺利开展。</w:t>
      </w:r>
      <w:r>
        <w:rPr>
          <w:rFonts w:hint="eastAsia" w:ascii="宋体" w:hAnsi="宋体" w:eastAsia="仿宋_GB2312" w:cs="Times New Roman"/>
          <w:b/>
          <w:bCs/>
          <w:color w:val="auto"/>
          <w:sz w:val="32"/>
          <w:szCs w:val="32"/>
          <w:highlight w:val="none"/>
        </w:rPr>
        <w:t>交通领域：</w:t>
      </w:r>
      <w:r>
        <w:rPr>
          <w:rFonts w:hint="eastAsia" w:ascii="宋体" w:hAnsi="宋体" w:eastAsia="仿宋_GB2312" w:cstheme="minorBidi"/>
          <w:kern w:val="2"/>
          <w:sz w:val="32"/>
          <w:szCs w:val="32"/>
          <w:lang w:val="en-US" w:eastAsia="zh-CN" w:bidi="ar-SA"/>
        </w:rPr>
        <w:t>我局按照上级部门关于国三营运柴油货车淘汰工作的安排部署，已完成全部868辆国三淘汰车的任务。根据市交通运输局下发的冷链运输企业目录，对辖区内全部26家冷链运输企业的沟通联系，已签订购置35辆新能源城市冷链配送货车合同；</w:t>
      </w:r>
      <w:r>
        <w:rPr>
          <w:rFonts w:hint="eastAsia" w:ascii="宋体" w:hAnsi="宋体" w:eastAsia="仿宋_GB2312"/>
          <w:b/>
          <w:bCs/>
          <w:color w:val="auto"/>
          <w:sz w:val="32"/>
          <w:szCs w:val="32"/>
          <w:highlight w:val="none"/>
        </w:rPr>
        <w:t>汽车领域：</w:t>
      </w:r>
      <w:r>
        <w:rPr>
          <w:rFonts w:hint="eastAsia" w:ascii="宋体" w:hAnsi="宋体" w:eastAsia="仿宋_GB2312" w:cstheme="minorBidi"/>
          <w:kern w:val="2"/>
          <w:sz w:val="32"/>
          <w:szCs w:val="32"/>
          <w:lang w:val="en-US" w:eastAsia="zh-CN" w:bidi="ar-SA"/>
        </w:rPr>
        <w:t>报废更新车辆任务数为636辆，已报废更新数量1445辆，占比227.23%,全市排名第7位；</w:t>
      </w:r>
      <w:r>
        <w:rPr>
          <w:rFonts w:ascii="宋体" w:hAnsi="宋体" w:eastAsia="仿宋_GB2312"/>
          <w:b/>
          <w:bCs/>
          <w:color w:val="auto"/>
          <w:sz w:val="32"/>
          <w:szCs w:val="32"/>
          <w:highlight w:val="none"/>
        </w:rPr>
        <w:t>家电、家装、电动自行车</w:t>
      </w:r>
      <w:r>
        <w:rPr>
          <w:rFonts w:hint="eastAsia" w:ascii="宋体" w:hAnsi="宋体" w:eastAsia="仿宋_GB2312"/>
          <w:b/>
          <w:bCs/>
          <w:color w:val="auto"/>
          <w:sz w:val="32"/>
          <w:szCs w:val="32"/>
          <w:highlight w:val="none"/>
        </w:rPr>
        <w:t>领域</w:t>
      </w:r>
      <w:r>
        <w:rPr>
          <w:rFonts w:ascii="宋体" w:hAnsi="宋体" w:eastAsia="仿宋_GB2312"/>
          <w:color w:val="auto"/>
          <w:sz w:val="32"/>
          <w:szCs w:val="32"/>
          <w:highlight w:val="none"/>
        </w:rPr>
        <w:t>：</w:t>
      </w:r>
      <w:r>
        <w:rPr>
          <w:rFonts w:hint="eastAsia" w:ascii="宋体" w:hAnsi="宋体" w:eastAsia="仿宋_GB2312"/>
          <w:color w:val="auto"/>
          <w:sz w:val="32"/>
          <w:szCs w:val="32"/>
          <w:highlight w:val="none"/>
        </w:rPr>
        <w:t>现我区共有100家企业确定为2024年河北省家电、家装、电动自行车以旧换新活动承办企业，其中家电53家，家装8家、电动自行车39家</w:t>
      </w:r>
      <w:r>
        <w:rPr>
          <w:rFonts w:hint="eastAsia" w:ascii="宋体" w:hAnsi="宋体" w:eastAsia="仿宋_GB2312"/>
          <w:color w:val="auto"/>
          <w:sz w:val="32"/>
          <w:szCs w:val="32"/>
          <w:highlight w:val="none"/>
          <w:lang w:eastAsia="zh-CN"/>
        </w:rPr>
        <w:t>；</w:t>
      </w:r>
      <w:r>
        <w:rPr>
          <w:rFonts w:hint="eastAsia" w:ascii="宋体" w:hAnsi="宋体" w:eastAsia="仿宋_GB2312"/>
          <w:b/>
          <w:bCs/>
          <w:color w:val="auto"/>
          <w:sz w:val="32"/>
          <w:szCs w:val="32"/>
          <w:highlight w:val="none"/>
        </w:rPr>
        <w:t>工业项目再贷款领域</w:t>
      </w:r>
      <w:r>
        <w:rPr>
          <w:rFonts w:hint="eastAsia" w:ascii="宋体" w:hAnsi="宋体" w:eastAsia="仿宋_GB2312"/>
          <w:color w:val="auto"/>
          <w:sz w:val="32"/>
          <w:szCs w:val="32"/>
          <w:highlight w:val="none"/>
        </w:rPr>
        <w:t>：</w:t>
      </w:r>
      <w:r>
        <w:rPr>
          <w:rFonts w:hint="eastAsia" w:ascii="宋体" w:hAnsi="宋体" w:eastAsia="仿宋_GB2312" w:cs="仿宋_GB2312"/>
          <w:color w:val="auto"/>
          <w:sz w:val="32"/>
          <w:szCs w:val="32"/>
          <w:lang w:val="en-US" w:eastAsia="zh-CN"/>
        </w:rPr>
        <w:t>向工信部和央行推荐设备更新和技术改造“再贷款”项目2批次共13个，总投资 20.34亿元；</w:t>
      </w:r>
      <w:bookmarkStart w:id="1" w:name="OLE_LINK2"/>
      <w:r>
        <w:rPr>
          <w:rFonts w:hint="eastAsia" w:ascii="宋体" w:hAnsi="宋体" w:eastAsia="仿宋_GB2312"/>
          <w:b/>
          <w:bCs/>
          <w:color w:val="auto"/>
          <w:sz w:val="32"/>
          <w:szCs w:val="32"/>
          <w:highlight w:val="none"/>
        </w:rPr>
        <w:t>农机领域</w:t>
      </w:r>
      <w:bookmarkEnd w:id="1"/>
      <w:r>
        <w:rPr>
          <w:rFonts w:hint="eastAsia" w:ascii="宋体" w:hAnsi="宋体" w:eastAsia="仿宋_GB2312"/>
          <w:color w:val="auto"/>
          <w:sz w:val="32"/>
          <w:szCs w:val="32"/>
          <w:highlight w:val="none"/>
        </w:rPr>
        <w:t>：受理报废农机184台，涉及资金38.351万元，占下达任务资金的186.6%。</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textAlignment w:val="auto"/>
        <w:rPr>
          <w:rFonts w:hint="eastAsia" w:ascii="宋体" w:hAnsi="宋体" w:eastAsia="仿宋_GB2312" w:cs="仿宋_GB2312"/>
          <w:b w:val="0"/>
          <w:bCs w:val="0"/>
          <w:snapToGrid w:val="0"/>
          <w:color w:val="000000"/>
          <w:kern w:val="0"/>
          <w:sz w:val="32"/>
          <w:szCs w:val="32"/>
          <w:lang w:val="en-US" w:eastAsia="zh-CN"/>
        </w:rPr>
      </w:pPr>
      <w:r>
        <w:rPr>
          <w:rFonts w:hint="eastAsia" w:ascii="宋体" w:hAnsi="宋体" w:eastAsia="楷体_GB2312" w:cs="楷体_GB2312"/>
          <w:sz w:val="32"/>
          <w:szCs w:val="32"/>
          <w:lang w:val="en-US" w:eastAsia="zh-CN"/>
        </w:rPr>
        <w:t>8.发挥牵头抓总作用。</w:t>
      </w:r>
      <w:r>
        <w:rPr>
          <w:rFonts w:hint="eastAsia" w:ascii="宋体" w:hAnsi="宋体" w:eastAsia="仿宋_GB2312" w:cs="仿宋_GB2312"/>
          <w:sz w:val="32"/>
          <w:szCs w:val="32"/>
          <w:lang w:eastAsia="zh-CN"/>
        </w:rPr>
        <w:t>我局配合区委组织部</w:t>
      </w:r>
      <w:r>
        <w:rPr>
          <w:rFonts w:hint="eastAsia" w:ascii="宋体" w:hAnsi="宋体" w:eastAsia="仿宋_GB2312" w:cs="仿宋_GB2312"/>
          <w:sz w:val="32"/>
          <w:szCs w:val="32"/>
          <w:lang w:val="en-US" w:eastAsia="zh-CN"/>
        </w:rPr>
        <w:t>牵头</w:t>
      </w:r>
      <w:r>
        <w:rPr>
          <w:rFonts w:hint="eastAsia" w:ascii="宋体" w:hAnsi="宋体" w:eastAsia="仿宋_GB2312" w:cs="仿宋_GB2312"/>
          <w:sz w:val="32"/>
          <w:szCs w:val="32"/>
          <w:lang w:eastAsia="zh-CN"/>
        </w:rPr>
        <w:t>开展经济绩效考核工作，一方面积极向上问计，在全市奋力争先进位</w:t>
      </w:r>
      <w:r>
        <w:rPr>
          <w:rFonts w:hint="eastAsia" w:ascii="宋体" w:hAnsi="宋体" w:eastAsia="仿宋_GB2312" w:cs="仿宋_GB2312"/>
          <w:sz w:val="32"/>
          <w:szCs w:val="32"/>
          <w:lang w:val="en-US" w:eastAsia="zh-CN"/>
        </w:rPr>
        <w:t>。另一方面，配合组织部</w:t>
      </w:r>
      <w:r>
        <w:rPr>
          <w:rFonts w:hint="eastAsia" w:ascii="仿宋_GB2312" w:hAnsi="仿宋_GB2312" w:eastAsia="仿宋_GB2312" w:cs="仿宋_GB2312"/>
          <w:b w:val="0"/>
          <w:bCs w:val="0"/>
          <w:kern w:val="2"/>
          <w:sz w:val="32"/>
          <w:szCs w:val="32"/>
          <w:lang w:val="en-US" w:eastAsia="zh-CN" w:bidi="ar-SA"/>
        </w:rPr>
        <w:t>组织人社局、农业农村局、科工局、统计局、大气办等单位抓好对各乡镇固定资产投资、社零额、进出口总值、产业项目、招商引资、绿色发展等指标进行打分考核，</w:t>
      </w:r>
      <w:r>
        <w:rPr>
          <w:rFonts w:hint="eastAsia" w:ascii="宋体" w:hAnsi="宋体" w:eastAsia="仿宋_GB2312" w:cs="仿宋_GB2312"/>
          <w:sz w:val="32"/>
          <w:szCs w:val="32"/>
          <w:lang w:eastAsia="zh-CN"/>
        </w:rPr>
        <w:t>以考促干</w:t>
      </w:r>
      <w:r>
        <w:rPr>
          <w:rFonts w:hint="eastAsia" w:ascii="宋体" w:hAnsi="宋体" w:eastAsia="仿宋_GB2312" w:cs="仿宋_GB2312"/>
          <w:b w:val="0"/>
          <w:bCs w:val="0"/>
          <w:i w:val="0"/>
          <w:iCs w:val="0"/>
          <w:color w:val="auto"/>
          <w:kern w:val="2"/>
          <w:sz w:val="32"/>
          <w:szCs w:val="32"/>
          <w:highlight w:val="none"/>
          <w:vertAlign w:val="baseline"/>
          <w:lang w:val="en-US" w:eastAsia="zh-CN" w:bidi="ar-SA"/>
        </w:rPr>
        <w:t>，推动各部门形成“领导重视，积极担当”“干部负责，积极作为”的良好工作氛围，助力经济高质量发展；</w:t>
      </w:r>
      <w:r>
        <w:rPr>
          <w:rFonts w:hint="eastAsia" w:ascii="宋体" w:hAnsi="宋体" w:eastAsia="仿宋_GB2312" w:cs="仿宋_GB2312"/>
          <w:sz w:val="32"/>
          <w:szCs w:val="32"/>
          <w:lang w:val="en-US" w:eastAsia="zh-CN"/>
        </w:rPr>
        <w:t>认真落实规划计划，编制《鹿泉区2024年国民经济和社会发展计划》。完成《石家庄市鹿泉区国民经济和社会发展第十四个五年规划和二〇三五年远景目标纲要2023年度监测评估报告》。起草《关于2023年1-6月份国民经济和社会发展计划执行情况的报告》。</w:t>
      </w:r>
      <w:r>
        <w:rPr>
          <w:rFonts w:hint="eastAsia" w:ascii="宋体" w:hAnsi="宋体" w:eastAsia="仿宋_GB2312" w:cs="仿宋_GB2312"/>
          <w:b w:val="0"/>
          <w:bCs w:val="0"/>
          <w:kern w:val="2"/>
          <w:sz w:val="32"/>
          <w:szCs w:val="32"/>
          <w:lang w:val="en-US" w:eastAsia="zh-CN" w:bidi="ar-SA"/>
        </w:rPr>
        <w:t>做好我区“十五五”项目收集等前期准备工作，为“十五五”规划起草打好基础；</w:t>
      </w:r>
      <w:r>
        <w:rPr>
          <w:rFonts w:hint="eastAsia" w:ascii="宋体" w:hAnsi="宋体" w:eastAsia="仿宋_GB2312"/>
          <w:sz w:val="32"/>
          <w:szCs w:val="32"/>
          <w:lang w:val="en-US" w:eastAsia="zh-CN"/>
        </w:rPr>
        <w:t>牵头省、市20项民生工程。</w:t>
      </w:r>
      <w:r>
        <w:rPr>
          <w:rFonts w:hint="eastAsia" w:ascii="宋体" w:hAnsi="宋体" w:eastAsia="仿宋_GB2312" w:cs="仿宋_GB2312"/>
          <w:sz w:val="32"/>
          <w:szCs w:val="32"/>
          <w:lang w:val="en-US" w:eastAsia="zh-CN"/>
        </w:rPr>
        <w:t>2024年我区承担民生工程共16项，涉及10个区直部门，制定印发了《鹿泉区2024年民生工程专项工作方案》、《鹿泉区落实石家庄市2024年民生工程任务的实施方案》。</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cs="黑体"/>
          <w:kern w:val="2"/>
          <w:sz w:val="32"/>
          <w:szCs w:val="32"/>
          <w:lang w:val="en-US" w:eastAsia="zh-CN" w:bidi="ar-SA"/>
        </w:rPr>
        <w:t>结合本部门职能以及各项年度指标完成情况，</w:t>
      </w:r>
      <w:r>
        <w:rPr>
          <w:rFonts w:hint="eastAsia" w:ascii="仿宋" w:hAnsi="仿宋" w:eastAsia="仿宋"/>
          <w:sz w:val="32"/>
          <w:szCs w:val="32"/>
          <w:lang w:val="en-US" w:eastAsia="zh-CN"/>
        </w:rPr>
        <w:t>在职能范围内均取得一定的成绩，本年度绩效公开涉及项目40个，综合得分为99.20分，评为优秀。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w:t>
      </w:r>
      <w:bookmarkStart w:id="2" w:name="_GoBack"/>
      <w:bookmarkEnd w:id="2"/>
      <w:r>
        <w:rPr>
          <w:rFonts w:hint="eastAsia" w:ascii="黑体" w:hAnsi="黑体" w:eastAsia="黑体"/>
          <w:sz w:val="32"/>
          <w:szCs w:val="32"/>
        </w:rPr>
        <w:t>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eastAsia="仿宋_GB2312" w:cs="仿宋_GB2312"/>
          <w:b w:val="0"/>
          <w:bCs/>
          <w:sz w:val="32"/>
          <w:szCs w:val="32"/>
          <w:lang w:val="en-US" w:eastAsia="zh-CN"/>
        </w:rPr>
      </w:pPr>
      <w:r>
        <w:rPr>
          <w:rFonts w:hint="eastAsia" w:ascii="宋体" w:hAnsi="宋体" w:cs="仿宋_GB2312"/>
          <w:b w:val="0"/>
          <w:bCs/>
          <w:sz w:val="32"/>
          <w:szCs w:val="32"/>
          <w:lang w:val="en-US" w:eastAsia="zh-CN"/>
        </w:rPr>
        <w:t>1.</w:t>
      </w:r>
      <w:r>
        <w:rPr>
          <w:rFonts w:hint="eastAsia" w:ascii="宋体" w:hAnsi="宋体" w:eastAsia="仿宋_GB2312" w:cs="仿宋_GB2312"/>
          <w:b w:val="0"/>
          <w:bCs/>
          <w:sz w:val="32"/>
          <w:szCs w:val="32"/>
          <w:lang w:val="en-US" w:eastAsia="zh-CN"/>
        </w:rPr>
        <w:t>经济</w:t>
      </w:r>
      <w:r>
        <w:rPr>
          <w:rFonts w:hint="eastAsia" w:cs="仿宋_GB2312"/>
          <w:b w:val="0"/>
          <w:bCs/>
          <w:sz w:val="32"/>
          <w:szCs w:val="32"/>
          <w:lang w:val="en-US" w:eastAsia="zh-CN"/>
        </w:rPr>
        <w:t>指标工作需进一步加强</w:t>
      </w:r>
      <w:r>
        <w:rPr>
          <w:rFonts w:hint="eastAsia" w:ascii="宋体" w:hAnsi="宋体" w:eastAsia="仿宋_GB2312" w:cs="仿宋_GB2312"/>
          <w:b w:val="0"/>
          <w:bCs/>
          <w:sz w:val="32"/>
          <w:szCs w:val="32"/>
          <w:lang w:val="en-US" w:eastAsia="zh-CN"/>
        </w:rPr>
        <w:t>。作为综合经济部门，我局牵头多项主要经济指标，综合协调</w:t>
      </w:r>
      <w:r>
        <w:rPr>
          <w:rFonts w:hint="eastAsia" w:cs="仿宋_GB2312"/>
          <w:b w:val="0"/>
          <w:bCs/>
          <w:sz w:val="32"/>
          <w:szCs w:val="32"/>
          <w:lang w:val="en-US" w:eastAsia="zh-CN"/>
        </w:rPr>
        <w:t>牵头抓总方面有待加强</w:t>
      </w:r>
      <w:r>
        <w:rPr>
          <w:rFonts w:hint="eastAsia" w:ascii="宋体" w:hAnsi="宋体" w:eastAsia="仿宋_GB2312" w:cs="仿宋_GB2312"/>
          <w:b w:val="0"/>
          <w:bCs/>
          <w:sz w:val="32"/>
          <w:szCs w:val="32"/>
          <w:lang w:val="en-US" w:eastAsia="zh-CN"/>
        </w:rPr>
        <w:t>，固定资产投资、社零额等指标完成情况</w:t>
      </w:r>
      <w:r>
        <w:rPr>
          <w:rFonts w:hint="eastAsia" w:cs="仿宋_GB2312"/>
          <w:b w:val="0"/>
          <w:bCs/>
          <w:sz w:val="32"/>
          <w:szCs w:val="32"/>
          <w:lang w:val="en-US" w:eastAsia="zh-CN"/>
        </w:rPr>
        <w:t>与预期目标存在差距</w:t>
      </w:r>
      <w:r>
        <w:rPr>
          <w:rFonts w:hint="eastAsia" w:ascii="宋体" w:hAnsi="宋体" w:eastAsia="仿宋_GB2312" w:cs="仿宋_GB2312"/>
          <w:b w:val="0"/>
          <w:bCs/>
          <w:sz w:val="32"/>
          <w:szCs w:val="32"/>
          <w:lang w:val="en-US" w:eastAsia="zh-CN"/>
        </w:rPr>
        <w:t>。</w:t>
      </w:r>
    </w:p>
    <w:p>
      <w:pPr>
        <w:pStyle w:val="11"/>
        <w:keepNext w:val="0"/>
        <w:keepLines w:val="0"/>
        <w:pageBreakBefore w:val="0"/>
        <w:widowControl w:val="0"/>
        <w:kinsoku/>
        <w:wordWrap/>
        <w:overflowPunct/>
        <w:topLinePunct w:val="0"/>
        <w:autoSpaceDE/>
        <w:autoSpaceDN/>
        <w:bidi w:val="0"/>
        <w:adjustRightInd/>
        <w:snapToGrid/>
        <w:spacing w:line="578" w:lineRule="exact"/>
        <w:ind w:left="0" w:firstLine="640" w:firstLineChars="200"/>
        <w:textAlignment w:val="auto"/>
        <w:rPr>
          <w:rFonts w:hint="eastAsia" w:ascii="宋体" w:hAnsi="宋体"/>
          <w:lang w:val="en-US" w:eastAsia="zh-CN"/>
        </w:rPr>
      </w:pPr>
      <w:r>
        <w:rPr>
          <w:rFonts w:hint="eastAsia" w:cs="仿宋_GB2312"/>
          <w:b w:val="0"/>
          <w:bCs/>
          <w:sz w:val="32"/>
          <w:szCs w:val="32"/>
          <w:lang w:val="en-US" w:eastAsia="zh-CN"/>
        </w:rPr>
        <w:t>2</w:t>
      </w:r>
      <w:r>
        <w:rPr>
          <w:rFonts w:hint="eastAsia" w:ascii="宋体" w:hAnsi="宋体" w:cs="仿宋_GB2312"/>
          <w:b w:val="0"/>
          <w:bCs/>
          <w:sz w:val="32"/>
          <w:szCs w:val="32"/>
          <w:lang w:val="en-US" w:eastAsia="zh-CN"/>
        </w:rPr>
        <w:t>.项目建设推进</w:t>
      </w:r>
      <w:r>
        <w:rPr>
          <w:rFonts w:hint="eastAsia" w:cs="仿宋_GB2312"/>
          <w:b w:val="0"/>
          <w:bCs/>
          <w:sz w:val="32"/>
          <w:szCs w:val="32"/>
          <w:lang w:val="en-US" w:eastAsia="zh-CN"/>
        </w:rPr>
        <w:t>体系还</w:t>
      </w:r>
      <w:r>
        <w:rPr>
          <w:rFonts w:hint="eastAsia" w:ascii="宋体" w:hAnsi="宋体" w:cs="仿宋_GB2312"/>
          <w:b w:val="0"/>
          <w:bCs/>
          <w:sz w:val="32"/>
          <w:szCs w:val="32"/>
          <w:lang w:val="en-US" w:eastAsia="zh-CN"/>
        </w:rPr>
        <w:t>有待</w:t>
      </w:r>
      <w:r>
        <w:rPr>
          <w:rFonts w:hint="eastAsia" w:cs="仿宋_GB2312"/>
          <w:b w:val="0"/>
          <w:bCs/>
          <w:sz w:val="32"/>
          <w:szCs w:val="32"/>
          <w:lang w:val="en-US" w:eastAsia="zh-CN"/>
        </w:rPr>
        <w:t>完善</w:t>
      </w:r>
      <w:r>
        <w:rPr>
          <w:rFonts w:hint="eastAsia" w:ascii="宋体" w:hAnsi="宋体" w:cs="仿宋_GB2312"/>
          <w:b w:val="0"/>
          <w:bCs/>
          <w:sz w:val="32"/>
          <w:szCs w:val="32"/>
          <w:lang w:val="en-US" w:eastAsia="zh-CN"/>
        </w:rPr>
        <w:t>。</w:t>
      </w:r>
      <w:r>
        <w:rPr>
          <w:rFonts w:hint="eastAsia" w:ascii="宋体" w:hAnsi="宋体" w:cs="仿宋_GB2312"/>
          <w:b w:val="0"/>
          <w:bCs/>
          <w:kern w:val="0"/>
          <w:sz w:val="32"/>
          <w:szCs w:val="32"/>
          <w:lang w:val="en-US" w:eastAsia="zh-CN" w:bidi="ar"/>
        </w:rPr>
        <w:t>整体来看，我区项目建设进度</w:t>
      </w:r>
      <w:r>
        <w:rPr>
          <w:rFonts w:hint="eastAsia" w:cs="仿宋_GB2312"/>
          <w:b w:val="0"/>
          <w:bCs/>
          <w:kern w:val="0"/>
          <w:sz w:val="32"/>
          <w:szCs w:val="32"/>
          <w:lang w:val="en-US" w:eastAsia="zh-CN" w:bidi="ar"/>
        </w:rPr>
        <w:t>有待提升</w:t>
      </w:r>
      <w:r>
        <w:rPr>
          <w:rFonts w:hint="eastAsia" w:ascii="宋体" w:hAnsi="宋体" w:cs="仿宋_GB2312"/>
          <w:b w:val="0"/>
          <w:bCs/>
          <w:kern w:val="0"/>
          <w:sz w:val="32"/>
          <w:szCs w:val="32"/>
          <w:lang w:val="en-US" w:eastAsia="zh-CN" w:bidi="ar"/>
        </w:rPr>
        <w:t>，</w:t>
      </w:r>
      <w:r>
        <w:rPr>
          <w:rFonts w:hint="eastAsia" w:ascii="宋体" w:hAnsi="宋体"/>
          <w:b w:val="0"/>
          <w:bCs/>
          <w:lang w:val="en-US" w:eastAsia="zh-CN"/>
        </w:rPr>
        <w:t>项目储备</w:t>
      </w:r>
      <w:r>
        <w:rPr>
          <w:rFonts w:hint="eastAsia"/>
          <w:b w:val="0"/>
          <w:bCs/>
          <w:lang w:val="en-US" w:eastAsia="zh-CN"/>
        </w:rPr>
        <w:t>还</w:t>
      </w:r>
      <w:r>
        <w:rPr>
          <w:rFonts w:hint="eastAsia" w:ascii="宋体" w:hAnsi="宋体"/>
          <w:b w:val="0"/>
          <w:bCs/>
          <w:lang w:val="en-US" w:eastAsia="zh-CN"/>
        </w:rPr>
        <w:t>不</w:t>
      </w:r>
      <w:r>
        <w:rPr>
          <w:rFonts w:hint="eastAsia"/>
          <w:b w:val="0"/>
          <w:bCs/>
          <w:lang w:val="en-US" w:eastAsia="zh-CN"/>
        </w:rPr>
        <w:t>够</w:t>
      </w:r>
      <w:r>
        <w:rPr>
          <w:rFonts w:hint="eastAsia" w:ascii="宋体" w:hAnsi="宋体"/>
          <w:b w:val="0"/>
          <w:bCs/>
          <w:lang w:val="en-US" w:eastAsia="zh-CN"/>
        </w:rPr>
        <w:t>多、签约项目开工率</w:t>
      </w:r>
      <w:r>
        <w:rPr>
          <w:rFonts w:hint="eastAsia"/>
          <w:lang w:val="en-US" w:eastAsia="zh-CN"/>
        </w:rPr>
        <w:t>还需提高</w:t>
      </w:r>
      <w:r>
        <w:rPr>
          <w:rFonts w:hint="eastAsia" w:ascii="宋体" w:hAnsi="宋体"/>
          <w:lang w:val="en-US" w:eastAsia="zh-CN"/>
        </w:rPr>
        <w:t>。作为项目建设的牵头单位，推进项目建设力度还有待加强。</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pPr>
      <w:r>
        <w:rPr>
          <w:rFonts w:hint="eastAsia" w:ascii="宋体" w:hAnsi="宋体" w:eastAsia="仿宋_GB2312" w:cs="仿宋_GB2312"/>
          <w:sz w:val="32"/>
          <w:szCs w:val="32"/>
          <w:lang w:val="en-US" w:eastAsia="zh-CN"/>
        </w:rPr>
        <w:t>3.优化营商环境方面，惯性思维、路径依赖问题还比较突出，改革思维、创新意识还需加强；对举措创新、工作亮点的梳理总结、提炼挖掘不够深入，宣传推广力度还需加强等；在工作推进方面，专班人员力量不足，经费紧张。</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cs="仿宋_GB2312"/>
          <w:b w:val="0"/>
          <w:bCs/>
          <w:sz w:val="32"/>
          <w:szCs w:val="32"/>
          <w:lang w:val="en-US" w:eastAsia="zh-CN"/>
        </w:rPr>
        <w:t>1.</w:t>
      </w:r>
      <w:r>
        <w:rPr>
          <w:rFonts w:hint="eastAsia" w:ascii="宋体" w:hAnsi="宋体" w:cs="仿宋_GB2312"/>
          <w:b w:val="0"/>
          <w:bCs/>
          <w:sz w:val="32"/>
          <w:szCs w:val="32"/>
          <w:lang w:val="en-US" w:eastAsia="zh-CN"/>
        </w:rPr>
        <w:t>经济指标工作改进措施</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 xml:space="preserve"> 强化统筹协调机制：建立常态化经济指标协调会议制度，每周或每半月召集相关部门，共同分析指标完成进度、研究解决存在问题。精准分析与目标调整：组织专业团队对固定资产投资、社零额等关键指标进行深入剖析，找出与预期目标存在差距的具体原因，如投资项目受阻环节、消费市场疲软因素等。根据分析结果，合理调整工作目标和策略，制定切实可行的追赶计划。加强数据监测与预警：构建完善的数据监测体系，实时跟踪经济指标数据变化</w:t>
      </w:r>
      <w:r>
        <w:rPr>
          <w:rFonts w:hint="eastAsia" w:cs="仿宋_GB2312"/>
          <w:b w:val="0"/>
          <w:bCs/>
          <w:sz w:val="32"/>
          <w:szCs w:val="32"/>
          <w:lang w:val="en-US" w:eastAsia="zh-CN"/>
        </w:rPr>
        <w:t>，</w:t>
      </w:r>
      <w:r>
        <w:rPr>
          <w:rFonts w:hint="eastAsia" w:ascii="宋体" w:hAnsi="宋体" w:cs="仿宋_GB2312"/>
          <w:b w:val="0"/>
          <w:bCs/>
          <w:sz w:val="32"/>
          <w:szCs w:val="32"/>
          <w:lang w:val="en-US" w:eastAsia="zh-CN"/>
        </w:rPr>
        <w:t>确保经济指标运行在合理区间。</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 xml:space="preserve"> </w:t>
      </w:r>
      <w:r>
        <w:rPr>
          <w:rFonts w:hint="eastAsia" w:cs="仿宋_GB2312"/>
          <w:b w:val="0"/>
          <w:bCs/>
          <w:sz w:val="32"/>
          <w:szCs w:val="32"/>
          <w:lang w:val="en-US" w:eastAsia="zh-CN"/>
        </w:rPr>
        <w:t>2.</w:t>
      </w:r>
      <w:r>
        <w:rPr>
          <w:rFonts w:hint="eastAsia" w:ascii="宋体" w:hAnsi="宋体" w:cs="仿宋_GB2312"/>
          <w:b w:val="0"/>
          <w:bCs/>
          <w:sz w:val="32"/>
          <w:szCs w:val="32"/>
          <w:lang w:val="en-US" w:eastAsia="zh-CN"/>
        </w:rPr>
        <w:t>项目建设推进体系完善建议</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 xml:space="preserve"> 全面梳理项目建设各个环节，简化审批手续，建立项目审批绿色通道，缩短项目前期筹备时间，提高项目建设效率。制定优惠政策，吸引更多优质项目落地。建立项目储备库，按照不同产业、规模、发展阶段对项目进行分类管理，持续更新和充实项目储备。加强与上级部门、科研机构、企业的沟通合作，拓宽项目信息来源渠道</w:t>
      </w:r>
      <w:r>
        <w:rPr>
          <w:rFonts w:hint="eastAsia" w:cs="仿宋_GB2312"/>
          <w:b w:val="0"/>
          <w:bCs/>
          <w:sz w:val="32"/>
          <w:szCs w:val="32"/>
          <w:lang w:val="en-US" w:eastAsia="zh-CN"/>
        </w:rPr>
        <w:t>。</w:t>
      </w:r>
      <w:r>
        <w:rPr>
          <w:rFonts w:hint="eastAsia" w:ascii="宋体" w:hAnsi="宋体" w:cs="仿宋_GB2312"/>
          <w:b w:val="0"/>
          <w:bCs/>
          <w:sz w:val="32"/>
          <w:szCs w:val="32"/>
          <w:lang w:val="en-US" w:eastAsia="zh-CN"/>
        </w:rPr>
        <w:t>强化项目推进考核机制：对项目建设牵头单位及相关责任人的工作进行量化考核，考核指标包括项目开工率、建设进度、竣工投产率等。建立奖惩机制，对项目推进工作表现突出的单位和个人给予表彰和奖励，对工作不力的进行问责。</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 xml:space="preserve"> </w:t>
      </w:r>
      <w:r>
        <w:rPr>
          <w:rFonts w:hint="eastAsia" w:cs="仿宋_GB2312"/>
          <w:b w:val="0"/>
          <w:bCs/>
          <w:sz w:val="32"/>
          <w:szCs w:val="32"/>
          <w:lang w:val="en-US" w:eastAsia="zh-CN"/>
        </w:rPr>
        <w:t>3.</w:t>
      </w:r>
      <w:r>
        <w:rPr>
          <w:rFonts w:hint="eastAsia" w:ascii="宋体" w:hAnsi="宋体" w:cs="仿宋_GB2312"/>
          <w:b w:val="0"/>
          <w:bCs/>
          <w:sz w:val="32"/>
          <w:szCs w:val="32"/>
          <w:lang w:val="en-US" w:eastAsia="zh-CN"/>
        </w:rPr>
        <w:t>优化营商环境改进措施</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创新思维与意识培养：定期组织开展营商环境专题培训，邀请专家学者、先进地区经验分享者进行授课，学习先进的改革理念和创新做法，打破惯性思维和路径依赖。鼓励工作人员提出创新性的营商环境优化举措，并给予相应的奖励和支持。加强宣传推广与经验总结：组建专门的宣传团队，负责梳理总结优化营商环境的举措创新和工作亮点，通过多种渠道进行广泛宣传，提高政策知晓度和影响力。建立营商环境案例库，定期发布典型案例，供各部门学习借鉴。</w:t>
      </w:r>
    </w:p>
    <w:p>
      <w:pPr>
        <w:pStyle w:val="11"/>
        <w:keepNext w:val="0"/>
        <w:keepLines w:val="0"/>
        <w:pageBreakBefore w:val="0"/>
        <w:widowControl w:val="0"/>
        <w:numPr>
          <w:ilvl w:val="0"/>
          <w:numId w:val="0"/>
        </w:numPr>
        <w:kinsoku/>
        <w:wordWrap/>
        <w:overflowPunct/>
        <w:topLinePunct w:val="0"/>
        <w:autoSpaceDE/>
        <w:autoSpaceDN/>
        <w:bidi w:val="0"/>
        <w:adjustRightInd/>
        <w:snapToGrid/>
        <w:spacing w:line="578" w:lineRule="exact"/>
        <w:ind w:left="0" w:right="0" w:rightChars="0" w:firstLine="640" w:firstLineChars="200"/>
        <w:textAlignment w:val="auto"/>
        <w:rPr>
          <w:rFonts w:hint="eastAsia" w:ascii="宋体" w:hAnsi="宋体" w:cs="仿宋_GB2312"/>
          <w:b w:val="0"/>
          <w:bCs/>
          <w:sz w:val="32"/>
          <w:szCs w:val="32"/>
          <w:lang w:val="en-US" w:eastAsia="zh-CN"/>
        </w:rPr>
      </w:pPr>
      <w:r>
        <w:rPr>
          <w:rFonts w:hint="eastAsia" w:ascii="宋体" w:hAnsi="宋体" w:cs="仿宋_GB2312"/>
          <w:b w:val="0"/>
          <w:bCs/>
          <w:sz w:val="32"/>
          <w:szCs w:val="32"/>
          <w:lang w:val="en-US" w:eastAsia="zh-CN"/>
        </w:rPr>
        <w:t xml:space="preserve">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CD0C78"/>
    <w:multiLevelType w:val="singleLevel"/>
    <w:tmpl w:val="F5CD0C78"/>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BE55617"/>
    <w:multiLevelType w:val="singleLevel"/>
    <w:tmpl w:val="5BE55617"/>
    <w:lvl w:ilvl="0" w:tentative="0">
      <w:start w:val="1"/>
      <w:numFmt w:val="decimal"/>
      <w:pStyle w:val="4"/>
      <w:suff w:val="nothing"/>
      <w:lvlText w:val="%1．"/>
      <w:lvlJc w:val="left"/>
      <w:pPr>
        <w:ind w:left="0" w:firstLine="400"/>
      </w:pPr>
      <w:rPr>
        <w:rFonts w:hint="default"/>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9A10AD"/>
    <w:rsid w:val="01B104CA"/>
    <w:rsid w:val="02106AB0"/>
    <w:rsid w:val="02B43A28"/>
    <w:rsid w:val="046F331E"/>
    <w:rsid w:val="0726031A"/>
    <w:rsid w:val="07956271"/>
    <w:rsid w:val="09721397"/>
    <w:rsid w:val="0BB63BED"/>
    <w:rsid w:val="0EB97A43"/>
    <w:rsid w:val="0EBD2122"/>
    <w:rsid w:val="0F214EAE"/>
    <w:rsid w:val="11B71E6A"/>
    <w:rsid w:val="15567BEB"/>
    <w:rsid w:val="1AAF0063"/>
    <w:rsid w:val="1BE140DE"/>
    <w:rsid w:val="1FA429C0"/>
    <w:rsid w:val="248C197D"/>
    <w:rsid w:val="252959AF"/>
    <w:rsid w:val="277A6671"/>
    <w:rsid w:val="2805028C"/>
    <w:rsid w:val="292D35B7"/>
    <w:rsid w:val="32817910"/>
    <w:rsid w:val="33EB6CFF"/>
    <w:rsid w:val="35A12947"/>
    <w:rsid w:val="36E5414E"/>
    <w:rsid w:val="37387040"/>
    <w:rsid w:val="39885D54"/>
    <w:rsid w:val="3B625C0A"/>
    <w:rsid w:val="3CEE1963"/>
    <w:rsid w:val="436B78D3"/>
    <w:rsid w:val="4A0910D7"/>
    <w:rsid w:val="4C9C27FE"/>
    <w:rsid w:val="4FBA4229"/>
    <w:rsid w:val="512260B4"/>
    <w:rsid w:val="52BD6ACB"/>
    <w:rsid w:val="55537534"/>
    <w:rsid w:val="55E0784C"/>
    <w:rsid w:val="561A74F1"/>
    <w:rsid w:val="597244E8"/>
    <w:rsid w:val="5C093ECD"/>
    <w:rsid w:val="5EB71C3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2"/>
    <w:basedOn w:val="1"/>
    <w:next w:val="1"/>
    <w:unhideWhenUsed/>
    <w:qFormat/>
    <w:uiPriority w:val="0"/>
    <w:pPr>
      <w:keepNext/>
      <w:keepLines/>
      <w:numPr>
        <w:ilvl w:val="0"/>
        <w:numId w:val="1"/>
      </w:numPr>
      <w:spacing w:line="360" w:lineRule="auto"/>
      <w:ind w:firstLine="640" w:firstLineChars="200"/>
      <w:outlineLvl w:val="1"/>
    </w:pPr>
    <w:rPr>
      <w:rFonts w:ascii="Arial" w:hAnsi="Arial" w:eastAsia="黑体"/>
      <w:sz w:val="32"/>
      <w:szCs w:val="20"/>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widowControl w:val="0"/>
      <w:ind w:firstLine="420" w:firstLineChars="200"/>
      <w:jc w:val="both"/>
    </w:pPr>
    <w:rPr>
      <w:rFonts w:ascii="Calibri" w:hAnsi="Calibri" w:eastAsia="宋体" w:cs="仿宋_GB2312"/>
      <w:kern w:val="2"/>
      <w:sz w:val="32"/>
      <w:szCs w:val="40"/>
      <w:lang w:val="en-US" w:eastAsia="zh-CN" w:bidi="ar-SA"/>
    </w:rPr>
  </w:style>
  <w:style w:type="paragraph" w:styleId="3">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正文-公1"/>
    <w:basedOn w:val="10"/>
    <w:next w:val="1"/>
    <w:qFormat/>
    <w:uiPriority w:val="0"/>
    <w:pPr>
      <w:ind w:firstLine="200" w:firstLineChars="200"/>
    </w:pPr>
  </w:style>
  <w:style w:type="paragraph" w:customStyle="1" w:styleId="10">
    <w:name w:val="正文 New New New New New New New New New New New New New New New New New New New New New New New New New New New New New New New New New New New New New New New New New New New New New New New New New New New New New New New New New New New New New New Ne"/>
    <w:next w:val="9"/>
    <w:qFormat/>
    <w:uiPriority w:val="0"/>
    <w:pPr>
      <w:widowControl w:val="0"/>
      <w:jc w:val="both"/>
    </w:pPr>
    <w:rPr>
      <w:rFonts w:ascii="Times New Roman" w:hAnsi="Times New Roman" w:eastAsia="宋体" w:cs="Times New Roman"/>
      <w:kern w:val="2"/>
      <w:sz w:val="21"/>
      <w:lang w:val="en-US" w:eastAsia="zh-CN"/>
    </w:rPr>
  </w:style>
  <w:style w:type="paragraph" w:customStyle="1" w:styleId="1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96</Words>
  <Characters>550</Characters>
  <Lines>4</Lines>
  <Paragraphs>1</Paragraphs>
  <TotalTime>174</TotalTime>
  <ScaleCrop>false</ScaleCrop>
  <LinksUpToDate>false</LinksUpToDate>
  <CharactersWithSpaces>645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谢蔚</cp:lastModifiedBy>
  <cp:lastPrinted>2025-04-29T00:48:00Z</cp:lastPrinted>
  <dcterms:modified xsi:type="dcterms:W3CDTF">2025-05-26T07:03:53Z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05174A3361564FC5B3AFF44EFF8A8136</vt:lpwstr>
  </property>
</Properties>
</file>