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483E39">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BCAB000">
      <w:pPr>
        <w:spacing w:line="560" w:lineRule="exact"/>
        <w:jc w:val="center"/>
        <w:rPr>
          <w:rFonts w:ascii="宋体" w:hAnsi="宋体" w:cs="宋体"/>
          <w:b/>
          <w:bCs/>
          <w:sz w:val="44"/>
          <w:szCs w:val="44"/>
        </w:rPr>
      </w:pPr>
    </w:p>
    <w:p w14:paraId="48F78D7D">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石家庄市鹿泉区医疗保障局</w:t>
      </w:r>
    </w:p>
    <w:p w14:paraId="210EB8A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DF4B1B0">
      <w:pPr>
        <w:spacing w:line="560" w:lineRule="exact"/>
        <w:jc w:val="center"/>
        <w:rPr>
          <w:rFonts w:ascii="华文楷体" w:eastAsia="华文楷体"/>
          <w:sz w:val="32"/>
          <w:szCs w:val="32"/>
        </w:rPr>
      </w:pPr>
    </w:p>
    <w:p w14:paraId="39F2CC2B">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本</w:t>
      </w:r>
      <w:r>
        <w:rPr>
          <w:rFonts w:hint="eastAsia" w:ascii="仿宋" w:hAnsi="仿宋" w:eastAsia="仿宋"/>
          <w:sz w:val="32"/>
          <w:szCs w:val="32"/>
        </w:rPr>
        <w:t>部门</w:t>
      </w:r>
      <w:r>
        <w:rPr>
          <w:rFonts w:hint="eastAsia" w:ascii="仿宋" w:hAnsi="仿宋" w:eastAsia="仿宋"/>
          <w:sz w:val="32"/>
          <w:szCs w:val="32"/>
          <w:lang w:val="en-US" w:eastAsia="zh-CN"/>
        </w:rPr>
        <w:t>对</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r>
        <w:rPr>
          <w:rFonts w:hint="eastAsia" w:ascii="仿宋" w:hAnsi="仿宋" w:eastAsia="仿宋"/>
          <w:sz w:val="32"/>
          <w:szCs w:val="32"/>
          <w:lang w:val="en-US" w:eastAsia="zh-CN"/>
        </w:rPr>
        <w:t>现将报告汇报如下：</w:t>
      </w:r>
    </w:p>
    <w:p w14:paraId="12C1962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7538E76">
      <w:pPr>
        <w:adjustRightInd w:val="0"/>
        <w:snapToGrid w:val="0"/>
        <w:spacing w:line="560" w:lineRule="exact"/>
        <w:ind w:firstLine="640" w:firstLineChars="200"/>
        <w:rPr>
          <w:rFonts w:hint="eastAsia" w:ascii="黑体" w:eastAsia="黑体" w:cs="黑体"/>
          <w:b w:val="0"/>
          <w:bCs w:val="0"/>
          <w:kern w:val="0"/>
          <w:sz w:val="32"/>
          <w:szCs w:val="32"/>
          <w:lang w:val="en-US" w:eastAsia="zh-CN"/>
        </w:rPr>
      </w:pPr>
      <w:r>
        <w:rPr>
          <w:rFonts w:hint="eastAsia" w:ascii="楷体" w:hAnsi="楷体" w:eastAsia="楷体" w:cs="楷体_GB2312"/>
          <w:bCs/>
          <w:sz w:val="32"/>
          <w:szCs w:val="32"/>
        </w:rPr>
        <w:t>（一）部门概况</w:t>
      </w:r>
    </w:p>
    <w:p w14:paraId="76781486">
      <w:pPr>
        <w:pStyle w:val="2"/>
        <w:spacing w:before="0" w:after="0" w:line="580" w:lineRule="exact"/>
        <w:ind w:firstLine="960" w:firstLineChars="300"/>
        <w:jc w:val="left"/>
        <w:rPr>
          <w:rFonts w:hint="eastAsia" w:ascii="仿宋" w:hAnsi="仿宋" w:eastAsia="仿宋" w:cs="仿宋"/>
          <w:b w:val="0"/>
          <w:bCs w:val="0"/>
          <w:kern w:val="0"/>
          <w:sz w:val="32"/>
          <w:szCs w:val="32"/>
        </w:rPr>
      </w:pPr>
      <w:r>
        <w:rPr>
          <w:rFonts w:hint="eastAsia" w:ascii="仿宋" w:hAnsi="仿宋" w:eastAsia="仿宋" w:cs="仿宋"/>
          <w:b w:val="0"/>
          <w:bCs w:val="0"/>
          <w:kern w:val="0"/>
          <w:sz w:val="32"/>
          <w:szCs w:val="32"/>
          <w:lang w:val="en-US" w:eastAsia="zh-CN"/>
        </w:rPr>
        <w:t>1.</w:t>
      </w:r>
      <w:r>
        <w:rPr>
          <w:rFonts w:hint="eastAsia" w:ascii="仿宋" w:hAnsi="仿宋" w:eastAsia="仿宋" w:cs="仿宋"/>
          <w:b w:val="0"/>
          <w:bCs w:val="0"/>
          <w:kern w:val="0"/>
          <w:sz w:val="32"/>
          <w:szCs w:val="32"/>
        </w:rPr>
        <w:t>部门职责</w:t>
      </w:r>
    </w:p>
    <w:p w14:paraId="5250CCEB">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贯彻落实党中央和省、市、区委关于医疗保障工作的方针政策和决策部署，坚持和加强党对医疗保障工作的集中统一领导。</w:t>
      </w:r>
    </w:p>
    <w:p w14:paraId="33E7D8DF">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主要职责是：</w:t>
      </w:r>
    </w:p>
    <w:p w14:paraId="75B23029">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一）贯彻落实国家、省、市关于城镇职工和城乡居民医疗保险、生育保险、长期护理保险、医疗救助等医疗保障法规、规章以及政策、制度、规划和标准。按照政策规定拟订本辖区具体医疗保障政策，并组织实施。</w:t>
      </w:r>
    </w:p>
    <w:p w14:paraId="26114763">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（二）贯彻落实国家、省、市医疗保障基金监督管理规定，建立健全医疗保障基金安全防控机制，建设维护网络信息系统和智能监控平台，按上级部署推进医疗保障基金支付方式改革，并组织实施。</w:t>
      </w:r>
    </w:p>
    <w:p w14:paraId="08485552">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（三）贯彻落实石家庄市城镇职工、城乡居民参保筹资和保障相关待遇政策。贯彻落实长期护理保险制度及政策并组织实施。</w:t>
      </w:r>
    </w:p>
    <w:p w14:paraId="63382CC2">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（四）贯彻落实城乡统一的药品、医用耗材、医疗服务项目、医疗服务设施等医保支付标准。</w:t>
      </w:r>
    </w:p>
    <w:p w14:paraId="6BC16773">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五）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14:paraId="7EF41759">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六）贯彻落实石家庄市定点医疗机构协议和支付管理办法。建立健全医疗保障信用评价体系和信息披露制度，监督管理定点医药机构的医疗服务行为、医疗费用和医药价格，依法查处医疗保障领域违法违规行为。</w:t>
      </w:r>
    </w:p>
    <w:p w14:paraId="74B28D16">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（七）负责医疗保障经办管理、公共服务体系和信息化建设。贯彻落实异地就医管理和费用结算政策、医疗保障关系转移接续制度。</w:t>
      </w:r>
    </w:p>
    <w:p w14:paraId="128E6A45">
      <w:pPr>
        <w:keepNext/>
        <w:keepLines/>
        <w:spacing w:line="580" w:lineRule="exact"/>
        <w:ind w:firstLine="640" w:firstLineChars="200"/>
        <w:jc w:val="left"/>
        <w:outlineLvl w:val="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（八）完成区委、区政府交办的其他任务。</w:t>
      </w:r>
    </w:p>
    <w:p w14:paraId="49E61B2A">
      <w:pPr>
        <w:keepNext/>
        <w:keepLines/>
        <w:spacing w:line="580" w:lineRule="exact"/>
        <w:ind w:firstLine="640" w:firstLineChars="200"/>
        <w:jc w:val="left"/>
        <w:outlineLvl w:val="0"/>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机构设置</w:t>
      </w:r>
    </w:p>
    <w:p w14:paraId="772F5145">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7DB1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8A8EF4B">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6018560D">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2611ADF2">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303F4580">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7F2E8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6DC8D49B">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1</w:t>
            </w:r>
          </w:p>
        </w:tc>
        <w:tc>
          <w:tcPr>
            <w:tcW w:w="3485" w:type="dxa"/>
            <w:vAlign w:val="top"/>
          </w:tcPr>
          <w:p w14:paraId="5A227D66">
            <w:pPr>
              <w:spacing w:line="560" w:lineRule="exact"/>
              <w:rPr>
                <w:rFonts w:ascii="仿宋_GB2312" w:eastAsia="仿宋_GB2312" w:cs="仿宋_GB2312"/>
                <w:kern w:val="0"/>
                <w:sz w:val="28"/>
                <w:szCs w:val="28"/>
              </w:rPr>
            </w:pPr>
            <w:r>
              <w:rPr>
                <w:rFonts w:hint="eastAsia" w:ascii="仿宋_GB2312" w:hAnsi="Calibri" w:eastAsia="仿宋_GB2312" w:cs="ArialUnicodeMS"/>
                <w:kern w:val="0"/>
                <w:sz w:val="28"/>
                <w:szCs w:val="28"/>
                <w:lang w:eastAsia="zh-CN"/>
              </w:rPr>
              <w:t>石家庄市鹿泉区医疗保障局</w:t>
            </w:r>
            <w:r>
              <w:rPr>
                <w:rFonts w:hint="eastAsia" w:ascii="仿宋_GB2312" w:hAnsi="Calibri" w:eastAsia="仿宋_GB2312" w:cs="ArialUnicodeMS"/>
                <w:kern w:val="0"/>
                <w:sz w:val="28"/>
                <w:szCs w:val="28"/>
              </w:rPr>
              <w:t>(本级)</w:t>
            </w:r>
          </w:p>
        </w:tc>
        <w:tc>
          <w:tcPr>
            <w:tcW w:w="2445" w:type="dxa"/>
            <w:vAlign w:val="top"/>
          </w:tcPr>
          <w:p w14:paraId="63C9F145">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行政单位</w:t>
            </w:r>
          </w:p>
        </w:tc>
        <w:tc>
          <w:tcPr>
            <w:tcW w:w="2665" w:type="dxa"/>
            <w:vAlign w:val="top"/>
          </w:tcPr>
          <w:p w14:paraId="3C1CDD6A">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14:paraId="3ED10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551FBD22">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2</w:t>
            </w:r>
          </w:p>
        </w:tc>
        <w:tc>
          <w:tcPr>
            <w:tcW w:w="3485" w:type="dxa"/>
            <w:vAlign w:val="top"/>
          </w:tcPr>
          <w:p w14:paraId="1FD103C6">
            <w:pPr>
              <w:spacing w:line="560" w:lineRule="exact"/>
              <w:rPr>
                <w:rFonts w:ascii="仿宋_GB2312" w:eastAsia="仿宋_GB2312" w:cs="Times New Roman"/>
                <w:kern w:val="0"/>
                <w:sz w:val="28"/>
                <w:szCs w:val="28"/>
              </w:rPr>
            </w:pPr>
            <w:r>
              <w:rPr>
                <w:rFonts w:hint="eastAsia" w:ascii="仿宋_GB2312" w:hAnsi="Calibri" w:eastAsia="仿宋_GB2312" w:cs="ArialUnicodeMS"/>
                <w:kern w:val="0"/>
                <w:sz w:val="28"/>
                <w:szCs w:val="28"/>
              </w:rPr>
              <w:t>石家庄市鹿泉区医疗保险管理中心</w:t>
            </w:r>
          </w:p>
        </w:tc>
        <w:tc>
          <w:tcPr>
            <w:tcW w:w="2445" w:type="dxa"/>
            <w:vAlign w:val="top"/>
          </w:tcPr>
          <w:p w14:paraId="4F5ED0BA">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vAlign w:val="top"/>
          </w:tcPr>
          <w:p w14:paraId="0AAACA3D">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14:paraId="37CED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49259634">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1F65ABFF">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5ABD1BBA">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楷体_GB2312"/>
          <w:b w:val="0"/>
          <w:bCs w:val="0"/>
          <w:sz w:val="32"/>
          <w:szCs w:val="32"/>
          <w:lang w:eastAsia="zh-CN"/>
        </w:rPr>
      </w:pPr>
      <w:r>
        <w:rPr>
          <w:rFonts w:hint="eastAsia" w:ascii="仿宋" w:hAnsi="仿宋" w:eastAsia="仿宋" w:cs="楷体_GB2312"/>
          <w:b w:val="0"/>
          <w:bCs w:val="0"/>
          <w:sz w:val="32"/>
          <w:szCs w:val="32"/>
          <w:lang w:eastAsia="zh-CN"/>
        </w:rPr>
        <w:t>部门收支预决算情况</w:t>
      </w:r>
    </w:p>
    <w:p w14:paraId="2D4DBB2B">
      <w:pPr>
        <w:widowControl w:val="0"/>
        <w:numPr>
          <w:ilvl w:val="0"/>
          <w:numId w:val="0"/>
        </w:numPr>
        <w:wordWrap/>
        <w:adjustRightInd w:val="0"/>
        <w:snapToGrid w:val="0"/>
        <w:spacing w:line="560" w:lineRule="exact"/>
        <w:ind w:right="0" w:rightChars="0" w:firstLine="640" w:firstLineChars="200"/>
        <w:textAlignment w:val="auto"/>
        <w:outlineLvl w:val="9"/>
        <w:rPr>
          <w:rFonts w:hint="default" w:ascii="黑体" w:hAnsi="黑体" w:eastAsia="仿宋_GB2312"/>
          <w:sz w:val="32"/>
          <w:szCs w:val="32"/>
          <w:highlight w:val="none"/>
          <w:lang w:val="en-US" w:eastAsia="zh-CN"/>
        </w:rPr>
      </w:pPr>
      <w:r>
        <w:rPr>
          <w:rFonts w:hint="eastAsia" w:ascii="仿宋_GB2312" w:hAnsi="Times New Roman" w:eastAsia="仿宋_GB2312" w:cs="仿宋_GB2312"/>
          <w:sz w:val="32"/>
          <w:szCs w:val="32"/>
          <w:highlight w:val="none"/>
        </w:rPr>
        <w:t>本部门</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4</w:t>
      </w:r>
      <w:r>
        <w:rPr>
          <w:rFonts w:hint="eastAsia" w:ascii="仿宋_GB2312" w:hAnsi="Times New Roman" w:eastAsia="仿宋_GB2312" w:cs="仿宋_GB2312"/>
          <w:sz w:val="32"/>
          <w:szCs w:val="32"/>
          <w:highlight w:val="none"/>
        </w:rPr>
        <w:t>年度收、支总计（含结转和结余</w:t>
      </w:r>
      <w:r>
        <w:rPr>
          <w:rFonts w:hint="eastAsia" w:ascii="仿宋_GB2312" w:hAnsi="Times New Roman" w:eastAsia="仿宋_GB2312" w:cs="仿宋_GB2312"/>
          <w:sz w:val="32"/>
          <w:szCs w:val="32"/>
          <w:highlight w:val="none"/>
          <w:lang w:eastAsia="zh-CN"/>
        </w:rPr>
        <w:t>）</w:t>
      </w:r>
      <w:r>
        <w:rPr>
          <w:rFonts w:hint="eastAsia" w:ascii="仿宋_GB2312" w:hAnsi="Times New Roman" w:eastAsia="仿宋_GB2312" w:cs="仿宋_GB2312"/>
          <w:sz w:val="32"/>
          <w:szCs w:val="32"/>
          <w:highlight w:val="none"/>
        </w:rPr>
        <w:t>5805</w:t>
      </w:r>
      <w:r>
        <w:rPr>
          <w:rFonts w:hint="eastAsia" w:ascii="仿宋_GB2312" w:hAnsi="Times New Roman" w:eastAsia="仿宋_GB2312" w:cs="仿宋_GB2312"/>
          <w:sz w:val="32"/>
          <w:szCs w:val="32"/>
          <w:highlight w:val="none"/>
          <w:lang w:val="en-US" w:eastAsia="zh-CN"/>
        </w:rPr>
        <w:t>.</w:t>
      </w:r>
      <w:r>
        <w:rPr>
          <w:rFonts w:hint="eastAsia" w:ascii="仿宋_GB2312" w:hAnsi="Times New Roman" w:eastAsia="仿宋_GB2312" w:cs="仿宋_GB2312"/>
          <w:sz w:val="32"/>
          <w:szCs w:val="32"/>
          <w:highlight w:val="none"/>
        </w:rPr>
        <w:t>15</w:t>
      </w:r>
      <w:r>
        <w:rPr>
          <w:rFonts w:hint="eastAsia" w:ascii="仿宋_GB2312" w:hAnsi="Times New Roman" w:eastAsia="仿宋_GB2312" w:cs="仿宋_GB2312"/>
          <w:sz w:val="32"/>
          <w:szCs w:val="32"/>
          <w:highlight w:val="none"/>
          <w:lang w:val="en-US" w:eastAsia="zh-CN"/>
        </w:rPr>
        <w:t>万元</w:t>
      </w:r>
      <w:r>
        <w:rPr>
          <w:rFonts w:hint="eastAsia" w:ascii="仿宋_GB2312" w:hAnsi="Times New Roman" w:eastAsia="仿宋_GB2312" w:cs="仿宋_GB2312"/>
          <w:sz w:val="32"/>
          <w:szCs w:val="32"/>
          <w:highlight w:val="none"/>
        </w:rPr>
        <w:t>。与</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3</w:t>
      </w:r>
      <w:r>
        <w:rPr>
          <w:rFonts w:hint="eastAsia" w:ascii="仿宋_GB2312" w:hAnsi="Times New Roman" w:eastAsia="仿宋_GB2312" w:cs="仿宋_GB2312"/>
          <w:sz w:val="32"/>
          <w:szCs w:val="32"/>
          <w:highlight w:val="none"/>
        </w:rPr>
        <w:t>年度决算相比，收支各</w:t>
      </w:r>
      <w:r>
        <w:rPr>
          <w:rFonts w:hint="eastAsia" w:ascii="仿宋_GB2312" w:hAnsi="Times New Roman" w:eastAsia="仿宋_GB2312" w:cs="仿宋_GB2312"/>
          <w:sz w:val="32"/>
          <w:szCs w:val="32"/>
          <w:highlight w:val="none"/>
          <w:lang w:val="en-US" w:eastAsia="zh-CN"/>
        </w:rPr>
        <w:t>减少520.38</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val="en-US" w:eastAsia="zh-CN"/>
        </w:rPr>
        <w:t>降低8.23</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，主要原因</w:t>
      </w:r>
      <w:r>
        <w:rPr>
          <w:rFonts w:hint="eastAsia" w:ascii="仿宋_GB2312" w:hAnsi="Times New Roman" w:eastAsia="仿宋_GB2312" w:cs="仿宋_GB2312"/>
          <w:sz w:val="32"/>
          <w:szCs w:val="32"/>
          <w:highlight w:val="none"/>
          <w:lang w:eastAsia="zh-CN"/>
        </w:rPr>
        <w:t>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p>
    <w:p w14:paraId="515C181B">
      <w:pPr>
        <w:numPr>
          <w:ilvl w:val="0"/>
          <w:numId w:val="2"/>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自评工作开展情况</w:t>
      </w:r>
    </w:p>
    <w:p w14:paraId="6AFF8A73">
      <w:pPr>
        <w:widowControl w:val="0"/>
        <w:wordWrap/>
        <w:spacing w:line="560" w:lineRule="exact"/>
        <w:ind w:right="0" w:firstLine="321" w:firstLineChars="100"/>
        <w:textAlignment w:val="auto"/>
        <w:outlineLvl w:val="9"/>
        <w:rPr>
          <w:rFonts w:hint="eastAsia" w:ascii="仿宋_GB2312" w:hAnsi="仿宋_GB2312" w:eastAsia="仿宋_GB2312" w:cs="仿宋_GB2312"/>
          <w:sz w:val="32"/>
          <w:szCs w:val="32"/>
        </w:rPr>
      </w:pPr>
      <w:r>
        <w:rPr>
          <w:rFonts w:hint="eastAsia" w:ascii="仿宋" w:hAnsi="仿宋" w:eastAsia="仿宋" w:cs="楷体_GB2312"/>
          <w:b/>
          <w:bCs/>
          <w:sz w:val="32"/>
          <w:szCs w:val="32"/>
        </w:rPr>
        <w:t xml:space="preserve"> </w:t>
      </w:r>
      <w:r>
        <w:rPr>
          <w:rFonts w:hint="eastAsia" w:ascii="仿宋_GB2312" w:hAnsi="仿宋_GB2312" w:eastAsia="仿宋_GB2312" w:cs="仿宋_GB2312"/>
          <w:sz w:val="32"/>
          <w:szCs w:val="32"/>
        </w:rPr>
        <w:t>（一）项目概况</w:t>
      </w:r>
    </w:p>
    <w:p w14:paraId="2F111997">
      <w:pPr>
        <w:widowControl w:val="0"/>
        <w:numPr>
          <w:ilvl w:val="0"/>
          <w:numId w:val="0"/>
        </w:numPr>
        <w:wordWrap/>
        <w:spacing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1、2024年局涉军派遣经费</w:t>
      </w:r>
    </w:p>
    <w:p w14:paraId="07447550">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根据《鹿泉区关于进一步做好部分军队退役人员帮扶救助的若干措施》鹿文办【2017】31号文件第二条第一款“实行公益岗托底安置”我单位共有2名退役军人，</w:t>
      </w:r>
      <w:r>
        <w:rPr>
          <w:rFonts w:hint="eastAsia" w:ascii="仿宋_GB2312" w:hAnsi="仿宋_GB2312" w:eastAsia="仿宋_GB2312" w:cs="仿宋_GB2312"/>
          <w:sz w:val="32"/>
          <w:szCs w:val="32"/>
          <w:lang w:val="en-US" w:eastAsia="zh-CN"/>
        </w:rPr>
        <w:t>资金需求</w:t>
      </w:r>
      <w:r>
        <w:rPr>
          <w:rFonts w:hint="default" w:ascii="仿宋_GB2312" w:hAnsi="仿宋_GB2312" w:eastAsia="仿宋_GB2312" w:cs="仿宋_GB2312"/>
          <w:sz w:val="32"/>
          <w:szCs w:val="32"/>
          <w:lang w:val="en-US" w:eastAsia="zh-CN"/>
        </w:rPr>
        <w:t>共计</w:t>
      </w:r>
      <w:r>
        <w:rPr>
          <w:rFonts w:hint="eastAsia" w:ascii="仿宋_GB2312" w:hAnsi="仿宋_GB2312" w:eastAsia="仿宋_GB2312" w:cs="仿宋_GB2312"/>
          <w:sz w:val="32"/>
          <w:szCs w:val="32"/>
          <w:lang w:val="en-US" w:eastAsia="zh-CN"/>
        </w:rPr>
        <w:t>12</w:t>
      </w:r>
      <w:r>
        <w:rPr>
          <w:rFonts w:hint="default" w:ascii="仿宋_GB2312" w:hAnsi="仿宋_GB2312" w:eastAsia="仿宋_GB2312" w:cs="仿宋_GB2312"/>
          <w:sz w:val="32"/>
          <w:szCs w:val="32"/>
          <w:lang w:val="en-US" w:eastAsia="zh-CN"/>
        </w:rPr>
        <w:t>万元。</w:t>
      </w:r>
    </w:p>
    <w:p w14:paraId="550A52D5">
      <w:pPr>
        <w:spacing w:line="600" w:lineRule="exact"/>
        <w:ind w:firstLine="640" w:firstLineChars="200"/>
        <w:rPr>
          <w:rFonts w:hint="eastAsia"/>
          <w:b w:val="0"/>
          <w:bCs/>
          <w:sz w:val="32"/>
          <w:szCs w:val="32"/>
        </w:rPr>
      </w:pPr>
      <w:r>
        <w:rPr>
          <w:rFonts w:hint="eastAsia" w:ascii="仿宋_GB2312" w:hAnsi="仿宋_GB2312" w:eastAsia="仿宋_GB2312" w:cs="仿宋_GB2312"/>
          <w:sz w:val="32"/>
          <w:szCs w:val="32"/>
          <w:lang w:val="en-US" w:eastAsia="zh-CN"/>
        </w:rPr>
        <w:t>2、24年医保局本级医疗救助补助资金</w:t>
      </w:r>
    </w:p>
    <w:p w14:paraId="359BD447">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该项目用于</w:t>
      </w:r>
      <w:r>
        <w:rPr>
          <w:rFonts w:hint="eastAsia" w:ascii="仿宋_GB2312" w:hAnsi="仿宋_GB2312" w:eastAsia="仿宋_GB2312" w:cs="仿宋_GB2312"/>
          <w:sz w:val="32"/>
          <w:szCs w:val="32"/>
          <w:lang w:eastAsia="zh-CN"/>
        </w:rPr>
        <w:t>资助符合条件的贫困人口参加城乡居民医疗保险以及城乡困难群众医疗救助、重特大疾病医疗救助等方面的支出</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资金</w:t>
      </w:r>
      <w:r>
        <w:rPr>
          <w:rFonts w:hint="eastAsia" w:ascii="仿宋_GB2312" w:hAnsi="仿宋_GB2312" w:eastAsia="仿宋_GB2312" w:cs="仿宋_GB2312"/>
          <w:sz w:val="32"/>
          <w:szCs w:val="32"/>
          <w:lang w:eastAsia="zh-CN"/>
        </w:rPr>
        <w:t>共计</w:t>
      </w:r>
      <w:r>
        <w:rPr>
          <w:rFonts w:hint="eastAsia" w:ascii="仿宋_GB2312" w:hAnsi="仿宋_GB2312" w:eastAsia="仿宋_GB2312" w:cs="仿宋_GB2312"/>
          <w:sz w:val="32"/>
          <w:szCs w:val="32"/>
          <w:lang w:val="en-US" w:eastAsia="zh-CN"/>
        </w:rPr>
        <w:t>110.57</w:t>
      </w:r>
      <w:r>
        <w:rPr>
          <w:rFonts w:hint="eastAsia" w:ascii="仿宋_GB2312" w:hAnsi="仿宋_GB2312" w:eastAsia="仿宋_GB2312" w:cs="仿宋_GB2312"/>
          <w:sz w:val="32"/>
          <w:szCs w:val="32"/>
        </w:rPr>
        <w:t>万元。</w:t>
      </w:r>
    </w:p>
    <w:p w14:paraId="1F882070">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3、2024年监督检查专项经费</w:t>
      </w:r>
    </w:p>
    <w:p w14:paraId="17B0B903">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根据鹿医保字【2022】6号文件区领导批示精神，为更好的贯彻落实打击欺诈骗保行为，提高人民群众的幸福感、获得感。共需检查费用</w:t>
      </w:r>
      <w:r>
        <w:rPr>
          <w:rFonts w:hint="eastAsia" w:ascii="仿宋_GB2312" w:hAnsi="仿宋_GB2312" w:eastAsia="仿宋_GB2312" w:cs="仿宋_GB2312"/>
          <w:sz w:val="32"/>
          <w:szCs w:val="32"/>
          <w:lang w:val="en-US" w:eastAsia="zh-CN"/>
        </w:rPr>
        <w:t>5.49</w:t>
      </w:r>
      <w:r>
        <w:rPr>
          <w:rFonts w:hint="default" w:ascii="仿宋_GB2312" w:hAnsi="仿宋_GB2312" w:eastAsia="仿宋_GB2312" w:cs="仿宋_GB2312"/>
          <w:sz w:val="32"/>
          <w:szCs w:val="32"/>
          <w:lang w:val="en-US" w:eastAsia="zh-CN"/>
        </w:rPr>
        <w:t>万元。</w:t>
      </w:r>
    </w:p>
    <w:p w14:paraId="47EB3D16">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4、2024年医疗保险专项经费</w:t>
      </w:r>
    </w:p>
    <w:p w14:paraId="2EA47117">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医保局为切实保障全区医疗保障事业平稳、健康、可持续发展，严厉打击欺诈骗保行为，加强行政执法力度。及随着各项业务下放等，需要印制宣传材料、开展业务培训及医保宣传活动、开展行政执法活动等，共需专项经费13.39万元。 </w:t>
      </w:r>
    </w:p>
    <w:p w14:paraId="4BDB20B1">
      <w:pPr>
        <w:numPr>
          <w:ilvl w:val="0"/>
          <w:numId w:val="0"/>
        </w:num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5、关于提前下达24年中央财政医疗服务与保障能力提升补助资金</w:t>
      </w:r>
    </w:p>
    <w:p w14:paraId="4D6DDEEB">
      <w:pPr>
        <w:numPr>
          <w:ilvl w:val="0"/>
          <w:numId w:val="0"/>
        </w:numPr>
        <w:spacing w:line="600" w:lineRule="exact"/>
        <w:ind w:firstLine="640" w:firstLineChars="200"/>
        <w:rPr>
          <w:rFonts w:hint="default" w:ascii="仿宋_GB2312" w:hAnsi="仿宋_GB2312" w:eastAsia="仿宋_GB2312" w:cs="仿宋_GB2312"/>
          <w:sz w:val="32"/>
          <w:szCs w:val="32"/>
          <w:lang w:val="en-US" w:eastAsia="zh-CN"/>
        </w:rPr>
      </w:pPr>
      <w:bookmarkStart w:id="0" w:name="_GoBack"/>
      <w:bookmarkEnd w:id="0"/>
      <w:r>
        <w:rPr>
          <w:rFonts w:hint="default" w:ascii="仿宋_GB2312" w:hAnsi="仿宋_GB2312" w:eastAsia="仿宋_GB2312" w:cs="仿宋_GB2312"/>
          <w:sz w:val="32"/>
          <w:szCs w:val="32"/>
          <w:lang w:val="en-US" w:eastAsia="zh-CN"/>
        </w:rPr>
        <w:t>按照冀财社文件精神，下达本区医疗服务与保障能力提升专项补助资金共计30万元。能力提升补助资金主要用于定点医药机构监督检查、系统运用及宣传政策方面，全年资金完成率100%。</w:t>
      </w:r>
    </w:p>
    <w:p w14:paraId="45F8B29F">
      <w:pPr>
        <w:spacing w:line="600" w:lineRule="exact"/>
        <w:ind w:firstLine="640" w:firstLineChars="200"/>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val="en-US" w:eastAsia="zh-CN"/>
        </w:rPr>
        <w:t>6</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eastAsia="zh-CN"/>
        </w:rPr>
        <w:t>24年医保中心长期护理保险区级补助资金</w:t>
      </w:r>
    </w:p>
    <w:p w14:paraId="7CE1485C">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根据石政办函【2018】211号文件规定，长期护理险的筹资方式按照责任共担原则，通过个人缴费、医保统筹基金划转、财政补助等多渠道筹集资金。其中本级财政补助为每人每年10元，共需资金</w:t>
      </w:r>
      <w:r>
        <w:rPr>
          <w:rFonts w:hint="eastAsia" w:ascii="仿宋_GB2312" w:hAnsi="仿宋_GB2312" w:eastAsia="仿宋_GB2312" w:cs="仿宋_GB2312"/>
          <w:b w:val="0"/>
          <w:bCs/>
          <w:sz w:val="32"/>
          <w:szCs w:val="32"/>
          <w:lang w:val="en-US" w:eastAsia="zh-CN"/>
        </w:rPr>
        <w:t>328.12</w:t>
      </w:r>
      <w:r>
        <w:rPr>
          <w:rFonts w:hint="eastAsia" w:ascii="仿宋_GB2312" w:hAnsi="仿宋_GB2312" w:eastAsia="仿宋_GB2312" w:cs="仿宋_GB2312"/>
          <w:b w:val="0"/>
          <w:bCs/>
          <w:sz w:val="32"/>
          <w:szCs w:val="32"/>
        </w:rPr>
        <w:t>万元。</w:t>
      </w:r>
    </w:p>
    <w:p w14:paraId="76D318D9">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val="en-US" w:eastAsia="zh-CN"/>
        </w:rPr>
        <w:t>7、</w:t>
      </w:r>
      <w:r>
        <w:rPr>
          <w:rFonts w:hint="eastAsia" w:ascii="仿宋_GB2312" w:hAnsi="仿宋_GB2312" w:eastAsia="仿宋_GB2312" w:cs="仿宋_GB2312"/>
          <w:b w:val="0"/>
          <w:bCs/>
          <w:sz w:val="32"/>
          <w:szCs w:val="32"/>
        </w:rPr>
        <w:t>24年医保中心城乡居民基本医疗保险区级补助资金</w:t>
      </w:r>
    </w:p>
    <w:p w14:paraId="714B3AE2">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据《石家庄市城镇居民基本医疗保险实施细则》（石政办发[2016]2号）的有关规定，居民基本医保费由个人或家庭缴费和政府补助资金构成，政府补助资金标准按有关规定，由同级财政负责安排。预计202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年城乡居民本级医疗补助为1</w:t>
      </w:r>
      <w:r>
        <w:rPr>
          <w:rFonts w:hint="eastAsia" w:ascii="仿宋_GB2312" w:hAnsi="仿宋_GB2312" w:eastAsia="仿宋_GB2312" w:cs="仿宋_GB2312"/>
          <w:sz w:val="32"/>
          <w:szCs w:val="32"/>
          <w:lang w:val="en-US" w:eastAsia="zh-CN"/>
        </w:rPr>
        <w:t>34</w:t>
      </w:r>
      <w:r>
        <w:rPr>
          <w:rFonts w:hint="eastAsia" w:ascii="仿宋_GB2312" w:hAnsi="仿宋_GB2312" w:eastAsia="仿宋_GB2312" w:cs="仿宋_GB2312"/>
          <w:sz w:val="32"/>
          <w:szCs w:val="32"/>
        </w:rPr>
        <w:t>元/人，参保人数预计为</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万人，另有五保重残、贫困人口等医疗救助资金共计</w:t>
      </w:r>
      <w:r>
        <w:rPr>
          <w:rFonts w:hint="eastAsia" w:ascii="仿宋_GB2312" w:hAnsi="仿宋_GB2312" w:eastAsia="仿宋_GB2312" w:cs="仿宋_GB2312"/>
          <w:sz w:val="32"/>
          <w:szCs w:val="32"/>
          <w:lang w:val="en-US" w:eastAsia="zh-CN"/>
        </w:rPr>
        <w:t>4396.82</w:t>
      </w:r>
      <w:r>
        <w:rPr>
          <w:rFonts w:hint="eastAsia" w:ascii="仿宋_GB2312" w:hAnsi="仿宋_GB2312" w:eastAsia="仿宋_GB2312" w:cs="仿宋_GB2312"/>
          <w:sz w:val="32"/>
          <w:szCs w:val="32"/>
        </w:rPr>
        <w:t>万元。</w:t>
      </w:r>
    </w:p>
    <w:p w14:paraId="2224ED9B">
      <w:pPr>
        <w:widowControl w:val="0"/>
        <w:numPr>
          <w:ilvl w:val="0"/>
          <w:numId w:val="3"/>
        </w:numPr>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医保中心离休及伤残军人医药费</w:t>
      </w:r>
    </w:p>
    <w:p w14:paraId="73079246">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石办字【2004】60号文有关规定，所需资金列入财政预算，以保障离残人员医药费的及时报销。全年药费在</w:t>
      </w:r>
      <w:r>
        <w:rPr>
          <w:rFonts w:hint="eastAsia" w:ascii="仿宋_GB2312" w:hAnsi="仿宋_GB2312" w:eastAsia="仿宋_GB2312" w:cs="仿宋_GB2312"/>
          <w:sz w:val="32"/>
          <w:szCs w:val="32"/>
          <w:highlight w:val="none"/>
          <w:lang w:val="en-US" w:eastAsia="zh-CN"/>
        </w:rPr>
        <w:t>200</w:t>
      </w:r>
      <w:r>
        <w:rPr>
          <w:rFonts w:hint="eastAsia" w:ascii="仿宋_GB2312" w:hAnsi="仿宋_GB2312" w:eastAsia="仿宋_GB2312" w:cs="仿宋_GB2312"/>
          <w:sz w:val="32"/>
          <w:szCs w:val="32"/>
          <w:highlight w:val="none"/>
        </w:rPr>
        <w:t>万左右。</w:t>
      </w:r>
    </w:p>
    <w:p w14:paraId="4FF1804F">
      <w:pPr>
        <w:widowControl w:val="0"/>
        <w:numPr>
          <w:ilvl w:val="0"/>
          <w:numId w:val="0"/>
        </w:numPr>
        <w:wordWrap/>
        <w:spacing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9、医保中心退役军人公益岗位工资补贴</w:t>
      </w:r>
    </w:p>
    <w:p w14:paraId="6024248A">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根据《鹿泉区关于进一步做好部分军队退役人员帮扶救助的若干措施》鹿文办【2017】31号文件第二条第一款“实行公益岗托底安置”我单位共有2名退役军人，</w:t>
      </w:r>
      <w:r>
        <w:rPr>
          <w:rFonts w:hint="eastAsia" w:ascii="仿宋_GB2312" w:hAnsi="仿宋_GB2312" w:eastAsia="仿宋_GB2312" w:cs="仿宋_GB2312"/>
          <w:sz w:val="32"/>
          <w:szCs w:val="32"/>
          <w:lang w:val="en-US" w:eastAsia="zh-CN"/>
        </w:rPr>
        <w:t>资金需求</w:t>
      </w:r>
      <w:r>
        <w:rPr>
          <w:rFonts w:hint="default" w:ascii="仿宋_GB2312" w:hAnsi="仿宋_GB2312" w:eastAsia="仿宋_GB2312" w:cs="仿宋_GB2312"/>
          <w:sz w:val="32"/>
          <w:szCs w:val="32"/>
          <w:lang w:val="en-US" w:eastAsia="zh-CN"/>
        </w:rPr>
        <w:t>共计</w:t>
      </w:r>
      <w:r>
        <w:rPr>
          <w:rFonts w:hint="eastAsia" w:ascii="仿宋_GB2312" w:hAnsi="仿宋_GB2312" w:eastAsia="仿宋_GB2312" w:cs="仿宋_GB2312"/>
          <w:sz w:val="32"/>
          <w:szCs w:val="32"/>
          <w:lang w:val="en-US" w:eastAsia="zh-CN"/>
        </w:rPr>
        <w:t>12</w:t>
      </w:r>
      <w:r>
        <w:rPr>
          <w:rFonts w:hint="default" w:ascii="仿宋_GB2312" w:hAnsi="仿宋_GB2312" w:eastAsia="仿宋_GB2312" w:cs="仿宋_GB2312"/>
          <w:sz w:val="32"/>
          <w:szCs w:val="32"/>
          <w:lang w:val="en-US" w:eastAsia="zh-CN"/>
        </w:rPr>
        <w:t>万元。</w:t>
      </w:r>
    </w:p>
    <w:p w14:paraId="52091EDF">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10、2024年医疗保险专项经费</w:t>
      </w:r>
    </w:p>
    <w:p w14:paraId="75707F29">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用于本部门打击医保骗保行为、行政执法、业务培训、医保政策宣传等，共需经费10万元，从而切实保障全区医疗保障事业平稳、健康、可持续发展，严厉打击欺诈骗保行为。</w:t>
      </w:r>
    </w:p>
    <w:p w14:paraId="40F50390">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三、绩效评价工作情况</w:t>
      </w:r>
    </w:p>
    <w:p w14:paraId="03D5B856">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（一）评价目的</w:t>
      </w:r>
    </w:p>
    <w:p w14:paraId="799F732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14:paraId="1FC37DB4">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（二）评价原则、评价指标体系、评价方法</w:t>
      </w:r>
    </w:p>
    <w:p w14:paraId="502B1DBC">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14:paraId="5984F297">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评价指标体系：主要从项目资金的投入、业务管理和财务管理过程、项目计划产出和项目计划效益四个方面对评价目标进行逐步分解，从定性和定量两个角度综合考量。</w:t>
      </w:r>
    </w:p>
    <w:p w14:paraId="50BD32DA">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评价方法：绩效评价工作采用单位自评价和财政再评价相结合的方式开展。自评价采取数据收集汇总、指标分析、询问查证等方法，形成了自评价报告。</w:t>
      </w:r>
    </w:p>
    <w:p w14:paraId="2B569950">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（三）评价工作过程</w:t>
      </w:r>
    </w:p>
    <w:p w14:paraId="2B8D0CFA">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本次绩效评价自评价工作分为三个阶段：</w:t>
      </w:r>
    </w:p>
    <w:p w14:paraId="4C3F37EE">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第一阶段：成立评价工作小组，制定项目绩效评价具体实施方案。</w:t>
      </w:r>
    </w:p>
    <w:p w14:paraId="209373CA">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第二阶段：按照区财政局要求，进行自查。</w:t>
      </w:r>
    </w:p>
    <w:p w14:paraId="75477F7D">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第三阶段：由评价工作小组对项目进行抽样核查，总结评价结论，最终形成自评价报告，报区财政局。</w:t>
      </w:r>
    </w:p>
    <w:p w14:paraId="370F4CB2">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四、绩效评价指标分析情况</w:t>
      </w:r>
    </w:p>
    <w:p w14:paraId="5AACED14">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项目评价指标体系总分实行百分制，90分以上为优秀、80分以上为良好、70分以上为一般、60分以上为及格。</w:t>
      </w:r>
    </w:p>
    <w:p w14:paraId="7CE72B5E">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1、产出指标（50分）。我办各项目资金的使用能在规定时限内完成，节约适用成本，项目实施达到预期目标值。评估为满分。</w:t>
      </w:r>
    </w:p>
    <w:p w14:paraId="19077EB4">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2、效益指标（40分）。经评估，项目实施社会效益好，可持续影响力强，群众满意度高，整个项目效果好，评估为满分。</w:t>
      </w:r>
    </w:p>
    <w:p w14:paraId="1B37764B">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3、满意度指标（10分）。经评估，群众满意度高，评估为满分。</w:t>
      </w:r>
    </w:p>
    <w:p w14:paraId="1DB559D0">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五、综合评价情况及评价结论</w:t>
      </w:r>
    </w:p>
    <w:p w14:paraId="50E237A1">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1、资金到位，使用合规。资金拨付程序从申请、审核、审查、审批到最后发放都按照中央、省、市相关财政政策实施，使用符合财务管理规定。</w:t>
      </w:r>
    </w:p>
    <w:p w14:paraId="79370D93">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2、管理规范，监督有效。为进一步规范财务管理，我室制定并印发《市委政研室（改革办）财务管理规定》，严格资金使用程序，健全资金管理制度，定期对资金使用情况进行检查，严格确保项目质量。</w:t>
      </w:r>
    </w:p>
    <w:p w14:paraId="2D29DE1A">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年度我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项目经费投入合理、资金落实到位、使用规范透明、监督及时有效。从总体上看，我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专项资金绩效评价总体得分为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分，为优秀等次。</w:t>
      </w:r>
    </w:p>
    <w:p w14:paraId="214084BA">
      <w:pPr>
        <w:adjustRightInd w:val="0"/>
        <w:snapToGrid w:val="0"/>
        <w:spacing w:line="560" w:lineRule="exact"/>
        <w:ind w:firstLine="640" w:firstLineChars="200"/>
        <w:rPr>
          <w:rFonts w:ascii="黑体" w:hAnsi="黑体" w:eastAsia="黑体"/>
          <w:sz w:val="32"/>
          <w:szCs w:val="32"/>
        </w:rPr>
      </w:pPr>
    </w:p>
    <w:p w14:paraId="42FCE09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59C1F2">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80D9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580D9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1A73ED"/>
    <w:multiLevelType w:val="singleLevel"/>
    <w:tmpl w:val="E41A73ED"/>
    <w:lvl w:ilvl="0" w:tentative="0">
      <w:start w:val="2"/>
      <w:numFmt w:val="chineseCounting"/>
      <w:suff w:val="nothing"/>
      <w:lvlText w:val="%1、"/>
      <w:lvlJc w:val="left"/>
      <w:rPr>
        <w:rFonts w:hint="eastAsia"/>
      </w:rPr>
    </w:lvl>
  </w:abstractNum>
  <w:abstractNum w:abstractNumId="1">
    <w:nsid w:val="0D83EC2C"/>
    <w:multiLevelType w:val="singleLevel"/>
    <w:tmpl w:val="0D83EC2C"/>
    <w:lvl w:ilvl="0" w:tentative="0">
      <w:start w:val="8"/>
      <w:numFmt w:val="decimal"/>
      <w:suff w:val="nothing"/>
      <w:lvlText w:val="%1、"/>
      <w:lvlJc w:val="left"/>
    </w:lvl>
  </w:abstractNum>
  <w:abstractNum w:abstractNumId="2">
    <w:nsid w:val="5482F7E9"/>
    <w:multiLevelType w:val="singleLevel"/>
    <w:tmpl w:val="5482F7E9"/>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5Y2I4YjI2Y2RhZWY2M2JjNzAzNDNhZTYwNTM2YWI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DB4804"/>
    <w:rsid w:val="05A9692E"/>
    <w:rsid w:val="07956271"/>
    <w:rsid w:val="09721397"/>
    <w:rsid w:val="0BB63BED"/>
    <w:rsid w:val="0D312D63"/>
    <w:rsid w:val="0EB97A43"/>
    <w:rsid w:val="0EBD2122"/>
    <w:rsid w:val="0F214EAE"/>
    <w:rsid w:val="11B71E6A"/>
    <w:rsid w:val="1AAF0063"/>
    <w:rsid w:val="1BE140DE"/>
    <w:rsid w:val="248C197D"/>
    <w:rsid w:val="252959AF"/>
    <w:rsid w:val="26063F46"/>
    <w:rsid w:val="277A6671"/>
    <w:rsid w:val="292D35B7"/>
    <w:rsid w:val="29470146"/>
    <w:rsid w:val="29915AB6"/>
    <w:rsid w:val="2ABF12FD"/>
    <w:rsid w:val="32817910"/>
    <w:rsid w:val="33EB6CFF"/>
    <w:rsid w:val="35A12947"/>
    <w:rsid w:val="37387040"/>
    <w:rsid w:val="3B625C0A"/>
    <w:rsid w:val="3CEE1963"/>
    <w:rsid w:val="4308361B"/>
    <w:rsid w:val="436B78D3"/>
    <w:rsid w:val="4C9C27FE"/>
    <w:rsid w:val="4D1F6D6D"/>
    <w:rsid w:val="512260B4"/>
    <w:rsid w:val="52BD6ACB"/>
    <w:rsid w:val="53841AA0"/>
    <w:rsid w:val="55537534"/>
    <w:rsid w:val="561A74F1"/>
    <w:rsid w:val="597244E8"/>
    <w:rsid w:val="5EB71C30"/>
    <w:rsid w:val="66AF0CE5"/>
    <w:rsid w:val="6A33347C"/>
    <w:rsid w:val="6AC537CF"/>
    <w:rsid w:val="6D755573"/>
    <w:rsid w:val="6E5B14A6"/>
    <w:rsid w:val="7041488E"/>
    <w:rsid w:val="711B255E"/>
    <w:rsid w:val="74DB1FC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3159</Words>
  <Characters>3279</Characters>
  <Lines>4</Lines>
  <Paragraphs>1</Paragraphs>
  <TotalTime>9</TotalTime>
  <ScaleCrop>false</ScaleCrop>
  <LinksUpToDate>false</LinksUpToDate>
  <CharactersWithSpaces>3286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老衲法号梦游</cp:lastModifiedBy>
  <cp:lastPrinted>2024-04-19T01:04:00Z</cp:lastPrinted>
  <dcterms:modified xsi:type="dcterms:W3CDTF">2025-05-26T02:36:53Z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665D73BCE87641E4B381811178F2896C_13</vt:lpwstr>
  </property>
  <property fmtid="{D5CDD505-2E9C-101B-9397-08002B2CF9AE}" pid="4" name="KSOTemplateDocerSaveRecord">
    <vt:lpwstr>eyJoZGlkIjoiZTUyOGIxYzIyZDZlYTU3ZWRmZDgzZGZlMTEwMTVmM2UiLCJ1c2VySWQiOiIyMTg4MTkyNTAifQ==</vt:lpwstr>
  </property>
</Properties>
</file>