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黑体" w:hAnsi="黑体" w:eastAsia="黑体"/>
          <w:sz w:val="32"/>
          <w:szCs w:val="32"/>
        </w:rPr>
      </w:pPr>
      <w:r>
        <w:rPr>
          <w:rFonts w:hint="eastAsia" w:ascii="黑体" w:hAnsi="黑体" w:eastAsia="黑体"/>
          <w:sz w:val="32"/>
          <w:szCs w:val="32"/>
        </w:rPr>
        <w:t>附件3</w:t>
      </w:r>
    </w:p>
    <w:p>
      <w:pPr>
        <w:spacing w:line="560" w:lineRule="exact"/>
        <w:jc w:val="center"/>
        <w:rPr>
          <w:rFonts w:ascii="宋体" w:hAnsi="宋体" w:cs="宋体"/>
          <w:b/>
          <w:bCs/>
          <w:sz w:val="44"/>
          <w:szCs w:val="44"/>
        </w:rPr>
      </w:pPr>
      <w:bookmarkStart w:id="1" w:name="_GoBack"/>
    </w:p>
    <w:p>
      <w:pPr>
        <w:spacing w:line="560" w:lineRule="exact"/>
        <w:jc w:val="center"/>
        <w:rPr>
          <w:rFonts w:ascii="宋体" w:hAnsi="宋体" w:cs="宋体"/>
          <w:b/>
          <w:bCs/>
          <w:sz w:val="44"/>
          <w:szCs w:val="44"/>
        </w:rPr>
      </w:pPr>
      <w:bookmarkStart w:id="0" w:name="OLE_LINK1"/>
      <w:r>
        <w:rPr>
          <w:rFonts w:hint="eastAsia" w:ascii="宋体" w:hAnsi="宋体" w:cs="宋体"/>
          <w:b/>
          <w:bCs/>
          <w:sz w:val="44"/>
          <w:szCs w:val="44"/>
          <w:lang w:eastAsia="zh-CN"/>
        </w:rPr>
        <w:t>石家庄市鹿泉区交通运输局</w:t>
      </w:r>
      <w:r>
        <w:rPr>
          <w:rFonts w:hint="eastAsia" w:ascii="宋体" w:hAnsi="宋体" w:cs="宋体"/>
          <w:b/>
          <w:bCs/>
          <w:sz w:val="44"/>
          <w:szCs w:val="44"/>
        </w:rPr>
        <w:t>部门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贯彻落实石家庄市鹿泉区人民政府《关于全面实施预算绩效管理的实施意见》（鹿发〔2019〕8号）文件精神，遵循“科学性、规范性、客观性和公正性”的原则，对</w:t>
      </w:r>
      <w:r>
        <w:rPr>
          <w:rFonts w:hint="eastAsia" w:ascii="仿宋" w:hAnsi="仿宋" w:eastAsia="仿宋"/>
          <w:sz w:val="32"/>
          <w:szCs w:val="32"/>
          <w:lang w:eastAsia="zh-CN"/>
        </w:rPr>
        <w:t>石家庄市鹿泉区交通运输局</w:t>
      </w:r>
      <w:r>
        <w:rPr>
          <w:rFonts w:hint="eastAsia" w:ascii="仿宋" w:hAnsi="仿宋" w:eastAsia="仿宋"/>
          <w:sz w:val="32"/>
          <w:szCs w:val="32"/>
        </w:rPr>
        <w:t>部门202</w:t>
      </w:r>
      <w:r>
        <w:rPr>
          <w:rFonts w:ascii="仿宋" w:hAnsi="仿宋" w:eastAsia="仿宋"/>
          <w:sz w:val="32"/>
          <w:szCs w:val="32"/>
        </w:rPr>
        <w:t>4</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0" w:firstLineChars="200"/>
        <w:rPr>
          <w:rFonts w:hint="eastAsia" w:ascii="楷体" w:hAnsi="楷体" w:eastAsia="楷体" w:cs="楷体_GB2312"/>
          <w:bCs/>
          <w:sz w:val="32"/>
          <w:szCs w:val="32"/>
          <w:lang w:val="en-US" w:eastAsia="zh-CN"/>
        </w:rPr>
      </w:pPr>
      <w:r>
        <w:rPr>
          <w:rFonts w:hint="eastAsia" w:ascii="楷体" w:hAnsi="楷体" w:eastAsia="楷体" w:cs="楷体_GB2312"/>
          <w:bCs/>
          <w:sz w:val="32"/>
          <w:szCs w:val="32"/>
          <w:lang w:val="en-US" w:eastAsia="zh-CN"/>
        </w:rPr>
        <w:t>1、部门职能</w:t>
      </w:r>
    </w:p>
    <w:p>
      <w:pPr>
        <w:pStyle w:val="6"/>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（1）拟订全区交通运输行业发展规划并组织实施；参与拟订有关物流业发展规划并监督实施。</w:t>
      </w:r>
    </w:p>
    <w:p>
      <w:pPr>
        <w:pStyle w:val="6"/>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2）会同有关部门编制全区综合运输体系发展规划并组织实施。协调规划全区综合运输体系建设，组织协调相关运输方式的合理布局和有效衔接；建立完善交通运输行业联运服务体系；拟订全区公路建设、城市公共交通（不含轨道交通，下同）建设和道路（含水路，下同）运输中长期发展规划，拟订公路建设与养护年度指令性计划并组织实施；负责交通运输枢纽规划和管理。</w:t>
      </w:r>
    </w:p>
    <w:p>
      <w:pPr>
        <w:pStyle w:val="6"/>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3）承担全区公路建设市场监管责任。负责全区国省干线公路（含国防公路）的规划、建设、养护、管理，依法维护路产路权、保护公路设施，开发公路用地；依法查处超限超载运输车辆；负责交通运输工程建设、工程质量和安全生产的监管；负责全区交通基本建设项目招投标活动的监督管理；配合做好国防交通有关工作。</w:t>
      </w:r>
    </w:p>
    <w:p>
      <w:pPr>
        <w:pStyle w:val="6"/>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4）承担道路运输市场监管责任。负责道路运输经营、道路运输相关业务和城市公共交通等行业管理工作；负责区内公交站、场、点的规划、建设和管理，依法保护和支持合法经营，取缔非法运输；指导城乡客运及有关设施规划和管理；承担有关物流市场管理。</w:t>
      </w:r>
    </w:p>
    <w:p>
      <w:pPr>
        <w:pStyle w:val="6"/>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（5）承担管辖水域水上交通安全监管责任。负责全区渔船检验和监督管理工作，会同有关部门，依法组织或参与事故调查处理。</w:t>
      </w:r>
    </w:p>
    <w:p>
      <w:pPr>
        <w:pStyle w:val="6"/>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6）负责提出全区交通运输行业固定资产投资规模和方向、区财政性资金安排意见；负责监督区交通运输系统国有资产经营管理工作；负责全区交通运输资金的管理、使用和投资开发工作；指导交通系统内部审计工作；承担交通运输行业财政预算资金的绩效监督和管理工作。</w:t>
      </w:r>
    </w:p>
    <w:p>
      <w:pPr>
        <w:pStyle w:val="6"/>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（7）制订全区交通运输行业科技发展规划，组织行业科技创新应用，推动行业科技进步。负责交通运输行业信息化建设，监测分析运行情况，开展相关统计工作。指导交通运输行业环境保护和节能减排。</w:t>
      </w:r>
    </w:p>
    <w:p>
      <w:pPr>
        <w:pStyle w:val="6"/>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（8）负责全区交通运输综合行政执法和队伍建设有关工作；统筹协调交通运输综合行政执法工作；负责交通运输行业体制改革工作。</w:t>
      </w:r>
    </w:p>
    <w:p>
      <w:pPr>
        <w:pStyle w:val="6"/>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9）负责交通运输系统安全生产和应急管理工作；牵头负责铁路沿线环境安全监管职责；按规定组织协调国家、省、市、区重点物资和紧急客货运输；负责区内国、省重点干线公路网运行监测和应急处置协调工作。</w:t>
      </w:r>
    </w:p>
    <w:p>
      <w:pPr>
        <w:pStyle w:val="6"/>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（10）负责全区交通运输行业的涉外事宜，指导利用外资，开展交通运输经济技术合作与交流。</w:t>
      </w:r>
    </w:p>
    <w:p>
      <w:pPr>
        <w:pStyle w:val="6"/>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（11）推进京津冀协同发展交通一体化工作。</w:t>
      </w:r>
    </w:p>
    <w:p>
      <w:pPr>
        <w:pStyle w:val="6"/>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（12）完成区委、区政府交办的其他任务。</w:t>
      </w:r>
    </w:p>
    <w:p>
      <w:pPr>
        <w:adjustRightInd w:val="0"/>
        <w:snapToGrid w:val="0"/>
        <w:spacing w:line="560" w:lineRule="exact"/>
        <w:ind w:firstLine="640" w:firstLineChars="200"/>
        <w:rPr>
          <w:rFonts w:hint="eastAsia" w:ascii="楷体" w:hAnsi="楷体" w:eastAsia="楷体" w:cs="楷体_GB2312"/>
          <w:bCs/>
          <w:sz w:val="32"/>
          <w:szCs w:val="32"/>
          <w:lang w:val="en-US" w:eastAsia="zh-CN"/>
        </w:rPr>
      </w:pPr>
      <w:r>
        <w:rPr>
          <w:rFonts w:hint="eastAsia" w:ascii="楷体" w:hAnsi="楷体" w:eastAsia="楷体" w:cs="楷体_GB2312"/>
          <w:bCs/>
          <w:sz w:val="32"/>
          <w:szCs w:val="32"/>
          <w:lang w:val="en-US" w:eastAsia="zh-CN"/>
        </w:rPr>
        <w:t>2、机构设置</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75"/>
        <w:gridCol w:w="1166"/>
        <w:gridCol w:w="2126"/>
        <w:gridCol w:w="30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175" w:type="dxa"/>
            <w:vAlign w:val="center"/>
          </w:tcPr>
          <w:p>
            <w:pPr>
              <w:pStyle w:val="7"/>
            </w:pPr>
            <w:r>
              <w:t>单位名称</w:t>
            </w:r>
          </w:p>
        </w:tc>
        <w:tc>
          <w:tcPr>
            <w:tcW w:w="1166" w:type="dxa"/>
            <w:vAlign w:val="center"/>
          </w:tcPr>
          <w:p>
            <w:pPr>
              <w:pStyle w:val="7"/>
            </w:pPr>
            <w:r>
              <w:t>单位性质</w:t>
            </w:r>
          </w:p>
        </w:tc>
        <w:tc>
          <w:tcPr>
            <w:tcW w:w="2126" w:type="dxa"/>
            <w:vAlign w:val="center"/>
          </w:tcPr>
          <w:p>
            <w:pPr>
              <w:pStyle w:val="7"/>
            </w:pPr>
            <w:r>
              <w:t>单位规格</w:t>
            </w:r>
          </w:p>
        </w:tc>
        <w:tc>
          <w:tcPr>
            <w:tcW w:w="3026" w:type="dxa"/>
            <w:vAlign w:val="center"/>
          </w:tcPr>
          <w:p>
            <w:pPr>
              <w:pStyle w:val="7"/>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75" w:type="dxa"/>
            <w:vAlign w:val="center"/>
          </w:tcPr>
          <w:p>
            <w:pPr>
              <w:pStyle w:val="8"/>
            </w:pPr>
            <w:r>
              <w:t>石家庄市鹿泉区交通运输局本级</w:t>
            </w:r>
          </w:p>
        </w:tc>
        <w:tc>
          <w:tcPr>
            <w:tcW w:w="1166" w:type="dxa"/>
            <w:vAlign w:val="center"/>
          </w:tcPr>
          <w:p>
            <w:pPr>
              <w:pStyle w:val="9"/>
            </w:pPr>
            <w:r>
              <w:t>行政</w:t>
            </w:r>
          </w:p>
        </w:tc>
        <w:tc>
          <w:tcPr>
            <w:tcW w:w="2126" w:type="dxa"/>
            <w:vAlign w:val="center"/>
          </w:tcPr>
          <w:p>
            <w:pPr>
              <w:pStyle w:val="9"/>
            </w:pPr>
            <w:r>
              <w:t>正科级</w:t>
            </w:r>
          </w:p>
        </w:tc>
        <w:tc>
          <w:tcPr>
            <w:tcW w:w="3026" w:type="dxa"/>
            <w:vAlign w:val="center"/>
          </w:tcPr>
          <w:p>
            <w:pPr>
              <w:pStyle w:val="9"/>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75" w:type="dxa"/>
            <w:vAlign w:val="center"/>
          </w:tcPr>
          <w:p>
            <w:pPr>
              <w:pStyle w:val="8"/>
            </w:pPr>
            <w:r>
              <w:t>石家庄市鹿泉区交通运输综合执法大队</w:t>
            </w:r>
          </w:p>
        </w:tc>
        <w:tc>
          <w:tcPr>
            <w:tcW w:w="1166" w:type="dxa"/>
            <w:vAlign w:val="center"/>
          </w:tcPr>
          <w:p>
            <w:pPr>
              <w:pStyle w:val="9"/>
            </w:pPr>
            <w:r>
              <w:t>事业</w:t>
            </w:r>
          </w:p>
        </w:tc>
        <w:tc>
          <w:tcPr>
            <w:tcW w:w="2126" w:type="dxa"/>
            <w:vAlign w:val="center"/>
          </w:tcPr>
          <w:p>
            <w:pPr>
              <w:pStyle w:val="9"/>
            </w:pPr>
            <w:r>
              <w:t>副科级</w:t>
            </w:r>
          </w:p>
        </w:tc>
        <w:tc>
          <w:tcPr>
            <w:tcW w:w="3026" w:type="dxa"/>
            <w:vAlign w:val="center"/>
          </w:tcPr>
          <w:p>
            <w:pPr>
              <w:pStyle w:val="9"/>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75" w:type="dxa"/>
            <w:vAlign w:val="center"/>
          </w:tcPr>
          <w:p>
            <w:pPr>
              <w:pStyle w:val="8"/>
            </w:pPr>
            <w:r>
              <w:t>石家庄市鹿泉区交通运输服务中心</w:t>
            </w:r>
          </w:p>
        </w:tc>
        <w:tc>
          <w:tcPr>
            <w:tcW w:w="1166" w:type="dxa"/>
            <w:vAlign w:val="center"/>
          </w:tcPr>
          <w:p>
            <w:pPr>
              <w:pStyle w:val="9"/>
            </w:pPr>
            <w:r>
              <w:t>事业</w:t>
            </w:r>
          </w:p>
        </w:tc>
        <w:tc>
          <w:tcPr>
            <w:tcW w:w="2126" w:type="dxa"/>
            <w:vAlign w:val="center"/>
          </w:tcPr>
          <w:p>
            <w:pPr>
              <w:pStyle w:val="9"/>
            </w:pPr>
            <w:r>
              <w:t>股级</w:t>
            </w:r>
          </w:p>
        </w:tc>
        <w:tc>
          <w:tcPr>
            <w:tcW w:w="3026" w:type="dxa"/>
            <w:vAlign w:val="center"/>
          </w:tcPr>
          <w:p>
            <w:pPr>
              <w:pStyle w:val="9"/>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75" w:type="dxa"/>
            <w:vAlign w:val="center"/>
          </w:tcPr>
          <w:p>
            <w:pPr>
              <w:pStyle w:val="8"/>
            </w:pPr>
            <w:r>
              <w:t>石家庄市鹿泉区公路绿化管理中心</w:t>
            </w:r>
          </w:p>
        </w:tc>
        <w:tc>
          <w:tcPr>
            <w:tcW w:w="1166" w:type="dxa"/>
            <w:vAlign w:val="center"/>
          </w:tcPr>
          <w:p>
            <w:pPr>
              <w:pStyle w:val="9"/>
            </w:pPr>
            <w:r>
              <w:t>事业</w:t>
            </w:r>
          </w:p>
        </w:tc>
        <w:tc>
          <w:tcPr>
            <w:tcW w:w="2126" w:type="dxa"/>
            <w:vAlign w:val="center"/>
          </w:tcPr>
          <w:p>
            <w:pPr>
              <w:pStyle w:val="9"/>
            </w:pPr>
            <w:r>
              <w:t>股级</w:t>
            </w:r>
          </w:p>
        </w:tc>
        <w:tc>
          <w:tcPr>
            <w:tcW w:w="3026" w:type="dxa"/>
            <w:vAlign w:val="center"/>
          </w:tcPr>
          <w:p>
            <w:pPr>
              <w:pStyle w:val="9"/>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75" w:type="dxa"/>
            <w:vAlign w:val="center"/>
          </w:tcPr>
          <w:p>
            <w:pPr>
              <w:pStyle w:val="8"/>
            </w:pPr>
            <w:r>
              <w:t>石家庄市鹿泉区公路管理站</w:t>
            </w:r>
          </w:p>
        </w:tc>
        <w:tc>
          <w:tcPr>
            <w:tcW w:w="1166" w:type="dxa"/>
            <w:vAlign w:val="center"/>
          </w:tcPr>
          <w:p>
            <w:pPr>
              <w:pStyle w:val="9"/>
            </w:pPr>
            <w:r>
              <w:t>事业</w:t>
            </w:r>
          </w:p>
        </w:tc>
        <w:tc>
          <w:tcPr>
            <w:tcW w:w="2126" w:type="dxa"/>
            <w:vAlign w:val="center"/>
          </w:tcPr>
          <w:p>
            <w:pPr>
              <w:pStyle w:val="9"/>
            </w:pPr>
            <w:r>
              <w:t>股级</w:t>
            </w:r>
          </w:p>
        </w:tc>
        <w:tc>
          <w:tcPr>
            <w:tcW w:w="3026" w:type="dxa"/>
            <w:vAlign w:val="center"/>
          </w:tcPr>
          <w:p>
            <w:pPr>
              <w:pStyle w:val="9"/>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75" w:type="dxa"/>
            <w:vAlign w:val="center"/>
          </w:tcPr>
          <w:p>
            <w:pPr>
              <w:pStyle w:val="8"/>
            </w:pPr>
            <w:r>
              <w:t>石家庄市鹿泉区地方公路管理站</w:t>
            </w:r>
          </w:p>
        </w:tc>
        <w:tc>
          <w:tcPr>
            <w:tcW w:w="1166" w:type="dxa"/>
            <w:vAlign w:val="center"/>
          </w:tcPr>
          <w:p>
            <w:pPr>
              <w:pStyle w:val="9"/>
            </w:pPr>
            <w:r>
              <w:t>事业</w:t>
            </w:r>
          </w:p>
        </w:tc>
        <w:tc>
          <w:tcPr>
            <w:tcW w:w="2126" w:type="dxa"/>
            <w:vAlign w:val="center"/>
          </w:tcPr>
          <w:p>
            <w:pPr>
              <w:pStyle w:val="9"/>
            </w:pPr>
            <w:r>
              <w:t>股级</w:t>
            </w:r>
          </w:p>
        </w:tc>
        <w:tc>
          <w:tcPr>
            <w:tcW w:w="3026" w:type="dxa"/>
            <w:vAlign w:val="center"/>
          </w:tcPr>
          <w:p>
            <w:pPr>
              <w:pStyle w:val="9"/>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75" w:type="dxa"/>
            <w:vAlign w:val="center"/>
          </w:tcPr>
          <w:p>
            <w:pPr>
              <w:pStyle w:val="8"/>
            </w:pPr>
            <w:r>
              <w:t>石家庄市鹿泉区公路设计质监中心</w:t>
            </w:r>
          </w:p>
        </w:tc>
        <w:tc>
          <w:tcPr>
            <w:tcW w:w="1166" w:type="dxa"/>
            <w:vAlign w:val="center"/>
          </w:tcPr>
          <w:p>
            <w:pPr>
              <w:pStyle w:val="9"/>
            </w:pPr>
            <w:r>
              <w:t>事业</w:t>
            </w:r>
          </w:p>
        </w:tc>
        <w:tc>
          <w:tcPr>
            <w:tcW w:w="2126" w:type="dxa"/>
            <w:vAlign w:val="center"/>
          </w:tcPr>
          <w:p>
            <w:pPr>
              <w:pStyle w:val="9"/>
            </w:pPr>
            <w:r>
              <w:t>股级</w:t>
            </w:r>
          </w:p>
        </w:tc>
        <w:tc>
          <w:tcPr>
            <w:tcW w:w="3026" w:type="dxa"/>
            <w:vAlign w:val="center"/>
          </w:tcPr>
          <w:p>
            <w:pPr>
              <w:pStyle w:val="9"/>
            </w:pPr>
            <w:r>
              <w:t>财政性资金定额或定项补助</w:t>
            </w:r>
          </w:p>
        </w:tc>
      </w:tr>
    </w:tbl>
    <w:p>
      <w:pPr>
        <w:adjustRightInd w:val="0"/>
        <w:snapToGrid w:val="0"/>
        <w:spacing w:line="560" w:lineRule="exact"/>
        <w:ind w:firstLine="640" w:firstLineChars="200"/>
        <w:rPr>
          <w:rFonts w:hint="eastAsia" w:ascii="楷体" w:hAnsi="楷体" w:eastAsia="楷体" w:cs="楷体_GB2312"/>
          <w:bCs/>
          <w:sz w:val="32"/>
          <w:szCs w:val="32"/>
          <w:lang w:val="en-US" w:eastAsia="zh-CN"/>
        </w:rPr>
      </w:pPr>
      <w:r>
        <w:rPr>
          <w:rFonts w:hint="eastAsia" w:ascii="楷体" w:hAnsi="楷体" w:eastAsia="楷体" w:cs="楷体_GB2312"/>
          <w:bCs/>
          <w:sz w:val="32"/>
          <w:szCs w:val="32"/>
          <w:lang w:val="en-US" w:eastAsia="zh-CN"/>
        </w:rPr>
        <w:t>3、人员情况</w:t>
      </w:r>
    </w:p>
    <w:p>
      <w:pPr>
        <w:pStyle w:val="6"/>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ascii="仿宋" w:hAnsi="仿宋" w:eastAsia="仿宋"/>
          <w:sz w:val="32"/>
          <w:szCs w:val="32"/>
        </w:rPr>
      </w:pPr>
      <w:r>
        <w:rPr>
          <w:rFonts w:hint="eastAsia" w:ascii="仿宋_GB2312" w:hAnsi="仿宋_GB2312" w:eastAsia="仿宋_GB2312" w:cs="仿宋_GB2312"/>
          <w:b w:val="0"/>
          <w:bCs w:val="0"/>
          <w:kern w:val="2"/>
          <w:sz w:val="32"/>
          <w:szCs w:val="32"/>
          <w:lang w:val="en-US" w:eastAsia="zh-CN" w:bidi="ar-SA"/>
        </w:rPr>
        <w:t>截至2024年底，我部门共有在职人员</w:t>
      </w:r>
      <w:r>
        <w:rPr>
          <w:rFonts w:hint="eastAsia" w:ascii="仿宋_GB2312" w:hAnsi="仿宋_GB2312" w:eastAsia="仿宋_GB2312" w:cs="仿宋_GB2312"/>
          <w:b w:val="0"/>
          <w:bCs w:val="0"/>
          <w:kern w:val="2"/>
          <w:sz w:val="32"/>
          <w:szCs w:val="32"/>
          <w:highlight w:val="none"/>
          <w:lang w:val="en-US" w:eastAsia="zh-CN" w:bidi="ar-SA"/>
        </w:rPr>
        <w:t>207</w:t>
      </w:r>
      <w:r>
        <w:rPr>
          <w:rFonts w:hint="eastAsia" w:ascii="仿宋_GB2312" w:hAnsi="仿宋_GB2312" w:eastAsia="仿宋_GB2312" w:cs="仿宋_GB2312"/>
          <w:b w:val="0"/>
          <w:bCs w:val="0"/>
          <w:kern w:val="2"/>
          <w:sz w:val="32"/>
          <w:szCs w:val="32"/>
          <w:lang w:val="en-US" w:eastAsia="zh-CN" w:bidi="ar-SA"/>
        </w:rPr>
        <w:t>人。</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我部门</w:t>
      </w:r>
      <w:r>
        <w:rPr>
          <w:rFonts w:hint="eastAsia" w:ascii="仿宋_GB2312" w:hAnsi="仿宋_GB2312" w:eastAsia="仿宋_GB2312" w:cs="仿宋_GB2312"/>
          <w:sz w:val="32"/>
          <w:szCs w:val="32"/>
        </w:rPr>
        <w:t>收入</w:t>
      </w:r>
      <w:r>
        <w:rPr>
          <w:rFonts w:hint="eastAsia" w:ascii="仿宋_GB2312" w:hAnsi="仿宋_GB2312" w:eastAsia="仿宋_GB2312" w:cs="仿宋_GB2312"/>
          <w:sz w:val="32"/>
          <w:szCs w:val="32"/>
          <w:lang w:eastAsia="zh-CN"/>
        </w:rPr>
        <w:t>全年</w:t>
      </w:r>
      <w:r>
        <w:rPr>
          <w:rFonts w:hint="eastAsia" w:ascii="仿宋_GB2312" w:hAnsi="仿宋_GB2312" w:eastAsia="仿宋_GB2312" w:cs="仿宋_GB2312"/>
          <w:sz w:val="32"/>
          <w:szCs w:val="32"/>
        </w:rPr>
        <w:t>预算</w:t>
      </w:r>
      <w:r>
        <w:rPr>
          <w:rFonts w:hint="eastAsia" w:ascii="仿宋_GB2312" w:hAnsi="仿宋_GB2312" w:eastAsia="仿宋_GB2312" w:cs="仿宋_GB2312"/>
          <w:sz w:val="32"/>
          <w:szCs w:val="32"/>
          <w:lang w:eastAsia="zh-CN"/>
        </w:rPr>
        <w:t>数</w:t>
      </w:r>
      <w:r>
        <w:rPr>
          <w:rFonts w:hint="eastAsia" w:ascii="仿宋_GB2312" w:hAnsi="仿宋_GB2312" w:eastAsia="仿宋_GB2312" w:cs="仿宋_GB2312"/>
          <w:sz w:val="32"/>
          <w:szCs w:val="32"/>
        </w:rPr>
        <w:t>为</w:t>
      </w:r>
      <w:r>
        <w:rPr>
          <w:rFonts w:hint="eastAsia" w:ascii="仿宋_GB2312" w:hAnsi="仿宋_GB2312" w:eastAsia="仿宋_GB2312" w:cs="仿宋_GB2312"/>
          <w:sz w:val="32"/>
          <w:szCs w:val="32"/>
          <w:lang w:val="en-US" w:eastAsia="zh-CN"/>
        </w:rPr>
        <w:t>55481.36</w:t>
      </w:r>
      <w:r>
        <w:rPr>
          <w:rFonts w:hint="eastAsia" w:ascii="仿宋_GB2312" w:hAnsi="仿宋_GB2312" w:eastAsia="仿宋_GB2312" w:cs="仿宋_GB2312"/>
          <w:sz w:val="32"/>
          <w:szCs w:val="32"/>
          <w:lang w:eastAsia="zh-CN"/>
        </w:rPr>
        <w:t>万</w:t>
      </w:r>
      <w:r>
        <w:rPr>
          <w:rFonts w:hint="eastAsia" w:ascii="仿宋_GB2312" w:hAnsi="仿宋_GB2312" w:eastAsia="仿宋_GB2312" w:cs="仿宋_GB2312"/>
          <w:sz w:val="32"/>
          <w:szCs w:val="32"/>
        </w:rPr>
        <w:t>元，其中：一般公共预算拨款收入</w:t>
      </w:r>
      <w:r>
        <w:rPr>
          <w:rFonts w:hint="eastAsia" w:ascii="仿宋_GB2312" w:hAnsi="仿宋_GB2312" w:eastAsia="仿宋_GB2312" w:cs="仿宋_GB2312"/>
          <w:sz w:val="32"/>
          <w:szCs w:val="32"/>
          <w:lang w:val="en-US" w:eastAsia="zh-CN"/>
        </w:rPr>
        <w:t>52232.37万</w:t>
      </w:r>
      <w:r>
        <w:rPr>
          <w:rFonts w:hint="eastAsia" w:ascii="仿宋_GB2312" w:hAnsi="仿宋_GB2312" w:eastAsia="仿宋_GB2312" w:cs="仿宋_GB2312"/>
          <w:sz w:val="32"/>
          <w:szCs w:val="32"/>
        </w:rPr>
        <w:t>元、政府性基金预算财政拨款收入</w:t>
      </w:r>
      <w:r>
        <w:rPr>
          <w:rFonts w:hint="eastAsia" w:ascii="仿宋_GB2312" w:hAnsi="仿宋_GB2312" w:eastAsia="仿宋_GB2312" w:cs="仿宋_GB2312"/>
          <w:sz w:val="32"/>
          <w:szCs w:val="32"/>
          <w:lang w:val="en-US" w:eastAsia="zh-CN"/>
        </w:rPr>
        <w:t>2642.48万元、</w:t>
      </w:r>
      <w:r>
        <w:rPr>
          <w:rFonts w:hint="eastAsia" w:ascii="仿宋_GB2312" w:hAnsi="仿宋_GB2312" w:eastAsia="仿宋_GB2312" w:cs="仿宋_GB2312"/>
          <w:sz w:val="32"/>
          <w:szCs w:val="32"/>
        </w:rPr>
        <w:t>财政拨款年初结转和结余</w:t>
      </w:r>
      <w:r>
        <w:rPr>
          <w:rFonts w:hint="eastAsia" w:ascii="仿宋_GB2312" w:hAnsi="仿宋_GB2312" w:eastAsia="仿宋_GB2312" w:cs="仿宋_GB2312"/>
          <w:sz w:val="32"/>
          <w:szCs w:val="32"/>
          <w:lang w:val="en-US" w:eastAsia="zh-CN"/>
        </w:rPr>
        <w:t>104.46万</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支出</w:t>
      </w:r>
      <w:r>
        <w:rPr>
          <w:rFonts w:hint="eastAsia" w:ascii="仿宋_GB2312" w:hAnsi="仿宋_GB2312" w:eastAsia="仿宋_GB2312" w:cs="仿宋_GB2312"/>
          <w:sz w:val="32"/>
          <w:szCs w:val="32"/>
          <w:lang w:eastAsia="zh-CN"/>
        </w:rPr>
        <w:t>全年</w:t>
      </w:r>
      <w:r>
        <w:rPr>
          <w:rFonts w:hint="eastAsia" w:ascii="仿宋_GB2312" w:hAnsi="仿宋_GB2312" w:eastAsia="仿宋_GB2312" w:cs="仿宋_GB2312"/>
          <w:sz w:val="32"/>
          <w:szCs w:val="32"/>
        </w:rPr>
        <w:t>预算</w:t>
      </w:r>
      <w:r>
        <w:rPr>
          <w:rFonts w:hint="eastAsia" w:ascii="仿宋_GB2312" w:hAnsi="仿宋_GB2312" w:eastAsia="仿宋_GB2312" w:cs="仿宋_GB2312"/>
          <w:sz w:val="32"/>
          <w:szCs w:val="32"/>
          <w:lang w:eastAsia="zh-CN"/>
        </w:rPr>
        <w:t>数</w:t>
      </w:r>
      <w:r>
        <w:rPr>
          <w:rFonts w:hint="eastAsia" w:ascii="仿宋_GB2312" w:hAnsi="仿宋_GB2312" w:eastAsia="仿宋_GB2312" w:cs="仿宋_GB2312"/>
          <w:sz w:val="32"/>
          <w:szCs w:val="32"/>
        </w:rPr>
        <w:t>为</w:t>
      </w:r>
      <w:r>
        <w:rPr>
          <w:rFonts w:hint="eastAsia" w:ascii="仿宋_GB2312" w:hAnsi="仿宋_GB2312" w:eastAsia="仿宋_GB2312" w:cs="仿宋_GB2312"/>
          <w:sz w:val="32"/>
          <w:szCs w:val="32"/>
          <w:lang w:val="en-US" w:eastAsia="zh-CN"/>
        </w:rPr>
        <w:t>55481.36</w:t>
      </w:r>
      <w:r>
        <w:rPr>
          <w:rFonts w:hint="eastAsia" w:ascii="仿宋_GB2312" w:hAnsi="仿宋_GB2312" w:eastAsia="仿宋_GB2312" w:cs="仿宋_GB2312"/>
          <w:sz w:val="32"/>
          <w:szCs w:val="32"/>
          <w:lang w:eastAsia="zh-CN"/>
        </w:rPr>
        <w:t>万</w:t>
      </w:r>
      <w:r>
        <w:rPr>
          <w:rFonts w:hint="eastAsia" w:ascii="仿宋_GB2312" w:hAnsi="仿宋_GB2312" w:eastAsia="仿宋_GB2312" w:cs="仿宋_GB2312"/>
          <w:sz w:val="32"/>
          <w:szCs w:val="32"/>
        </w:rPr>
        <w:t>元，其中：基本支出5</w:t>
      </w:r>
      <w:r>
        <w:rPr>
          <w:rFonts w:hint="eastAsia" w:ascii="仿宋_GB2312" w:hAnsi="仿宋_GB2312" w:eastAsia="仿宋_GB2312" w:cs="仿宋_GB2312"/>
          <w:sz w:val="32"/>
          <w:szCs w:val="32"/>
          <w:lang w:val="en-US" w:eastAsia="zh-CN"/>
        </w:rPr>
        <w:t>281.76</w:t>
      </w:r>
      <w:r>
        <w:rPr>
          <w:rFonts w:hint="eastAsia" w:ascii="仿宋_GB2312" w:hAnsi="仿宋_GB2312" w:eastAsia="仿宋_GB2312" w:cs="仿宋_GB2312"/>
          <w:sz w:val="32"/>
          <w:szCs w:val="32"/>
          <w:lang w:eastAsia="zh-CN"/>
        </w:rPr>
        <w:t>万</w:t>
      </w:r>
      <w:r>
        <w:rPr>
          <w:rFonts w:hint="eastAsia" w:ascii="仿宋_GB2312" w:hAnsi="仿宋_GB2312" w:eastAsia="仿宋_GB2312" w:cs="仿宋_GB2312"/>
          <w:sz w:val="32"/>
          <w:szCs w:val="32"/>
        </w:rPr>
        <w:t>元、项目支出</w:t>
      </w:r>
      <w:r>
        <w:rPr>
          <w:rFonts w:hint="eastAsia" w:ascii="仿宋_GB2312" w:hAnsi="仿宋_GB2312" w:eastAsia="仿宋_GB2312" w:cs="仿宋_GB2312"/>
          <w:sz w:val="32"/>
          <w:szCs w:val="32"/>
          <w:lang w:val="en-US" w:eastAsia="zh-CN"/>
        </w:rPr>
        <w:t>50199.6万</w:t>
      </w:r>
      <w:r>
        <w:rPr>
          <w:rFonts w:hint="eastAsia" w:ascii="仿宋_GB2312" w:hAnsi="仿宋_GB2312" w:eastAsia="仿宋_GB2312" w:cs="仿宋_GB2312"/>
          <w:sz w:val="32"/>
          <w:szCs w:val="32"/>
        </w:rPr>
        <w:t>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_GB2312"/>
          <w:bCs/>
          <w:sz w:val="32"/>
          <w:szCs w:val="32"/>
        </w:rPr>
      </w:pPr>
      <w:r>
        <w:rPr>
          <w:rFonts w:hint="eastAsia" w:ascii="仿宋_GB2312" w:hAnsi="仿宋_GB2312" w:eastAsia="仿宋_GB2312" w:cs="仿宋_GB2312"/>
          <w:sz w:val="32"/>
          <w:szCs w:val="32"/>
          <w:lang w:eastAsia="zh-CN"/>
        </w:rPr>
        <w:t>我部门</w:t>
      </w:r>
      <w:r>
        <w:rPr>
          <w:rFonts w:hint="eastAsia" w:ascii="仿宋_GB2312" w:hAnsi="仿宋_GB2312" w:eastAsia="仿宋_GB2312" w:cs="仿宋_GB2312"/>
          <w:sz w:val="32"/>
          <w:szCs w:val="32"/>
        </w:rPr>
        <w:t>收入</w:t>
      </w:r>
      <w:r>
        <w:rPr>
          <w:rFonts w:hint="eastAsia" w:ascii="仿宋_GB2312" w:hAnsi="仿宋_GB2312" w:eastAsia="仿宋_GB2312" w:cs="仿宋_GB2312"/>
          <w:sz w:val="32"/>
          <w:szCs w:val="32"/>
          <w:lang w:eastAsia="zh-CN"/>
        </w:rPr>
        <w:t>决算数为</w:t>
      </w:r>
      <w:r>
        <w:rPr>
          <w:rFonts w:hint="eastAsia" w:ascii="仿宋_GB2312" w:hAnsi="仿宋_GB2312" w:eastAsia="仿宋_GB2312" w:cs="仿宋_GB2312"/>
          <w:sz w:val="32"/>
          <w:szCs w:val="32"/>
          <w:lang w:val="en-US" w:eastAsia="zh-CN"/>
        </w:rPr>
        <w:t>55481.36</w:t>
      </w:r>
      <w:r>
        <w:rPr>
          <w:rFonts w:hint="eastAsia" w:ascii="仿宋_GB2312" w:hAnsi="仿宋_GB2312" w:eastAsia="仿宋_GB2312" w:cs="仿宋_GB2312"/>
          <w:sz w:val="32"/>
          <w:szCs w:val="32"/>
          <w:lang w:eastAsia="zh-CN"/>
        </w:rPr>
        <w:t>万</w:t>
      </w:r>
      <w:r>
        <w:rPr>
          <w:rFonts w:hint="eastAsia" w:ascii="仿宋_GB2312" w:hAnsi="仿宋_GB2312" w:eastAsia="仿宋_GB2312" w:cs="仿宋_GB2312"/>
          <w:sz w:val="32"/>
          <w:szCs w:val="32"/>
        </w:rPr>
        <w:t>元，其中：财政拨款年初结转和结余</w:t>
      </w:r>
      <w:r>
        <w:rPr>
          <w:rFonts w:hint="eastAsia" w:ascii="仿宋_GB2312" w:hAnsi="仿宋_GB2312" w:eastAsia="仿宋_GB2312" w:cs="仿宋_GB2312"/>
          <w:sz w:val="32"/>
          <w:szCs w:val="32"/>
          <w:lang w:val="en-US" w:eastAsia="zh-CN"/>
        </w:rPr>
        <w:t>104.46万</w:t>
      </w:r>
      <w:r>
        <w:rPr>
          <w:rFonts w:hint="eastAsia" w:ascii="仿宋_GB2312" w:hAnsi="仿宋_GB2312" w:eastAsia="仿宋_GB2312" w:cs="仿宋_GB2312"/>
          <w:sz w:val="32"/>
          <w:szCs w:val="32"/>
        </w:rPr>
        <w:t>元，本年收入</w:t>
      </w:r>
      <w:r>
        <w:rPr>
          <w:rFonts w:hint="eastAsia" w:ascii="仿宋_GB2312" w:hAnsi="仿宋_GB2312" w:eastAsia="仿宋_GB2312" w:cs="仿宋_GB2312"/>
          <w:sz w:val="32"/>
          <w:szCs w:val="32"/>
          <w:lang w:val="en-US" w:eastAsia="zh-CN"/>
        </w:rPr>
        <w:t>55376.90</w:t>
      </w:r>
      <w:r>
        <w:rPr>
          <w:rFonts w:hint="eastAsia" w:ascii="仿宋_GB2312" w:hAnsi="仿宋_GB2312" w:eastAsia="仿宋_GB2312" w:cs="仿宋_GB2312"/>
          <w:sz w:val="32"/>
          <w:szCs w:val="32"/>
          <w:lang w:eastAsia="zh-CN"/>
        </w:rPr>
        <w:t>万</w:t>
      </w:r>
      <w:r>
        <w:rPr>
          <w:rFonts w:hint="eastAsia" w:ascii="仿宋_GB2312" w:hAnsi="仿宋_GB2312" w:eastAsia="仿宋_GB2312" w:cs="仿宋_GB2312"/>
          <w:sz w:val="32"/>
          <w:szCs w:val="32"/>
        </w:rPr>
        <w:t>元；支出</w:t>
      </w:r>
      <w:r>
        <w:rPr>
          <w:rFonts w:hint="eastAsia" w:ascii="仿宋_GB2312" w:hAnsi="仿宋_GB2312" w:eastAsia="仿宋_GB2312" w:cs="仿宋_GB2312"/>
          <w:sz w:val="32"/>
          <w:szCs w:val="32"/>
          <w:lang w:eastAsia="zh-CN"/>
        </w:rPr>
        <w:t>决算数为</w:t>
      </w:r>
      <w:r>
        <w:rPr>
          <w:rFonts w:hint="eastAsia" w:ascii="仿宋_GB2312" w:hAnsi="仿宋_GB2312" w:eastAsia="仿宋_GB2312" w:cs="仿宋_GB2312"/>
          <w:sz w:val="32"/>
          <w:szCs w:val="32"/>
          <w:lang w:val="en-US" w:eastAsia="zh-CN"/>
        </w:rPr>
        <w:t>55481.36</w:t>
      </w:r>
      <w:r>
        <w:rPr>
          <w:rFonts w:hint="eastAsia" w:ascii="仿宋_GB2312" w:hAnsi="仿宋_GB2312" w:eastAsia="仿宋_GB2312" w:cs="仿宋_GB2312"/>
          <w:sz w:val="32"/>
          <w:szCs w:val="32"/>
          <w:lang w:eastAsia="zh-CN"/>
        </w:rPr>
        <w:t>万</w:t>
      </w:r>
      <w:r>
        <w:rPr>
          <w:rFonts w:hint="eastAsia" w:ascii="仿宋_GB2312" w:hAnsi="仿宋_GB2312" w:eastAsia="仿宋_GB2312" w:cs="仿宋_GB2312"/>
          <w:sz w:val="32"/>
          <w:szCs w:val="32"/>
        </w:rPr>
        <w:t>元，其中：本年支出</w:t>
      </w:r>
      <w:r>
        <w:rPr>
          <w:rFonts w:hint="eastAsia" w:ascii="仿宋_GB2312" w:hAnsi="仿宋_GB2312" w:eastAsia="仿宋_GB2312" w:cs="仿宋_GB2312"/>
          <w:sz w:val="32"/>
          <w:szCs w:val="32"/>
          <w:lang w:val="en-US" w:eastAsia="zh-CN"/>
        </w:rPr>
        <w:t>55383.56万</w:t>
      </w:r>
      <w:r>
        <w:rPr>
          <w:rFonts w:hint="eastAsia" w:ascii="仿宋_GB2312" w:hAnsi="仿宋_GB2312" w:eastAsia="仿宋_GB2312" w:cs="仿宋_GB2312"/>
          <w:sz w:val="32"/>
          <w:szCs w:val="32"/>
        </w:rPr>
        <w:t>元，财政拨款年末结转和结余</w:t>
      </w:r>
      <w:r>
        <w:rPr>
          <w:rFonts w:hint="eastAsia" w:ascii="仿宋_GB2312" w:hAnsi="仿宋_GB2312" w:eastAsia="仿宋_GB2312" w:cs="仿宋_GB2312"/>
          <w:sz w:val="32"/>
          <w:szCs w:val="32"/>
          <w:lang w:val="en-US" w:eastAsia="zh-CN"/>
        </w:rPr>
        <w:t>97.8万</w:t>
      </w:r>
      <w:r>
        <w:rPr>
          <w:rFonts w:hint="eastAsia" w:ascii="仿宋_GB2312" w:hAnsi="仿宋_GB2312" w:eastAsia="仿宋_GB2312" w:cs="仿宋_GB2312"/>
          <w:sz w:val="32"/>
          <w:szCs w:val="32"/>
        </w:rPr>
        <w:t>元。</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1、总体绩效目标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完成对国省干线道路、农村公路道路建设养护，加强大气污染治理，优化和改善公路路网结构和路况，改善道路通行环境，有效提升鹿泉生态交通建设。加强行业管理，保障交通运输行业健康发展；通过开展交通运输综合执法工作，严格控制超限超载率。通过行之有效的措施，确保公路辐射带动社会经济发展能力明显提升，不断增强人民群众获得感、幸福感、安全感。</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2、分项绩效目标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（1）普通干线公路养护</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绩效目标：通过实施普通国省干线公路的预防性养护及沿线配套设施等的养护，确保路面完好率及植被成活率，提升公路运行质量，使国省干线公路保持良好的服务水平。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绩效指标：完成道路养护工程量不低于327.97万平方米，养护道路12条，路面洒扫清洁达标率不低于90%；路面完好率及植被成活率均达90%以上；群众对公路运行整体满意度不低于90%。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（2）农村公路建设养护</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绩效目标：通过实施农村公路改建工程、大中修工程和日常养护，优化和改善农村公路路网结构和路况，加强鹿泉生态交通建设，提高公路运行质量，提升农村公路服务民生水平。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绩效指标：按期完成农村公路建设的工程量；养护农村公路29条141.85平方米；路面、设施完好率及植被成活率均不低于90%；群众对项目实施效果的满意程度不低于90%；提升居民生活质量。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（3）交通综合执法管理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绩效目标：开展交通运输综合执法工作，治理超限运输，建设联合治超站宜安分站，维护道路安全设施，保障通行能力。</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绩效指标：有效治理超限超载，超限超载率不超过2%；保障公路安全设施完好；保障公路超限检测站正常运行。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（4）公共交通运输管理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通过实施公交站亭、站牌的维护保洁，方便群众出行，为市民提供舒适候车、乘车环境，提升城市形象；推进我区城乡客运公共服务均等化，强化农村客运安全运营；支持新能源汽车运营，维护我区出租车行业稳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绩效指标：维护保洁的公交站亭33座，维护保洁的公交站牌409块，形成常态化管理服务；具备通客车条件的乡镇和建制村的通车率达到100%；提高巡游出租车新能源车占比。</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（5）综合事务管理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绩效目标：对铁路环境安全隐患进行整治，保障铁路沿线两侧环境安全；支持城市实施国家综合货运枢纽补链强链项目，提高循环率、增强循环功能、减低循环成本。</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绩效指标：铁路沿线两侧500米范围内整治长度不少于77.75公里， 安全隐患整治率不低于95%；支持城市实施国家综合货运枢纽补链强链2个，新增或改扩建集疏路线项目3个，新增或改造综合货运枢纽项目2个，设备更新升级项目1个。</w:t>
      </w:r>
    </w:p>
    <w:p>
      <w:pPr>
        <w:adjustRightInd w:val="0"/>
        <w:snapToGrid w:val="0"/>
        <w:spacing w:line="560" w:lineRule="exact"/>
        <w:ind w:left="638" w:leftChars="304" w:firstLine="0" w:firstLineChars="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ascii="仿宋" w:hAnsi="仿宋" w:eastAsia="仿宋"/>
          <w:sz w:val="32"/>
          <w:szCs w:val="32"/>
        </w:rPr>
      </w:pPr>
      <w:r>
        <w:rPr>
          <w:rFonts w:hint="eastAsia" w:ascii="仿宋" w:hAnsi="仿宋" w:eastAsia="仿宋"/>
          <w:sz w:val="32"/>
          <w:szCs w:val="32"/>
        </w:rPr>
        <w:t xml:space="preserve">     </w:t>
      </w:r>
      <w:r>
        <w:rPr>
          <w:rFonts w:hint="eastAsia" w:ascii="仿宋_GB2312" w:hAnsi="仿宋_GB2312" w:eastAsia="仿宋_GB2312" w:cs="仿宋_GB2312"/>
          <w:b w:val="0"/>
          <w:bCs w:val="0"/>
          <w:sz w:val="32"/>
          <w:szCs w:val="32"/>
        </w:rPr>
        <w:t>为做好20</w:t>
      </w:r>
      <w:r>
        <w:rPr>
          <w:rFonts w:hint="eastAsia" w:ascii="仿宋_GB2312" w:hAnsi="仿宋_GB2312" w:eastAsia="仿宋_GB2312" w:cs="仿宋_GB2312"/>
          <w:b w:val="0"/>
          <w:bCs w:val="0"/>
          <w:sz w:val="32"/>
          <w:szCs w:val="32"/>
          <w:lang w:val="en-US" w:eastAsia="zh-CN"/>
        </w:rPr>
        <w:t>24</w:t>
      </w:r>
      <w:r>
        <w:rPr>
          <w:rFonts w:hint="eastAsia" w:ascii="仿宋_GB2312" w:hAnsi="仿宋_GB2312" w:eastAsia="仿宋_GB2312" w:cs="仿宋_GB2312"/>
          <w:b w:val="0"/>
          <w:bCs w:val="0"/>
          <w:sz w:val="32"/>
          <w:szCs w:val="32"/>
        </w:rPr>
        <w:t>年度</w:t>
      </w:r>
      <w:r>
        <w:rPr>
          <w:rFonts w:hint="eastAsia" w:ascii="仿宋_GB2312" w:hAnsi="仿宋_GB2312" w:eastAsia="仿宋_GB2312" w:cs="仿宋_GB2312"/>
          <w:b w:val="0"/>
          <w:bCs w:val="0"/>
          <w:sz w:val="32"/>
          <w:szCs w:val="32"/>
          <w:lang w:eastAsia="zh-CN"/>
        </w:rPr>
        <w:t>预算项目</w:t>
      </w:r>
      <w:r>
        <w:rPr>
          <w:rFonts w:hint="eastAsia" w:ascii="仿宋_GB2312" w:hAnsi="仿宋_GB2312" w:eastAsia="仿宋_GB2312" w:cs="仿宋_GB2312"/>
          <w:b w:val="0"/>
          <w:bCs w:val="0"/>
          <w:sz w:val="32"/>
          <w:szCs w:val="32"/>
        </w:rPr>
        <w:t>绩效自评工作，</w:t>
      </w:r>
      <w:r>
        <w:rPr>
          <w:rFonts w:hint="eastAsia" w:ascii="仿宋_GB2312" w:hAnsi="仿宋_GB2312" w:eastAsia="仿宋_GB2312" w:cs="仿宋_GB2312"/>
          <w:b w:val="0"/>
          <w:bCs w:val="0"/>
          <w:sz w:val="32"/>
          <w:szCs w:val="32"/>
          <w:lang w:eastAsia="zh-CN"/>
        </w:rPr>
        <w:t>我部门</w:t>
      </w:r>
      <w:r>
        <w:rPr>
          <w:rFonts w:hint="eastAsia" w:ascii="仿宋_GB2312" w:hAnsi="仿宋_GB2312" w:eastAsia="仿宋_GB2312" w:cs="仿宋_GB2312"/>
          <w:b w:val="0"/>
          <w:bCs w:val="0"/>
          <w:sz w:val="32"/>
          <w:szCs w:val="32"/>
        </w:rPr>
        <w:t>各单位分别研究制定工作实施方案，成立绩效评价工作领导小组，统筹谋划、精心组织，对202</w:t>
      </w:r>
      <w:r>
        <w:rPr>
          <w:rFonts w:hint="eastAsia" w:ascii="仿宋_GB2312" w:hAnsi="仿宋_GB2312" w:eastAsia="仿宋_GB2312" w:cs="仿宋_GB2312"/>
          <w:b w:val="0"/>
          <w:bCs w:val="0"/>
          <w:sz w:val="32"/>
          <w:szCs w:val="32"/>
          <w:lang w:val="en-US" w:eastAsia="zh-CN"/>
        </w:rPr>
        <w:t>4</w:t>
      </w:r>
      <w:r>
        <w:rPr>
          <w:rFonts w:hint="eastAsia" w:ascii="仿宋_GB2312" w:hAnsi="仿宋_GB2312" w:eastAsia="仿宋_GB2312" w:cs="仿宋_GB2312"/>
          <w:b w:val="0"/>
          <w:bCs w:val="0"/>
          <w:sz w:val="32"/>
          <w:szCs w:val="32"/>
        </w:rPr>
        <w:t>年度资金进行了全面梳理，明确了评价项目内容和具体职责分工。</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val="0"/>
          <w:bCs w:val="0"/>
          <w:sz w:val="32"/>
          <w:szCs w:val="32"/>
        </w:rPr>
        <w:t>各单位对照年初确定的绩效目标、指标和评价标准，结合项目完成情况，对202</w:t>
      </w:r>
      <w:r>
        <w:rPr>
          <w:rFonts w:hint="eastAsia" w:ascii="仿宋_GB2312" w:hAnsi="仿宋_GB2312" w:eastAsia="仿宋_GB2312" w:cs="仿宋_GB2312"/>
          <w:b w:val="0"/>
          <w:bCs w:val="0"/>
          <w:sz w:val="32"/>
          <w:szCs w:val="32"/>
          <w:lang w:val="en-US" w:eastAsia="zh-CN"/>
        </w:rPr>
        <w:t>4</w:t>
      </w:r>
      <w:r>
        <w:rPr>
          <w:rFonts w:hint="eastAsia" w:ascii="仿宋_GB2312" w:hAnsi="仿宋_GB2312" w:eastAsia="仿宋_GB2312" w:cs="仿宋_GB2312"/>
          <w:b w:val="0"/>
          <w:bCs w:val="0"/>
          <w:sz w:val="32"/>
          <w:szCs w:val="32"/>
        </w:rPr>
        <w:t>年度</w:t>
      </w:r>
      <w:r>
        <w:rPr>
          <w:rFonts w:hint="eastAsia" w:ascii="仿宋_GB2312" w:hAnsi="仿宋_GB2312" w:eastAsia="仿宋_GB2312" w:cs="仿宋_GB2312"/>
          <w:b w:val="0"/>
          <w:bCs w:val="0"/>
          <w:sz w:val="32"/>
          <w:szCs w:val="32"/>
          <w:lang w:eastAsia="zh-CN"/>
        </w:rPr>
        <w:t>预算项目</w:t>
      </w:r>
      <w:r>
        <w:rPr>
          <w:rFonts w:hint="eastAsia" w:ascii="仿宋_GB2312" w:hAnsi="仿宋_GB2312" w:eastAsia="仿宋_GB2312" w:cs="仿宋_GB2312"/>
          <w:b w:val="0"/>
          <w:bCs w:val="0"/>
          <w:sz w:val="32"/>
          <w:szCs w:val="32"/>
        </w:rPr>
        <w:t>逐项进行了绩效自评，形成绩效自评报告。评价过程中各单位对各项目的支出情况进行了分析，同时查看相关文件，严格按照项目计划和规定用途专款专用，并严格按照会计法律法规及公司规定的制度执行，自评过程科学合理，结果公平、公正。</w:t>
      </w:r>
    </w:p>
    <w:p>
      <w:pPr>
        <w:spacing w:line="560" w:lineRule="exact"/>
        <w:ind w:firstLine="640" w:firstLineChars="200"/>
        <w:rPr>
          <w:rFonts w:ascii="黑体" w:hAnsi="黑体" w:eastAsia="黑体"/>
          <w:b/>
          <w:bCs/>
          <w:sz w:val="32"/>
          <w:szCs w:val="32"/>
        </w:rPr>
      </w:pPr>
      <w:r>
        <w:rPr>
          <w:rFonts w:hint="eastAsia" w:ascii="黑体" w:hAnsi="黑体" w:eastAsia="黑体"/>
          <w:sz w:val="32"/>
          <w:szCs w:val="32"/>
          <w:lang w:val="en-US" w:eastAsia="zh-CN"/>
        </w:rPr>
        <w:t>三、</w:t>
      </w:r>
      <w:r>
        <w:rPr>
          <w:rFonts w:hint="eastAsia" w:ascii="黑体" w:hAnsi="黑体" w:eastAsia="黑体"/>
          <w:sz w:val="32"/>
          <w:szCs w:val="32"/>
        </w:rPr>
        <w:t>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完成了对国省干线道路、农村公路道路建设养护，加强大气污染治理，优化和改善公路路网结构和路况，改善道路通行环境，有效提升鹿泉生态交通建设。行业管理得到加强，保障了交通运输行业健康发展；通过开展交通运输综合执法工作，严格控制了超限超载率。通过行之有效的措施，确保公路辐射带动社会经济发展能力明显提升，不断增强人民群众获得感、幸福感、安全感。</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普通干线公路养护</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绩效目标：通过实施普通国省干线公路的预防性养护及沿线配套设施等的养护，路面完好率及植被成活率较高，提升了公路运行质量，国省干线公路保持良好的服务水平。</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highlight w:val="yellow"/>
          <w:lang w:eastAsia="zh-CN"/>
        </w:rPr>
      </w:pPr>
      <w:r>
        <w:rPr>
          <w:rFonts w:hint="eastAsia" w:ascii="仿宋_GB2312" w:hAnsi="仿宋_GB2312" w:eastAsia="仿宋_GB2312" w:cs="仿宋_GB2312"/>
          <w:sz w:val="32"/>
          <w:szCs w:val="32"/>
          <w:highlight w:val="none"/>
          <w:lang w:eastAsia="zh-CN"/>
        </w:rPr>
        <w:t>绩效指标：</w:t>
      </w:r>
      <w:r>
        <w:rPr>
          <w:rFonts w:hint="eastAsia" w:ascii="仿宋_GB2312" w:hAnsi="仿宋_GB2312" w:eastAsia="仿宋_GB2312" w:cs="仿宋_GB2312"/>
          <w:sz w:val="32"/>
          <w:szCs w:val="32"/>
          <w:highlight w:val="none"/>
          <w:lang w:val="en-US" w:eastAsia="zh-CN"/>
        </w:rPr>
        <w:t>完成道路养护工程量327.97万平方米，达到养护道路12条，实际管护面积12.86万平方米，每天对道路进行养护4次，</w:t>
      </w:r>
      <w:r>
        <w:rPr>
          <w:rFonts w:hint="default" w:ascii="仿宋_GB2312" w:hAnsi="仿宋_GB2312" w:eastAsia="仿宋_GB2312" w:cs="仿宋_GB2312"/>
          <w:sz w:val="32"/>
          <w:szCs w:val="32"/>
          <w:highlight w:val="none"/>
          <w:lang w:val="en-US" w:eastAsia="zh-CN"/>
        </w:rPr>
        <w:t>按期完成国省干线桥梁共91座的检测，及时发现桥梁病害采取措施消除安全隐患。购置40.63吨融雪剂，国省干线全部播撒融雪剂，保证群众冬季出行顺畅</w:t>
      </w:r>
      <w:r>
        <w:rPr>
          <w:rFonts w:hint="eastAsia" w:ascii="仿宋_GB2312" w:hAnsi="仿宋_GB2312" w:eastAsia="仿宋_GB2312" w:cs="仿宋_GB2312"/>
          <w:sz w:val="32"/>
          <w:szCs w:val="32"/>
          <w:highlight w:val="none"/>
          <w:lang w:val="en-US" w:eastAsia="zh-CN"/>
        </w:rPr>
        <w:t>,</w:t>
      </w:r>
      <w:r>
        <w:rPr>
          <w:rFonts w:hint="default" w:ascii="仿宋_GB2312" w:hAnsi="仿宋_GB2312" w:eastAsia="仿宋_GB2312" w:cs="仿宋_GB2312"/>
          <w:sz w:val="32"/>
          <w:szCs w:val="32"/>
          <w:highlight w:val="none"/>
          <w:lang w:val="en-US" w:eastAsia="zh-CN"/>
        </w:rPr>
        <w:t>洗点场地建道路硬化工程量1850平米，保障城区空气质量，加强大气污染治理，降低大型货运车辆扬尘污染。在郑村支线、装院路、宜微线等土路肩较多的国省干线公路安装2496根示警桩</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b w:val="0"/>
          <w:bCs w:val="0"/>
          <w:sz w:val="32"/>
          <w:szCs w:val="32"/>
          <w:highlight w:val="none"/>
          <w:lang w:eastAsia="zh-CN"/>
        </w:rPr>
        <w:t>综合得分为</w:t>
      </w:r>
      <w:r>
        <w:rPr>
          <w:rFonts w:hint="eastAsia" w:ascii="仿宋_GB2312" w:hAnsi="仿宋_GB2312" w:eastAsia="仿宋_GB2312" w:cs="仿宋_GB2312"/>
          <w:b w:val="0"/>
          <w:bCs w:val="0"/>
          <w:sz w:val="32"/>
          <w:szCs w:val="32"/>
          <w:highlight w:val="none"/>
          <w:lang w:val="en-US" w:eastAsia="zh-CN"/>
        </w:rPr>
        <w:t>96分。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农村公路建设养护</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绩效目标：通过实施农村公路改建工程、大中修工程和日常养护，农村公路路网结构和路况得到了优化和改善，鹿泉生态交通建设得到加强，提高了公路运行质量，提升了农村公路服务民生水平。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绩效指标：</w:t>
      </w:r>
      <w:r>
        <w:rPr>
          <w:rFonts w:hint="default" w:ascii="仿宋_GB2312" w:hAnsi="仿宋_GB2312" w:eastAsia="仿宋_GB2312" w:cs="仿宋_GB2312"/>
          <w:sz w:val="32"/>
          <w:szCs w:val="32"/>
          <w:lang w:val="en-US" w:eastAsia="zh-CN"/>
        </w:rPr>
        <w:t>完成</w:t>
      </w:r>
      <w:r>
        <w:rPr>
          <w:rFonts w:hint="eastAsia" w:ascii="仿宋_GB2312" w:hAnsi="仿宋_GB2312" w:eastAsia="仿宋_GB2312" w:cs="仿宋_GB2312"/>
          <w:sz w:val="32"/>
          <w:szCs w:val="32"/>
          <w:lang w:val="en-US" w:eastAsia="zh-CN"/>
        </w:rPr>
        <w:t>29</w:t>
      </w:r>
      <w:r>
        <w:rPr>
          <w:rFonts w:hint="default" w:ascii="仿宋_GB2312" w:hAnsi="仿宋_GB2312" w:eastAsia="仿宋_GB2312" w:cs="仿宋_GB2312"/>
          <w:sz w:val="32"/>
          <w:szCs w:val="32"/>
          <w:lang w:val="en-US" w:eastAsia="zh-CN"/>
        </w:rPr>
        <w:t>条农村公路近1418532.7平米道路日常养护，提升公路运行质量，</w:t>
      </w:r>
      <w:r>
        <w:rPr>
          <w:rFonts w:hint="eastAsia" w:ascii="仿宋_GB2312" w:hAnsi="仿宋_GB2312" w:eastAsia="仿宋_GB2312" w:cs="仿宋_GB2312"/>
          <w:sz w:val="32"/>
          <w:szCs w:val="32"/>
          <w:lang w:val="en-US" w:eastAsia="zh-CN"/>
        </w:rPr>
        <w:t>保证我区农村公路养护，防止货源车辆扬尘污染，改善空气环境质量，达到群众满意度</w:t>
      </w:r>
      <w:r>
        <w:rPr>
          <w:rFonts w:hint="default" w:ascii="仿宋_GB2312" w:hAnsi="仿宋_GB2312" w:eastAsia="仿宋_GB2312" w:cs="仿宋_GB2312"/>
          <w:sz w:val="32"/>
          <w:szCs w:val="32"/>
          <w:lang w:val="en-US" w:eastAsia="zh-CN"/>
        </w:rPr>
        <w:t>达到群众满意。</w:t>
      </w:r>
      <w:r>
        <w:rPr>
          <w:rFonts w:hint="eastAsia" w:ascii="仿宋_GB2312" w:hAnsi="仿宋_GB2312" w:eastAsia="仿宋_GB2312" w:cs="仿宋_GB2312"/>
          <w:sz w:val="32"/>
          <w:szCs w:val="32"/>
          <w:lang w:eastAsia="zh-CN"/>
        </w:rPr>
        <w:t>植被成活绿达95%，桥梁结构安全事故发生0座，周边环境得以改善，促进的当地经济的发展，涉及修建道路长期使用年限均达到8年以上。</w:t>
      </w:r>
      <w:r>
        <w:rPr>
          <w:rFonts w:hint="eastAsia" w:ascii="仿宋_GB2312" w:hAnsi="仿宋_GB2312" w:eastAsia="仿宋_GB2312" w:cs="仿宋_GB2312"/>
          <w:sz w:val="32"/>
          <w:szCs w:val="32"/>
          <w:highlight w:val="none"/>
          <w:lang w:eastAsia="zh-CN"/>
        </w:rPr>
        <w:t>综合得分为</w:t>
      </w:r>
      <w:r>
        <w:rPr>
          <w:rFonts w:hint="eastAsia" w:ascii="仿宋_GB2312" w:hAnsi="仿宋_GB2312" w:eastAsia="仿宋_GB2312" w:cs="仿宋_GB2312"/>
          <w:sz w:val="32"/>
          <w:szCs w:val="32"/>
          <w:highlight w:val="none"/>
          <w:lang w:val="en-US" w:eastAsia="zh-CN"/>
        </w:rPr>
        <w:t>100</w:t>
      </w:r>
      <w:r>
        <w:rPr>
          <w:rFonts w:hint="eastAsia" w:ascii="仿宋_GB2312" w:hAnsi="仿宋_GB2312" w:eastAsia="仿宋_GB2312" w:cs="仿宋_GB2312"/>
          <w:sz w:val="32"/>
          <w:szCs w:val="32"/>
          <w:highlight w:val="none"/>
          <w:lang w:eastAsia="zh-CN"/>
        </w:rPr>
        <w:t>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3、交通综合执法管理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绩效目标：开展交通运输综合执法工作，有效治理了超限运输，道路安全设施维护良好，保障了通行能力。</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绩效指标：保障307洗车场正常运行的运转，每月保障管辖范围内公路警示设施的完好数量占全部管理设施数量的比率大于</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lang w:eastAsia="zh-CN"/>
        </w:rPr>
        <w:t>宜安分站建成不停车预检车道</w:t>
      </w:r>
      <w:r>
        <w:rPr>
          <w:rFonts w:hint="eastAsia" w:ascii="仿宋_GB2312" w:hAnsi="仿宋_GB2312" w:eastAsia="仿宋_GB2312" w:cs="仿宋_GB2312"/>
          <w:sz w:val="32"/>
          <w:szCs w:val="32"/>
          <w:lang w:val="en-US" w:eastAsia="zh-CN"/>
        </w:rPr>
        <w:t>2条，</w:t>
      </w:r>
      <w:r>
        <w:rPr>
          <w:rFonts w:hint="eastAsia" w:ascii="仿宋_GB2312" w:hAnsi="仿宋_GB2312" w:eastAsia="仿宋_GB2312" w:cs="仿宋_GB2312"/>
          <w:sz w:val="32"/>
          <w:szCs w:val="32"/>
          <w:lang w:eastAsia="zh-CN"/>
        </w:rPr>
        <w:t>有效治理超限超载，超限超载率不超过2%；保障公路安全设施完好；保障公路超限检测站正常运行。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公共交通运输管理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val="en-US" w:eastAsia="zh-CN"/>
        </w:rPr>
        <w:t>绩效目标：通过实施公交站亭、站牌的维护保洁，方便群众出行，为市民提供舒适候车、乘车环境，提升城市形象；推进我区城乡客运公共服务均等化，强化农村客运安全运营；支持新能源汽车运营，维护我区出租车行业稳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绩效目标：</w:t>
      </w:r>
      <w:r>
        <w:rPr>
          <w:rFonts w:hint="default" w:ascii="仿宋_GB2312" w:hAnsi="仿宋_GB2312" w:eastAsia="仿宋_GB2312" w:cs="仿宋_GB2312"/>
          <w:sz w:val="32"/>
          <w:szCs w:val="32"/>
          <w:lang w:val="en-US" w:eastAsia="zh-CN"/>
        </w:rPr>
        <w:t>对我区主城区以外的409块公交站牌和33座公交站亭进行维护保洁，进一步完善全区环境卫生，助力卫生城市创建，形成常态化管</w:t>
      </w:r>
      <w:r>
        <w:rPr>
          <w:rFonts w:hint="eastAsia" w:ascii="仿宋_GB2312" w:hAnsi="仿宋_GB2312" w:eastAsia="仿宋_GB2312" w:cs="仿宋_GB2312"/>
          <w:sz w:val="32"/>
          <w:szCs w:val="32"/>
          <w:lang w:val="en-US" w:eastAsia="zh-CN"/>
        </w:rPr>
        <w:t>理；</w:t>
      </w:r>
      <w:r>
        <w:rPr>
          <w:rFonts w:hint="default" w:ascii="仿宋_GB2312" w:hAnsi="仿宋_GB2312" w:eastAsia="仿宋_GB2312" w:cs="仿宋_GB2312"/>
          <w:sz w:val="32"/>
          <w:szCs w:val="32"/>
          <w:lang w:val="en-US" w:eastAsia="zh-CN"/>
        </w:rPr>
        <w:t>在规定时间内及时处理乘客投诉，及时解决乘客投诉问题，达到乘客满意；每月对我区180家运输企业进行安全生产检查，对发现安全问题的企业及时整改；对生产经营单位主要负责人和安全生产管理人员每年进行培训；通过对运输车辆动态监管与服务平台建设实时监控并提醒纠正车辆驾驶员违规驾驶。对巡游出租车进行运营补贴，维护出租行业稳定。推进城乡客运公共服务均等化，强化农村客运安全运营，为人民群众提供安全、便捷出行服务。</w:t>
      </w:r>
      <w:r>
        <w:rPr>
          <w:rFonts w:hint="eastAsia" w:ascii="仿宋_GB2312" w:hAnsi="仿宋_GB2312" w:eastAsia="仿宋_GB2312" w:cs="仿宋_GB2312"/>
          <w:sz w:val="32"/>
          <w:szCs w:val="32"/>
          <w:lang w:val="en-US" w:eastAsia="zh-CN"/>
        </w:rPr>
        <w:t>推进我区19辆农村客运车辆城乡客运公共服务均等化，强化农村客运安全运营。</w:t>
      </w:r>
      <w:r>
        <w:rPr>
          <w:rFonts w:hint="eastAsia" w:ascii="仿宋_GB2312" w:hAnsi="仿宋_GB2312" w:eastAsia="仿宋_GB2312" w:cs="仿宋_GB2312"/>
          <w:b w:val="0"/>
          <w:bCs w:val="0"/>
          <w:sz w:val="32"/>
          <w:szCs w:val="32"/>
          <w:highlight w:val="none"/>
          <w:lang w:eastAsia="zh-CN"/>
        </w:rPr>
        <w:t>综合得分为</w:t>
      </w:r>
      <w:r>
        <w:rPr>
          <w:rFonts w:hint="eastAsia" w:ascii="仿宋_GB2312" w:hAnsi="仿宋_GB2312" w:eastAsia="仿宋_GB2312" w:cs="仿宋_GB2312"/>
          <w:b w:val="0"/>
          <w:bCs w:val="0"/>
          <w:sz w:val="32"/>
          <w:szCs w:val="32"/>
          <w:highlight w:val="none"/>
          <w:lang w:val="en-US" w:eastAsia="zh-CN"/>
        </w:rPr>
        <w:t>100分。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lang w:eastAsia="zh-CN"/>
        </w:rPr>
        <w:t>综合事务管理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绩效目标：对铁路环境安全隐患进行整治，保障铁路沿线两侧环境安全；完成山前大道PPP项目委托跟踪审计和最终审计工作。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绩效指标：铁路沿线两侧500米范围内整治长度不少于77.75公里，安全隐患整治率为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lang w:eastAsia="zh-CN"/>
        </w:rPr>
        <w:t>%；已出具6篇山前大道PPP项目委托跟踪审计报告、2本最终审计报告，确保山前大道总投资合理，准确，为支付可用性服务费提供了准确金额。</w:t>
      </w:r>
      <w:r>
        <w:rPr>
          <w:rFonts w:hint="eastAsia" w:ascii="仿宋_GB2312" w:hAnsi="仿宋_GB2312" w:eastAsia="仿宋_GB2312" w:cs="仿宋_GB2312"/>
          <w:b w:val="0"/>
          <w:bCs w:val="0"/>
          <w:sz w:val="32"/>
          <w:szCs w:val="32"/>
          <w:lang w:eastAsia="zh-CN"/>
        </w:rPr>
        <w:t>综合得分为</w:t>
      </w:r>
      <w:r>
        <w:rPr>
          <w:rFonts w:hint="eastAsia" w:ascii="仿宋_GB2312" w:hAnsi="仿宋_GB2312" w:eastAsia="仿宋_GB2312" w:cs="仿宋_GB2312"/>
          <w:b w:val="0"/>
          <w:bCs w:val="0"/>
          <w:sz w:val="32"/>
          <w:szCs w:val="32"/>
          <w:lang w:val="en-US" w:eastAsia="zh-CN"/>
        </w:rPr>
        <w:t>99分。</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pageBreakBefore w:val="0"/>
        <w:kinsoku/>
        <w:wordWrap/>
        <w:overflowPunct/>
        <w:topLinePunct w:val="0"/>
        <w:autoSpaceDE/>
        <w:autoSpaceDN/>
        <w:bidi w:val="0"/>
        <w:spacing w:line="560" w:lineRule="exact"/>
        <w:ind w:firstLine="640" w:firstLineChars="200"/>
        <w:rPr>
          <w:rFonts w:ascii="仿宋" w:hAnsi="仿宋" w:eastAsia="仿宋"/>
          <w:sz w:val="32"/>
          <w:szCs w:val="32"/>
          <w:highlight w:val="none"/>
        </w:rPr>
      </w:pPr>
      <w:r>
        <w:rPr>
          <w:rFonts w:hint="eastAsia" w:ascii="仿宋_GB2312" w:hAnsi="仿宋_GB2312" w:eastAsia="仿宋_GB2312" w:cs="仿宋_GB2312"/>
          <w:sz w:val="32"/>
          <w:szCs w:val="32"/>
          <w:highlight w:val="none"/>
        </w:rPr>
        <w:t>根据部门职责定位和各项工作履职情况进行综合评价，</w:t>
      </w:r>
      <w:r>
        <w:rPr>
          <w:rFonts w:hint="eastAsia" w:ascii="仿宋_GB2312" w:hAnsi="仿宋_GB2312" w:eastAsia="仿宋_GB2312" w:cs="仿宋_GB2312"/>
          <w:sz w:val="32"/>
          <w:szCs w:val="32"/>
          <w:highlight w:val="none"/>
          <w:lang w:val="en-US" w:eastAsia="zh-CN"/>
        </w:rPr>
        <w:t>2024年预算项目绩效自评得分为97</w:t>
      </w:r>
      <w:r>
        <w:rPr>
          <w:rFonts w:hint="eastAsia" w:ascii="仿宋_GB2312" w:hAnsi="仿宋_GB2312" w:eastAsia="仿宋_GB2312" w:cs="仿宋_GB2312"/>
          <w:sz w:val="32"/>
          <w:szCs w:val="32"/>
          <w:highlight w:val="none"/>
        </w:rPr>
        <w:t>分，综合绩效评价等级</w:t>
      </w:r>
      <w:r>
        <w:rPr>
          <w:rFonts w:hint="eastAsia" w:ascii="仿宋_GB2312" w:hAnsi="仿宋_GB2312" w:eastAsia="仿宋_GB2312" w:cs="仿宋_GB2312"/>
          <w:sz w:val="32"/>
          <w:szCs w:val="32"/>
          <w:highlight w:val="none"/>
          <w:lang w:eastAsia="zh-CN"/>
        </w:rPr>
        <w:t>为优秀</w:t>
      </w:r>
      <w:r>
        <w:rPr>
          <w:rFonts w:hint="eastAsia" w:ascii="仿宋_GB2312" w:hAnsi="仿宋_GB2312" w:eastAsia="仿宋_GB2312" w:cs="仿宋_GB2312"/>
          <w:sz w:val="32"/>
          <w:szCs w:val="32"/>
          <w:highlight w:val="none"/>
        </w:rPr>
        <w:t>。</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pageBreakBefore w:val="0"/>
        <w:kinsoku/>
        <w:wordWrap/>
        <w:overflowPunct/>
        <w:topLinePunct w:val="0"/>
        <w:autoSpaceDE/>
        <w:autoSpaceDN/>
        <w:bidi w:val="0"/>
        <w:adjustRightInd w:val="0"/>
        <w:snapToGrid w:val="0"/>
        <w:spacing w:line="560" w:lineRule="exact"/>
        <w:ind w:firstLine="640" w:firstLineChars="200"/>
        <w:rPr>
          <w:rFonts w:hint="eastAsia" w:ascii="楷体" w:hAnsi="楷体" w:eastAsia="楷体"/>
          <w:bCs/>
          <w:sz w:val="32"/>
          <w:szCs w:val="32"/>
        </w:rPr>
      </w:pPr>
      <w:r>
        <w:rPr>
          <w:rFonts w:hint="eastAsia" w:ascii="仿宋_GB2312" w:hAnsi="仿宋_GB2312" w:eastAsia="仿宋_GB2312" w:cs="仿宋_GB2312"/>
          <w:sz w:val="32"/>
          <w:szCs w:val="32"/>
        </w:rPr>
        <w:t>通过绩效自评结果对比年初绩效目标设定情况看，年初设定的绩效目标整体清晰准确，绩效指标全面完整、科学合理，绩效标准恰当适宜、易于评价。但是</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部分指标设定</w:t>
      </w:r>
      <w:r>
        <w:rPr>
          <w:rFonts w:hint="eastAsia" w:ascii="仿宋_GB2312" w:hAnsi="仿宋_GB2312" w:eastAsia="仿宋_GB2312" w:cs="仿宋_GB2312"/>
          <w:sz w:val="32"/>
          <w:szCs w:val="32"/>
          <w:lang w:eastAsia="zh-CN"/>
        </w:rPr>
        <w:t>不够合理，</w:t>
      </w:r>
      <w:r>
        <w:rPr>
          <w:rFonts w:hint="eastAsia" w:ascii="仿宋_GB2312" w:hAnsi="仿宋_GB2312" w:eastAsia="仿宋_GB2312" w:cs="仿宋_GB2312"/>
          <w:sz w:val="32"/>
          <w:szCs w:val="32"/>
        </w:rPr>
        <w:t>应结合项目实际情况</w:t>
      </w:r>
      <w:r>
        <w:rPr>
          <w:rFonts w:hint="eastAsia" w:ascii="仿宋_GB2312" w:hAnsi="仿宋_GB2312" w:eastAsia="仿宋_GB2312" w:cs="仿宋_GB2312"/>
          <w:sz w:val="32"/>
          <w:szCs w:val="32"/>
          <w:lang w:eastAsia="zh-CN"/>
        </w:rPr>
        <w:t>分别</w:t>
      </w:r>
      <w:r>
        <w:rPr>
          <w:rFonts w:hint="eastAsia" w:ascii="仿宋_GB2312" w:hAnsi="仿宋_GB2312" w:eastAsia="仿宋_GB2312" w:cs="仿宋_GB2312"/>
          <w:sz w:val="32"/>
          <w:szCs w:val="32"/>
        </w:rPr>
        <w:t>设定分数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设定指标。</w:t>
      </w:r>
    </w:p>
    <w:p>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合理设置绩效目标，突出预算编制环节绩效导向，从源头上提高预算编制的科学性和精准性，做好</w:t>
      </w:r>
      <w:r>
        <w:rPr>
          <w:rFonts w:hint="eastAsia" w:ascii="仿宋_GB2312" w:hAnsi="仿宋_GB2312" w:eastAsia="仿宋_GB2312" w:cs="仿宋_GB2312"/>
          <w:bCs/>
          <w:sz w:val="32"/>
          <w:szCs w:val="32"/>
          <w:lang w:eastAsia="zh-CN"/>
        </w:rPr>
        <w:t>以后年度</w:t>
      </w:r>
      <w:r>
        <w:rPr>
          <w:rFonts w:hint="eastAsia" w:ascii="仿宋_GB2312" w:hAnsi="仿宋_GB2312" w:eastAsia="仿宋_GB2312" w:cs="仿宋_GB2312"/>
          <w:bCs/>
          <w:sz w:val="32"/>
          <w:szCs w:val="32"/>
        </w:rPr>
        <w:t>预算项目绩效目标管理</w:t>
      </w:r>
      <w:r>
        <w:rPr>
          <w:rFonts w:hint="eastAsia" w:ascii="仿宋_GB2312" w:hAnsi="仿宋_GB2312" w:eastAsia="仿宋_GB2312" w:cs="仿宋_GB2312"/>
          <w:bCs/>
          <w:sz w:val="32"/>
          <w:szCs w:val="32"/>
          <w:lang w:eastAsia="zh-CN"/>
        </w:rPr>
        <w:t>，同时</w:t>
      </w:r>
      <w:r>
        <w:rPr>
          <w:rFonts w:hint="eastAsia" w:ascii="仿宋_GB2312" w:hAnsi="仿宋_GB2312" w:eastAsia="仿宋_GB2312" w:cs="仿宋_GB2312"/>
          <w:bCs/>
          <w:sz w:val="32"/>
          <w:szCs w:val="32"/>
        </w:rPr>
        <w:t>强化评价结果应用，逐步形成反馈、整改、提升绩效的良性循环。</w:t>
      </w:r>
    </w:p>
    <w:p>
      <w:pPr>
        <w:pageBreakBefore w:val="0"/>
        <w:kinsoku/>
        <w:wordWrap/>
        <w:overflowPunct/>
        <w:topLinePunct w:val="0"/>
        <w:autoSpaceDE/>
        <w:autoSpaceDN/>
        <w:bidi w:val="0"/>
        <w:spacing w:line="560" w:lineRule="exact"/>
        <w:ind w:firstLine="640" w:firstLineChars="200"/>
        <w:rPr>
          <w:rFonts w:hint="eastAsia" w:ascii="楷体" w:hAnsi="楷体" w:eastAsia="楷体"/>
          <w:bCs/>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建议组织相关部门人员统一进行培训，提高绩效评价报告的编报水平。同时规范</w:t>
      </w:r>
      <w:r>
        <w:rPr>
          <w:rFonts w:hint="eastAsia" w:ascii="仿宋_GB2312" w:hAnsi="仿宋_GB2312" w:eastAsia="仿宋_GB2312" w:cs="仿宋_GB2312"/>
          <w:sz w:val="32"/>
          <w:szCs w:val="32"/>
          <w:lang w:eastAsia="zh-CN"/>
        </w:rPr>
        <w:t>各预算</w:t>
      </w:r>
      <w:r>
        <w:rPr>
          <w:rFonts w:hint="eastAsia" w:ascii="仿宋_GB2312" w:hAnsi="仿宋_GB2312" w:eastAsia="仿宋_GB2312" w:cs="仿宋_GB2312"/>
          <w:sz w:val="32"/>
          <w:szCs w:val="32"/>
        </w:rPr>
        <w:t>项目指标、完善</w:t>
      </w:r>
      <w:r>
        <w:rPr>
          <w:rFonts w:hint="eastAsia" w:ascii="仿宋_GB2312" w:hAnsi="仿宋_GB2312" w:eastAsia="仿宋_GB2312" w:cs="仿宋_GB2312"/>
          <w:sz w:val="32"/>
          <w:szCs w:val="32"/>
          <w:lang w:eastAsia="zh-CN"/>
        </w:rPr>
        <w:t>特殊项目的</w:t>
      </w:r>
      <w:r>
        <w:rPr>
          <w:rFonts w:hint="eastAsia" w:ascii="仿宋_GB2312" w:hAnsi="仿宋_GB2312" w:eastAsia="仿宋_GB2312" w:cs="仿宋_GB2312"/>
          <w:sz w:val="32"/>
          <w:szCs w:val="32"/>
        </w:rPr>
        <w:t>评价指标，以期合理对</w:t>
      </w:r>
      <w:r>
        <w:rPr>
          <w:rFonts w:hint="eastAsia" w:ascii="仿宋_GB2312" w:hAnsi="仿宋_GB2312" w:eastAsia="仿宋_GB2312" w:cs="仿宋_GB2312"/>
          <w:sz w:val="32"/>
          <w:szCs w:val="32"/>
          <w:lang w:eastAsia="zh-CN"/>
        </w:rPr>
        <w:t>预算</w:t>
      </w:r>
      <w:r>
        <w:rPr>
          <w:rFonts w:hint="eastAsia" w:ascii="仿宋_GB2312" w:hAnsi="仿宋_GB2312" w:eastAsia="仿宋_GB2312" w:cs="仿宋_GB2312"/>
          <w:sz w:val="32"/>
          <w:szCs w:val="32"/>
        </w:rPr>
        <w:t>项目进行评价</w:t>
      </w:r>
      <w:r>
        <w:rPr>
          <w:rFonts w:hint="eastAsia" w:ascii="仿宋_GB2312" w:hAnsi="仿宋_GB2312" w:eastAsia="仿宋_GB2312" w:cs="仿宋_GB2312"/>
          <w:sz w:val="32"/>
          <w:szCs w:val="32"/>
          <w:lang w:eastAsia="zh-CN"/>
        </w:rPr>
        <w:t>。</w:t>
      </w:r>
    </w:p>
    <w:p>
      <w:p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六、评价工作组人员名单</w:t>
      </w:r>
    </w:p>
    <w:p>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焦</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柳</w:t>
      </w:r>
      <w:r>
        <w:rPr>
          <w:rFonts w:hint="eastAsia" w:ascii="仿宋_GB2312" w:hAnsi="仿宋_GB2312" w:eastAsia="仿宋_GB2312" w:cs="仿宋_GB2312"/>
          <w:sz w:val="32"/>
          <w:szCs w:val="32"/>
          <w:lang w:val="en-US" w:eastAsia="zh-CN"/>
        </w:rPr>
        <w:t xml:space="preserve">   局财务股负责人</w:t>
      </w:r>
    </w:p>
    <w:p>
      <w:pPr>
        <w:spacing w:line="360" w:lineRule="auto"/>
        <w:ind w:firstLine="640" w:firstLineChars="200"/>
        <w:jc w:val="left"/>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张佳欢   </w:t>
      </w:r>
      <w:r>
        <w:rPr>
          <w:rFonts w:hint="eastAsia" w:ascii="仿宋_GB2312" w:hAnsi="仿宋_GB2312" w:eastAsia="仿宋_GB2312" w:cs="仿宋_GB2312"/>
          <w:sz w:val="32"/>
          <w:szCs w:val="32"/>
          <w:lang w:val="en-US" w:eastAsia="zh-CN"/>
        </w:rPr>
        <w:t>局</w:t>
      </w:r>
      <w:r>
        <w:rPr>
          <w:rFonts w:hint="eastAsia" w:ascii="仿宋_GB2312" w:eastAsia="仿宋_GB2312"/>
          <w:sz w:val="32"/>
          <w:szCs w:val="32"/>
          <w:lang w:val="en-US" w:eastAsia="zh-CN"/>
        </w:rPr>
        <w:t>办公室主任</w:t>
      </w:r>
    </w:p>
    <w:p>
      <w:pPr>
        <w:spacing w:line="360" w:lineRule="auto"/>
        <w:ind w:firstLine="640" w:firstLineChars="200"/>
        <w:jc w:val="left"/>
        <w:rPr>
          <w:rFonts w:hint="eastAsia" w:ascii="仿宋_GB2312" w:eastAsia="仿宋_GB2312"/>
          <w:sz w:val="32"/>
          <w:szCs w:val="32"/>
          <w:lang w:val="en-US" w:eastAsia="zh-CN"/>
        </w:rPr>
      </w:pPr>
      <w:r>
        <w:rPr>
          <w:rFonts w:hint="eastAsia" w:ascii="仿宋_GB2312" w:eastAsia="仿宋_GB2312"/>
          <w:sz w:val="32"/>
          <w:szCs w:val="32"/>
          <w:highlight w:val="none"/>
          <w:lang w:val="en-US" w:eastAsia="zh-CN"/>
        </w:rPr>
        <w:t xml:space="preserve">王立娜   </w:t>
      </w:r>
      <w:r>
        <w:rPr>
          <w:rFonts w:hint="eastAsia" w:ascii="仿宋_GB2312" w:hAnsi="仿宋_GB2312" w:eastAsia="仿宋_GB2312" w:cs="仿宋_GB2312"/>
          <w:sz w:val="32"/>
          <w:szCs w:val="32"/>
          <w:lang w:val="en-US" w:eastAsia="zh-CN"/>
        </w:rPr>
        <w:t>局</w:t>
      </w:r>
      <w:r>
        <w:rPr>
          <w:rFonts w:hint="eastAsia" w:ascii="仿宋_GB2312" w:eastAsia="仿宋_GB2312"/>
          <w:sz w:val="32"/>
          <w:szCs w:val="32"/>
          <w:highlight w:val="none"/>
          <w:lang w:val="en-US" w:eastAsia="zh-CN"/>
        </w:rPr>
        <w:t>工</w:t>
      </w:r>
      <w:r>
        <w:rPr>
          <w:rFonts w:hint="eastAsia" w:ascii="仿宋_GB2312" w:eastAsia="仿宋_GB2312"/>
          <w:sz w:val="32"/>
          <w:szCs w:val="32"/>
          <w:lang w:val="en-US" w:eastAsia="zh-CN"/>
        </w:rPr>
        <w:t>程股负责人</w:t>
      </w:r>
    </w:p>
    <w:p>
      <w:pPr>
        <w:spacing w:line="360" w:lineRule="auto"/>
        <w:ind w:firstLine="640" w:firstLineChars="20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李  勇   </w:t>
      </w:r>
      <w:r>
        <w:rPr>
          <w:rFonts w:hint="eastAsia" w:ascii="仿宋_GB2312" w:hAnsi="仿宋_GB2312" w:eastAsia="仿宋_GB2312" w:cs="仿宋_GB2312"/>
          <w:sz w:val="32"/>
          <w:szCs w:val="32"/>
          <w:lang w:val="en-US" w:eastAsia="zh-CN"/>
        </w:rPr>
        <w:t>局</w:t>
      </w:r>
      <w:r>
        <w:rPr>
          <w:rFonts w:hint="eastAsia" w:ascii="仿宋_GB2312" w:eastAsia="仿宋_GB2312"/>
          <w:sz w:val="32"/>
          <w:szCs w:val="32"/>
          <w:lang w:val="en-US" w:eastAsia="zh-CN"/>
        </w:rPr>
        <w:t>政策法规股负责人</w:t>
      </w:r>
    </w:p>
    <w:p>
      <w:pPr>
        <w:spacing w:line="360" w:lineRule="auto"/>
        <w:ind w:firstLine="640" w:firstLineChars="20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张  霞   </w:t>
      </w:r>
      <w:r>
        <w:rPr>
          <w:rFonts w:hint="eastAsia" w:ascii="仿宋_GB2312" w:hAnsi="仿宋_GB2312" w:eastAsia="仿宋_GB2312" w:cs="仿宋_GB2312"/>
          <w:sz w:val="32"/>
          <w:szCs w:val="32"/>
          <w:lang w:val="en-US" w:eastAsia="zh-CN"/>
        </w:rPr>
        <w:t>局</w:t>
      </w:r>
      <w:r>
        <w:rPr>
          <w:rFonts w:hint="eastAsia" w:ascii="仿宋_GB2312" w:eastAsia="仿宋_GB2312"/>
          <w:sz w:val="32"/>
          <w:szCs w:val="32"/>
          <w:lang w:val="en-US" w:eastAsia="zh-CN"/>
        </w:rPr>
        <w:t>综规股负责人</w:t>
      </w:r>
    </w:p>
    <w:p>
      <w:pPr>
        <w:spacing w:line="360" w:lineRule="auto"/>
        <w:ind w:firstLine="640" w:firstLineChars="20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王晓亮   </w:t>
      </w:r>
      <w:r>
        <w:rPr>
          <w:rFonts w:hint="eastAsia" w:ascii="仿宋_GB2312" w:hAnsi="仿宋_GB2312" w:eastAsia="仿宋_GB2312" w:cs="仿宋_GB2312"/>
          <w:sz w:val="32"/>
          <w:szCs w:val="32"/>
          <w:lang w:val="en-US" w:eastAsia="zh-CN"/>
        </w:rPr>
        <w:t>局</w:t>
      </w:r>
      <w:r>
        <w:rPr>
          <w:rFonts w:hint="eastAsia" w:ascii="仿宋_GB2312" w:eastAsia="仿宋_GB2312"/>
          <w:sz w:val="32"/>
          <w:szCs w:val="32"/>
          <w:lang w:val="en-US" w:eastAsia="zh-CN"/>
        </w:rPr>
        <w:t>运输监督股股长</w:t>
      </w:r>
    </w:p>
    <w:p>
      <w:pPr>
        <w:spacing w:line="360" w:lineRule="auto"/>
        <w:ind w:firstLine="640" w:firstLineChars="20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张建军   </w:t>
      </w:r>
      <w:r>
        <w:rPr>
          <w:rFonts w:hint="eastAsia" w:ascii="仿宋_GB2312" w:hAnsi="仿宋_GB2312" w:eastAsia="仿宋_GB2312" w:cs="仿宋_GB2312"/>
          <w:sz w:val="32"/>
          <w:szCs w:val="32"/>
          <w:lang w:val="en-US" w:eastAsia="zh-CN"/>
        </w:rPr>
        <w:t>局</w:t>
      </w:r>
      <w:r>
        <w:rPr>
          <w:rFonts w:hint="eastAsia" w:ascii="仿宋_GB2312" w:eastAsia="仿宋_GB2312"/>
          <w:sz w:val="32"/>
          <w:szCs w:val="32"/>
          <w:lang w:val="en-US" w:eastAsia="zh-CN"/>
        </w:rPr>
        <w:t>招标办负责人</w:t>
      </w:r>
    </w:p>
    <w:p>
      <w:pPr>
        <w:spacing w:line="360" w:lineRule="auto"/>
        <w:ind w:firstLine="640" w:firstLineChars="20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司春朝   </w:t>
      </w:r>
      <w:r>
        <w:rPr>
          <w:rFonts w:hint="eastAsia" w:ascii="仿宋_GB2312" w:hAnsi="仿宋_GB2312" w:eastAsia="仿宋_GB2312" w:cs="仿宋_GB2312"/>
          <w:sz w:val="32"/>
          <w:szCs w:val="32"/>
          <w:lang w:val="en-US" w:eastAsia="zh-CN"/>
        </w:rPr>
        <w:t>局</w:t>
      </w:r>
      <w:r>
        <w:rPr>
          <w:rFonts w:hint="eastAsia" w:ascii="仿宋_GB2312" w:eastAsia="仿宋_GB2312"/>
          <w:sz w:val="32"/>
          <w:szCs w:val="32"/>
          <w:lang w:val="en-US" w:eastAsia="zh-CN"/>
        </w:rPr>
        <w:t>政工股负责人</w:t>
      </w:r>
    </w:p>
    <w:p>
      <w:pPr>
        <w:spacing w:line="360" w:lineRule="auto"/>
        <w:ind w:firstLine="640" w:firstLineChars="200"/>
        <w:jc w:val="left"/>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 xml:space="preserve">张  勇   </w:t>
      </w:r>
      <w:r>
        <w:rPr>
          <w:rFonts w:hint="eastAsia" w:ascii="仿宋_GB2312" w:hAnsi="仿宋_GB2312" w:eastAsia="仿宋_GB2312" w:cs="仿宋_GB2312"/>
          <w:sz w:val="32"/>
          <w:szCs w:val="32"/>
          <w:highlight w:val="none"/>
          <w:lang w:val="en-US" w:eastAsia="zh-CN"/>
        </w:rPr>
        <w:t>局</w:t>
      </w:r>
      <w:r>
        <w:rPr>
          <w:rFonts w:hint="eastAsia" w:ascii="仿宋_GB2312" w:eastAsia="仿宋_GB2312"/>
          <w:sz w:val="32"/>
          <w:szCs w:val="32"/>
          <w:highlight w:val="none"/>
          <w:lang w:val="en-US" w:eastAsia="zh-CN"/>
        </w:rPr>
        <w:t>大气办负责人</w:t>
      </w:r>
    </w:p>
    <w:p>
      <w:pPr>
        <w:spacing w:line="360" w:lineRule="auto"/>
        <w:ind w:firstLine="640" w:firstLineChars="200"/>
        <w:jc w:val="left"/>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 xml:space="preserve">左吉尚   </w:t>
      </w:r>
      <w:r>
        <w:rPr>
          <w:rFonts w:hint="eastAsia" w:ascii="仿宋_GB2312" w:hAnsi="仿宋_GB2312" w:eastAsia="仿宋_GB2312" w:cs="仿宋_GB2312"/>
          <w:sz w:val="32"/>
          <w:szCs w:val="32"/>
          <w:highlight w:val="none"/>
          <w:lang w:val="en-US" w:eastAsia="zh-CN"/>
        </w:rPr>
        <w:t>局</w:t>
      </w:r>
      <w:r>
        <w:rPr>
          <w:rFonts w:hint="eastAsia" w:ascii="仿宋_GB2312" w:eastAsia="仿宋_GB2312"/>
          <w:sz w:val="32"/>
          <w:szCs w:val="32"/>
          <w:highlight w:val="none"/>
          <w:lang w:val="en-US" w:eastAsia="zh-CN"/>
        </w:rPr>
        <w:t>督查室负责人</w:t>
      </w:r>
    </w:p>
    <w:p>
      <w:pPr>
        <w:spacing w:line="360" w:lineRule="auto"/>
        <w:ind w:firstLine="640" w:firstLineChars="200"/>
        <w:jc w:val="left"/>
        <w:rPr>
          <w:rFonts w:hint="default"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曹东亮   局路灯办负责人</w:t>
      </w:r>
    </w:p>
    <w:p>
      <w:pPr>
        <w:spacing w:line="360" w:lineRule="auto"/>
        <w:ind w:firstLine="640" w:firstLineChars="20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冯立军   综合执法大队书记</w:t>
      </w:r>
    </w:p>
    <w:p>
      <w:pPr>
        <w:spacing w:line="360" w:lineRule="auto"/>
        <w:ind w:firstLine="640" w:firstLineChars="20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尤晓龙   运输服务中心书记</w:t>
      </w:r>
    </w:p>
    <w:p>
      <w:pPr>
        <w:spacing w:line="360" w:lineRule="auto"/>
        <w:ind w:firstLine="640" w:firstLineChars="20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张  平   地方公路管理站书记</w:t>
      </w:r>
    </w:p>
    <w:p>
      <w:pPr>
        <w:spacing w:line="360" w:lineRule="auto"/>
        <w:ind w:firstLine="640" w:firstLineChars="20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杨立新   公路管理站书记</w:t>
      </w:r>
    </w:p>
    <w:p>
      <w:pPr>
        <w:spacing w:line="360" w:lineRule="auto"/>
        <w:ind w:firstLine="640" w:firstLineChars="20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温春艳   公路设计质监中心主任</w:t>
      </w:r>
    </w:p>
    <w:p>
      <w:pPr>
        <w:spacing w:line="360" w:lineRule="auto"/>
        <w:ind w:firstLine="640" w:firstLineChars="20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聂为民   公路绿化管理中心书记</w:t>
      </w:r>
    </w:p>
    <w:p>
      <w:pPr>
        <w:spacing w:line="360" w:lineRule="auto"/>
        <w:ind w:left="1440" w:hanging="1440" w:hangingChars="45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王永伟   滨河路景观管理中心书记</w:t>
      </w:r>
    </w:p>
    <w:bookmarkEnd w:id="0"/>
    <w:p>
      <w:pPr>
        <w:spacing w:line="560" w:lineRule="exact"/>
        <w:rPr>
          <w:rFonts w:ascii="仿宋" w:hAnsi="仿宋" w:eastAsia="仿宋"/>
        </w:rPr>
      </w:pPr>
    </w:p>
    <w:bookmarkEnd w:id="1"/>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2000000000000000000"/>
    <w:charset w:val="86"/>
    <w:family w:val="roman"/>
    <w:pitch w:val="default"/>
    <w:sig w:usb0="00000000" w:usb1="00000000" w:usb2="00082016" w:usb3="00000000" w:csb0="00040001" w:csb1="00000000"/>
  </w:font>
  <w:font w:name="方正书宋_GBK">
    <w:altName w:val="宋体"/>
    <w:panose1 w:val="00000000000000000000"/>
    <w:charset w:val="86"/>
    <w:family w:val="roman"/>
    <w:pitch w:val="default"/>
    <w:sig w:usb0="00000000" w:usb1="00000000" w:usb2="00000000" w:usb3="00000000" w:csb0="0000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0D1D4D36"/>
    <w:multiLevelType w:val="singleLevel"/>
    <w:tmpl w:val="0D1D4D36"/>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zRkYmQ4Y2I3YzlkODVjYTM3N2MwNDFhZmYzNzk5M2MifQ=="/>
  </w:docVars>
  <w:rsids>
    <w:rsidRoot w:val="0EBD2122"/>
    <w:rsid w:val="000B0260"/>
    <w:rsid w:val="001B713F"/>
    <w:rsid w:val="00376610"/>
    <w:rsid w:val="007E6C1F"/>
    <w:rsid w:val="008E3731"/>
    <w:rsid w:val="00956A93"/>
    <w:rsid w:val="009E575C"/>
    <w:rsid w:val="009F674E"/>
    <w:rsid w:val="00AF167E"/>
    <w:rsid w:val="00AF566A"/>
    <w:rsid w:val="00B478EA"/>
    <w:rsid w:val="00B6553A"/>
    <w:rsid w:val="00BC6576"/>
    <w:rsid w:val="00C66976"/>
    <w:rsid w:val="00CE06BA"/>
    <w:rsid w:val="00F441CC"/>
    <w:rsid w:val="01B104CA"/>
    <w:rsid w:val="02106AB0"/>
    <w:rsid w:val="02B43A28"/>
    <w:rsid w:val="046F331E"/>
    <w:rsid w:val="07956271"/>
    <w:rsid w:val="09721397"/>
    <w:rsid w:val="0BB63BED"/>
    <w:rsid w:val="0EB97A43"/>
    <w:rsid w:val="0EBD2122"/>
    <w:rsid w:val="0F214EAE"/>
    <w:rsid w:val="10D207FD"/>
    <w:rsid w:val="11B71E6A"/>
    <w:rsid w:val="1A1F019A"/>
    <w:rsid w:val="1AAF0063"/>
    <w:rsid w:val="1BE140DE"/>
    <w:rsid w:val="1D263B34"/>
    <w:rsid w:val="248C197D"/>
    <w:rsid w:val="252959AF"/>
    <w:rsid w:val="277A6671"/>
    <w:rsid w:val="292D35B7"/>
    <w:rsid w:val="2EF82792"/>
    <w:rsid w:val="32817910"/>
    <w:rsid w:val="33EB6CFF"/>
    <w:rsid w:val="35A12947"/>
    <w:rsid w:val="37387040"/>
    <w:rsid w:val="387C2033"/>
    <w:rsid w:val="39885D54"/>
    <w:rsid w:val="3B625C0A"/>
    <w:rsid w:val="3CEE1963"/>
    <w:rsid w:val="436B78D3"/>
    <w:rsid w:val="4C9C27FE"/>
    <w:rsid w:val="512260B4"/>
    <w:rsid w:val="52BD6ACB"/>
    <w:rsid w:val="55537534"/>
    <w:rsid w:val="561A74F1"/>
    <w:rsid w:val="597244E8"/>
    <w:rsid w:val="5EB71C30"/>
    <w:rsid w:val="5F352653"/>
    <w:rsid w:val="66AF0CE5"/>
    <w:rsid w:val="6AC537CF"/>
    <w:rsid w:val="6E5B14A6"/>
    <w:rsid w:val="703628D9"/>
    <w:rsid w:val="711B255E"/>
    <w:rsid w:val="78982C3A"/>
    <w:rsid w:val="7B024B15"/>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部门职责文件"/>
    <w:basedOn w:val="1"/>
    <w:qFormat/>
    <w:uiPriority w:val="0"/>
    <w:pPr>
      <w:spacing w:line="500" w:lineRule="exact"/>
      <w:ind w:firstLine="560"/>
    </w:pPr>
    <w:rPr>
      <w:rFonts w:eastAsia="方正仿宋_GBK"/>
      <w:sz w:val="28"/>
    </w:rPr>
  </w:style>
  <w:style w:type="paragraph" w:customStyle="1" w:styleId="7">
    <w:name w:val="单元格样式1"/>
    <w:basedOn w:val="1"/>
    <w:qFormat/>
    <w:uiPriority w:val="0"/>
    <w:pPr>
      <w:jc w:val="center"/>
    </w:pPr>
    <w:rPr>
      <w:rFonts w:ascii="方正书宋_GBK" w:hAnsi="方正书宋_GBK" w:eastAsia="方正书宋_GBK" w:cs="方正书宋_GBK"/>
      <w:b/>
      <w:sz w:val="21"/>
    </w:rPr>
  </w:style>
  <w:style w:type="paragraph" w:customStyle="1" w:styleId="8">
    <w:name w:val="单元格样式2"/>
    <w:basedOn w:val="1"/>
    <w:qFormat/>
    <w:uiPriority w:val="0"/>
    <w:rPr>
      <w:rFonts w:ascii="方正书宋_GBK" w:hAnsi="方正书宋_GBK" w:eastAsia="方正书宋_GBK" w:cs="方正书宋_GBK"/>
      <w:sz w:val="21"/>
    </w:rPr>
  </w:style>
  <w:style w:type="paragraph" w:customStyle="1" w:styleId="9">
    <w:name w:val="单元格样式3"/>
    <w:basedOn w:val="1"/>
    <w:qFormat/>
    <w:uiPriority w:val="0"/>
    <w:pPr>
      <w:jc w:val="center"/>
    </w:pPr>
    <w:rPr>
      <w:rFonts w:ascii="方正书宋_GBK" w:hAnsi="方正书宋_GBK" w:eastAsia="方正书宋_GBK" w:cs="方正书宋_GBK"/>
      <w:sz w:val="21"/>
    </w:rPr>
  </w:style>
  <w:style w:type="paragraph" w:customStyle="1" w:styleId="10">
    <w:name w:val="插入文本样式-插入总体目标文件"/>
    <w:basedOn w:val="1"/>
    <w:qFormat/>
    <w:uiPriority w:val="0"/>
    <w:pPr>
      <w:spacing w:line="500" w:lineRule="exact"/>
      <w:ind w:firstLine="560"/>
    </w:pPr>
    <w:rPr>
      <w:rFonts w:eastAsia="方正仿宋_GBK"/>
      <w:sz w:val="28"/>
    </w:rPr>
  </w:style>
  <w:style w:type="paragraph" w:customStyle="1" w:styleId="11">
    <w:name w:val="插入文本样式-插入职责分类绩效目标文件"/>
    <w:basedOn w:val="1"/>
    <w:qFormat/>
    <w:uiPriority w:val="0"/>
    <w:pPr>
      <w:spacing w:line="500" w:lineRule="exact"/>
      <w:ind w:firstLine="560"/>
    </w:pPr>
    <w:rPr>
      <w:rFonts w:eastAsia="方正仿宋_GBK"/>
      <w:sz w:val="28"/>
    </w:rPr>
  </w:style>
  <w:style w:type="character" w:customStyle="1" w:styleId="12">
    <w:name w:val="font41"/>
    <w:basedOn w:val="5"/>
    <w:qFormat/>
    <w:uiPriority w:val="0"/>
    <w:rPr>
      <w:rFonts w:hint="default" w:ascii="Calibri" w:hAnsi="Calibri" w:cs="Calibri"/>
      <w:color w:val="000000"/>
      <w:sz w:val="22"/>
      <w:szCs w:val="22"/>
      <w:u w:val="none"/>
    </w:rPr>
  </w:style>
  <w:style w:type="character" w:customStyle="1" w:styleId="13">
    <w:name w:val="font31"/>
    <w:basedOn w:val="5"/>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4926</Words>
  <Characters>5135</Characters>
  <Lines>4</Lines>
  <Paragraphs>1</Paragraphs>
  <TotalTime>12</TotalTime>
  <ScaleCrop>false</ScaleCrop>
  <LinksUpToDate>false</LinksUpToDate>
  <CharactersWithSpaces>5222</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2025-04-21T08:01:00Z</cp:lastPrinted>
  <dcterms:modified xsi:type="dcterms:W3CDTF">2025-05-22T08:08:56Z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y fmtid="{D5CDD505-2E9C-101B-9397-08002B2CF9AE}" pid="3" name="ICV">
    <vt:lpwstr>96934721B1514D3FBAA28020338CE855_12</vt:lpwstr>
  </property>
  <property fmtid="{D5CDD505-2E9C-101B-9397-08002B2CF9AE}" pid="4" name="KSOTemplateDocerSaveRecord">
    <vt:lpwstr>eyJoZGlkIjoiOGMwYzRkMzc1YjkyYjE4YzNmY2NlMmE3NTkzYTQwYmYiLCJ1c2VySWQiOiI1ODM1MDgxNDMifQ==</vt:lpwstr>
  </property>
</Properties>
</file>