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石家庄市鹿泉区水利局</w:t>
      </w:r>
    </w:p>
    <w:p>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年度整体支出绩效自评报告</w:t>
      </w:r>
    </w:p>
    <w:p>
      <w:pPr>
        <w:adjustRightInd w:val="0"/>
        <w:snapToGrid w:val="0"/>
        <w:spacing w:line="560" w:lineRule="exact"/>
        <w:ind w:firstLine="640" w:firstLineChars="200"/>
        <w:rPr>
          <w:rFonts w:hint="eastAsia" w:ascii="仿宋" w:hAnsi="仿宋" w:eastAsia="仿宋"/>
          <w:sz w:val="32"/>
          <w:szCs w:val="32"/>
        </w:rPr>
      </w:pPr>
    </w:p>
    <w:p>
      <w:pPr>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贯彻落实石家庄市鹿泉区人民政府《关于全面实施预算绩效管理的实施意见》（鹿发〔2019〕8号）文件精神，遵循“科学性、规范性、客观性和公正性”的原则，对</w:t>
      </w:r>
      <w:r>
        <w:rPr>
          <w:rFonts w:hint="eastAsia" w:ascii="仿宋_GB2312" w:hAnsi="仿宋_GB2312" w:eastAsia="仿宋_GB2312" w:cs="仿宋_GB2312"/>
          <w:sz w:val="32"/>
          <w:szCs w:val="32"/>
          <w:lang w:eastAsia="zh-CN"/>
        </w:rPr>
        <w:t>我局</w:t>
      </w:r>
      <w:r>
        <w:rPr>
          <w:rFonts w:hint="eastAsia" w:ascii="仿宋_GB2312" w:hAnsi="仿宋_GB2312" w:eastAsia="仿宋_GB2312" w:cs="仿宋_GB2312"/>
          <w:sz w:val="32"/>
          <w:szCs w:val="32"/>
        </w:rPr>
        <w:t>2024年整体支出情况实施了财政支出绩效自评价，形成本评价报告。</w:t>
      </w:r>
    </w:p>
    <w:p>
      <w:pPr>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 w:hAnsi="仿宋" w:eastAsia="仿宋" w:cs="仿宋"/>
          <w:b/>
          <w:bCs/>
          <w:sz w:val="32"/>
          <w:szCs w:val="32"/>
        </w:rPr>
      </w:pPr>
      <w:r>
        <w:rPr>
          <w:rFonts w:hint="eastAsia" w:ascii="黑体" w:hAnsi="黑体" w:eastAsia="黑体" w:cs="黑体"/>
          <w:i w:val="0"/>
          <w:iCs w:val="0"/>
          <w:caps w:val="0"/>
          <w:color w:val="000000"/>
          <w:spacing w:val="0"/>
          <w:sz w:val="32"/>
          <w:szCs w:val="32"/>
          <w:highlight w:val="none"/>
          <w:shd w:val="clear" w:fill="FFFFFF"/>
        </w:rPr>
        <w:t>一、</w:t>
      </w:r>
      <w:r>
        <w:rPr>
          <w:rFonts w:hint="eastAsia" w:ascii="黑体" w:hAnsi="黑体" w:eastAsia="黑体" w:cs="黑体"/>
          <w:sz w:val="32"/>
          <w:szCs w:val="32"/>
        </w:rPr>
        <w:t>部门基本情况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根据《石家庄市鹿泉区水利局职能配置、内设机构和人员编制规定》，贯彻落实党中央、省、市、区委关于水利工作的方针政策和决策部署，坚持和加强党对水利工作的集中统一领导。主要职责是：</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（一）负责保障水资源合理开发利用。贯彻落实上级水利政策、法规、规章，拟订水利战略规划，组织编制全区水资源战略规划、重要河道水库综合规划、防洪规划等水利规划。</w:t>
      </w:r>
    </w:p>
    <w:p>
      <w:pPr>
        <w:pStyle w:val="14"/>
        <w:keepNext w:val="0"/>
        <w:keepLines w:val="0"/>
        <w:pageBreakBefore w:val="0"/>
        <w:widowControl w:val="0"/>
        <w:kinsoku/>
        <w:wordWrap/>
        <w:overflowPunct/>
        <w:topLinePunct w:val="0"/>
        <w:autoSpaceDE/>
        <w:autoSpaceDN/>
        <w:bidi w:val="0"/>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（五）负责节约用水工作。贯彻落实节约用水政策，组织编制节约用水规划并监督实施。组织实施用水总量控制等管理制度，指导和推动节水型社会建设工作。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（八）负责水土保持工作。拟订水土保持规划并监督实施，组织实施水土流失的综合防治、监测预报。负责建设项目水土保持监督管理工作，指导重点水土保持建设项目的实施。</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（九）指导农村水利工作。组织开展大中型灌排工程建设与改造。指导农村饮水安全工程建设管理工作，指导节水灌溉有关工作。指导农村水利改革创新和社会化服务体系建设。</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（十）负责水库移民管理工作。负责贯彻落实水库移民有关政策并监督实施，按规定组织实施移民安置验收、监督评估等工作。指导监督水库移民后期扶持政策的实施。</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（十二）组织开展水利行业质量监督工作。监督实施水利行业的技术标准、规程规范。组织指导水利科学研究、扶术引进和科技推广，开展水利交流与合作。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（十三）负责落实综合防灾减灾规划相关要求，组织组制洪水干旱灾害防治规划。承担水情旱情监测预警工作。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（十四）完成区委、区政府交办的其他任务。</w:t>
      </w:r>
    </w:p>
    <w:p>
      <w:pPr>
        <w:keepNext w:val="0"/>
        <w:keepLines w:val="0"/>
        <w:pageBreakBefore w:val="0"/>
        <w:widowControl w:val="0"/>
        <w:kinsoku/>
        <w:wordWrap/>
        <w:overflowPunct/>
        <w:topLinePunct w:val="0"/>
        <w:autoSpaceDE/>
        <w:autoSpaceDN/>
        <w:bidi w:val="0"/>
        <w:adjustRightInd w:val="0"/>
        <w:snapToGrid w:val="0"/>
        <w:spacing w:line="578" w:lineRule="exact"/>
        <w:ind w:right="0" w:firstLine="640" w:firstLineChars="200"/>
        <w:jc w:val="both"/>
        <w:textAlignment w:val="auto"/>
        <w:outlineLvl w:val="9"/>
        <w:rPr>
          <w:rFonts w:hint="eastAsia" w:ascii="黑体" w:hAnsi="黑体" w:eastAsia="黑体" w:cs="黑体"/>
          <w:b w:val="0"/>
          <w:bCs w:val="0"/>
          <w:sz w:val="32"/>
          <w:szCs w:val="32"/>
        </w:rPr>
      </w:pPr>
      <w:r>
        <w:rPr>
          <w:rFonts w:hint="eastAsia" w:ascii="黑体" w:hAnsi="黑体" w:eastAsia="黑体" w:cs="黑体"/>
          <w:b w:val="0"/>
          <w:bCs w:val="0"/>
          <w:sz w:val="32"/>
          <w:szCs w:val="32"/>
        </w:rPr>
        <w:t>二、自评工作</w:t>
      </w:r>
      <w:r>
        <w:rPr>
          <w:rFonts w:hint="eastAsia" w:ascii="黑体" w:hAnsi="黑体" w:eastAsia="黑体" w:cs="黑体"/>
          <w:b w:val="0"/>
          <w:bCs w:val="0"/>
          <w:sz w:val="32"/>
          <w:szCs w:val="32"/>
          <w:lang w:eastAsia="zh-CN"/>
        </w:rPr>
        <w:t>开展</w:t>
      </w:r>
      <w:r>
        <w:rPr>
          <w:rFonts w:hint="eastAsia" w:ascii="黑体" w:hAnsi="黑体" w:eastAsia="黑体" w:cs="黑体"/>
          <w:b w:val="0"/>
          <w:bCs w:val="0"/>
          <w:sz w:val="32"/>
          <w:szCs w:val="32"/>
        </w:rPr>
        <w:t>情况</w:t>
      </w:r>
    </w:p>
    <w:p>
      <w:pPr>
        <w:keepNext w:val="0"/>
        <w:keepLines w:val="0"/>
        <w:pageBreakBefore w:val="0"/>
        <w:widowControl w:val="0"/>
        <w:kinsoku/>
        <w:wordWrap/>
        <w:overflowPunct/>
        <w:topLinePunct w:val="0"/>
        <w:autoSpaceDE/>
        <w:autoSpaceDN/>
        <w:bidi w:val="0"/>
        <w:spacing w:line="578" w:lineRule="exact"/>
        <w:ind w:left="0" w:leftChars="0" w:right="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楷体" w:hAnsi="楷体" w:eastAsia="楷体" w:cs="楷体"/>
          <w:b/>
          <w:bCs/>
          <w:sz w:val="32"/>
          <w:szCs w:val="32"/>
        </w:rPr>
        <w:t>（一）自评的组织工作</w:t>
      </w:r>
    </w:p>
    <w:p>
      <w:pPr>
        <w:keepNext w:val="0"/>
        <w:keepLines w:val="0"/>
        <w:pageBreakBefore w:val="0"/>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根据石家庄市鹿泉区委区政府《关于全面实施预算绩效管理的实施意见》（鹿发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鹿泉区区</w:t>
      </w:r>
      <w:r>
        <w:rPr>
          <w:rFonts w:hint="eastAsia" w:ascii="仿宋_GB2312" w:hAnsi="仿宋_GB2312" w:eastAsia="仿宋_GB2312" w:cs="仿宋_GB2312"/>
          <w:sz w:val="32"/>
          <w:szCs w:val="32"/>
        </w:rPr>
        <w:t>级部门项目绩效自评管理办法》（</w:t>
      </w:r>
      <w:r>
        <w:rPr>
          <w:rFonts w:hint="eastAsia" w:ascii="仿宋_GB2312" w:hAnsi="仿宋_GB2312" w:eastAsia="仿宋_GB2312" w:cs="仿宋_GB2312"/>
          <w:sz w:val="32"/>
          <w:szCs w:val="32"/>
          <w:lang w:eastAsia="zh-CN"/>
        </w:rPr>
        <w:t>鹿财字</w:t>
      </w:r>
      <w:r>
        <w:rPr>
          <w:rFonts w:hint="eastAsia" w:ascii="仿宋_GB2312" w:hAnsi="仿宋_GB2312" w:eastAsia="仿宋_GB2312" w:cs="仿宋_GB2312"/>
          <w:sz w:val="32"/>
          <w:szCs w:val="32"/>
        </w:rPr>
        <w:t>〔2020〕</w:t>
      </w: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eastAsia="zh-CN"/>
        </w:rPr>
        <w:t>文件，对我部门</w:t>
      </w:r>
      <w:r>
        <w:rPr>
          <w:rFonts w:hint="eastAsia" w:ascii="仿宋_GB2312" w:hAnsi="仿宋_GB2312" w:eastAsia="仿宋_GB2312" w:cs="仿宋_GB2312"/>
          <w:sz w:val="32"/>
          <w:szCs w:val="32"/>
          <w:lang w:val="en-US" w:eastAsia="zh-CN"/>
        </w:rPr>
        <w:t>2024年度项目支出情况进行绩效自评，</w:t>
      </w:r>
      <w:r>
        <w:rPr>
          <w:rFonts w:hint="eastAsia" w:ascii="仿宋_GB2312" w:hAnsi="仿宋_GB2312" w:eastAsia="仿宋_GB2312" w:cs="仿宋_GB2312"/>
          <w:sz w:val="32"/>
          <w:szCs w:val="32"/>
        </w:rPr>
        <w:t>进一步明确</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绩效评价工作</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目的</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意义。</w:t>
      </w:r>
    </w:p>
    <w:p>
      <w:pPr>
        <w:keepNext w:val="0"/>
        <w:keepLines w:val="0"/>
        <w:pageBreakBefore w:val="0"/>
        <w:widowControl w:val="0"/>
        <w:numPr>
          <w:ilvl w:val="0"/>
          <w:numId w:val="0"/>
        </w:numPr>
        <w:kinsoku/>
        <w:wordWrap/>
        <w:overflowPunct/>
        <w:topLinePunct w:val="0"/>
        <w:autoSpaceDE/>
        <w:autoSpaceDN/>
        <w:bidi w:val="0"/>
        <w:spacing w:line="578" w:lineRule="exact"/>
        <w:ind w:left="642" w:leftChars="0" w:right="0" w:rightChars="0"/>
        <w:jc w:val="both"/>
        <w:textAlignment w:val="auto"/>
        <w:outlineLvl w:val="9"/>
        <w:rPr>
          <w:rFonts w:hint="eastAsia" w:ascii="楷体" w:hAnsi="楷体" w:eastAsia="楷体" w:cs="楷体"/>
          <w:kern w:val="2"/>
          <w:sz w:val="32"/>
          <w:szCs w:val="32"/>
          <w:lang w:val="en-US" w:eastAsia="zh-CN" w:bidi="ar-SA"/>
        </w:rPr>
      </w:pPr>
      <w:r>
        <w:rPr>
          <w:rFonts w:hint="eastAsia" w:ascii="楷体" w:hAnsi="楷体" w:eastAsia="楷体" w:cs="楷体"/>
          <w:b/>
          <w:bCs/>
          <w:sz w:val="32"/>
          <w:szCs w:val="32"/>
          <w:lang w:eastAsia="zh-CN"/>
        </w:rPr>
        <w:t>（二）</w:t>
      </w:r>
      <w:r>
        <w:rPr>
          <w:rFonts w:hint="eastAsia" w:ascii="楷体" w:hAnsi="楷体" w:eastAsia="楷体" w:cs="楷体"/>
          <w:b/>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首先，建立和完善绩效评价管理档案，将每次绩效评价结果记录下来，为后续应用奠定了良好的基础。其次，通过讨论绩效评价结果应用途径，将绩效评价结果作为财政资金分配的重要依据。最后，在应用绩效评价结果后及时总结应用经验和问题，不断完善绩效评价工作。</w:t>
      </w:r>
    </w:p>
    <w:p>
      <w:pPr>
        <w:keepNext w:val="0"/>
        <w:keepLines w:val="0"/>
        <w:pageBreakBefore w:val="0"/>
        <w:widowControl w:val="0"/>
        <w:kinsoku/>
        <w:wordWrap/>
        <w:overflowPunct/>
        <w:topLinePunct w:val="0"/>
        <w:autoSpaceDE/>
        <w:autoSpaceDN/>
        <w:bidi w:val="0"/>
        <w:spacing w:line="578" w:lineRule="exact"/>
        <w:ind w:right="0" w:firstLine="640" w:firstLineChars="200"/>
        <w:jc w:val="both"/>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rPr>
        <w:t>三、</w:t>
      </w:r>
      <w:r>
        <w:rPr>
          <w:rFonts w:hint="eastAsia" w:ascii="黑体" w:hAnsi="黑体" w:eastAsia="黑体" w:cs="黑体"/>
          <w:b w:val="0"/>
          <w:bCs w:val="0"/>
          <w:sz w:val="32"/>
          <w:szCs w:val="32"/>
          <w:lang w:eastAsia="zh-CN"/>
        </w:rPr>
        <w:t>部门整体支出</w:t>
      </w:r>
      <w:r>
        <w:rPr>
          <w:rFonts w:hint="eastAsia" w:ascii="黑体" w:hAnsi="黑体" w:eastAsia="黑体" w:cs="黑体"/>
          <w:b w:val="0"/>
          <w:bCs w:val="0"/>
          <w:sz w:val="32"/>
          <w:szCs w:val="32"/>
        </w:rPr>
        <w:t>绩效</w:t>
      </w:r>
      <w:r>
        <w:rPr>
          <w:rFonts w:hint="eastAsia" w:ascii="黑体" w:hAnsi="黑体" w:eastAsia="黑体" w:cs="黑体"/>
          <w:b w:val="0"/>
          <w:bCs w:val="0"/>
          <w:sz w:val="32"/>
          <w:szCs w:val="32"/>
          <w:lang w:eastAsia="zh-CN"/>
        </w:rPr>
        <w:t>目标实现情况及指标分析</w:t>
      </w:r>
    </w:p>
    <w:p>
      <w:pPr>
        <w:keepNext w:val="0"/>
        <w:keepLines w:val="0"/>
        <w:pageBreakBefore w:val="0"/>
        <w:widowControl w:val="0"/>
        <w:numPr>
          <w:ilvl w:val="0"/>
          <w:numId w:val="0"/>
        </w:numPr>
        <w:kinsoku/>
        <w:wordWrap/>
        <w:overflowPunct/>
        <w:topLinePunct w:val="0"/>
        <w:autoSpaceDE/>
        <w:autoSpaceDN/>
        <w:bidi w:val="0"/>
        <w:spacing w:line="578" w:lineRule="exact"/>
        <w:ind w:right="0" w:rightChars="0" w:firstLine="643" w:firstLineChars="200"/>
        <w:jc w:val="both"/>
        <w:textAlignment w:val="auto"/>
        <w:outlineLvl w:val="9"/>
        <w:rPr>
          <w:rFonts w:hint="eastAsia" w:ascii="楷体" w:hAnsi="楷体" w:eastAsia="楷体" w:cs="楷体"/>
          <w:sz w:val="32"/>
          <w:szCs w:val="32"/>
        </w:rPr>
      </w:pPr>
      <w:r>
        <w:rPr>
          <w:rFonts w:hint="eastAsia" w:ascii="楷体" w:hAnsi="楷体" w:eastAsia="楷体" w:cs="楷体"/>
          <w:b/>
          <w:bCs/>
          <w:sz w:val="32"/>
          <w:szCs w:val="32"/>
          <w:lang w:eastAsia="zh-CN"/>
        </w:rPr>
        <w:t>（</w:t>
      </w:r>
      <w:r>
        <w:rPr>
          <w:rFonts w:hint="eastAsia" w:ascii="楷体" w:hAnsi="楷体" w:eastAsia="楷体" w:cs="楷体"/>
          <w:b/>
          <w:bCs/>
          <w:sz w:val="32"/>
          <w:szCs w:val="32"/>
        </w:rPr>
        <w:t>一</w:t>
      </w:r>
      <w:r>
        <w:rPr>
          <w:rFonts w:hint="eastAsia" w:ascii="楷体" w:hAnsi="楷体" w:eastAsia="楷体" w:cs="楷体"/>
          <w:b/>
          <w:bCs/>
          <w:sz w:val="32"/>
          <w:szCs w:val="32"/>
          <w:lang w:eastAsia="zh-CN"/>
        </w:rPr>
        <w:t>）</w:t>
      </w:r>
      <w:r>
        <w:rPr>
          <w:rFonts w:hint="eastAsia" w:ascii="楷体" w:hAnsi="楷体" w:eastAsia="楷体" w:cs="楷体"/>
          <w:b/>
          <w:bCs/>
          <w:sz w:val="32"/>
          <w:szCs w:val="32"/>
        </w:rPr>
        <w:t>总体绩效目标</w:t>
      </w:r>
    </w:p>
    <w:p>
      <w:pPr>
        <w:pStyle w:val="9"/>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1、</w:t>
      </w:r>
      <w:r>
        <w:rPr>
          <w:rFonts w:hint="eastAsia" w:ascii="仿宋" w:hAnsi="仿宋" w:eastAsia="仿宋" w:cs="仿宋"/>
          <w:b/>
          <w:bCs/>
          <w:sz w:val="32"/>
          <w:szCs w:val="32"/>
        </w:rPr>
        <w:t>指导思想</w:t>
      </w:r>
    </w:p>
    <w:p>
      <w:pPr>
        <w:pStyle w:val="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习近平新时代中国特色社会主义思想为指导，深入贯彻党的二十大精神，全面落实习近平总书记对河北工作重要指示批示和党中央及省市区决策部署，立足新发展阶段、贯彻新发展理念、构建新发展格局，把开展“三重四创五优化”活动作为贯彻党的十九届五中全会精神、落实新发展理念的有效举措，作为“三创四建”活动的深化和延伸，抓重点、补短板、强弱项，切实增强人民群众的获得感、幸福感、安全感，推动“十四五”开好局起好步，加快建设经济强区、魅力鹿泉、生态宜居宜业宜游新城区提供坚强的水利保障。</w:t>
      </w:r>
    </w:p>
    <w:p>
      <w:pPr>
        <w:pStyle w:val="9"/>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基本原则</w:t>
      </w:r>
    </w:p>
    <w:p>
      <w:pPr>
        <w:pStyle w:val="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——坚持党的全面领导。切实增强“四个意识”、坚定“四个自信”、做到“两个维护”，把党的全面领导贯穿到活动全过程，精心组织实施，健全责任和落实机制，确保党中央及省市区决策部署落地见效。</w:t>
      </w:r>
    </w:p>
    <w:p>
      <w:pPr>
        <w:pStyle w:val="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——坚持新发展理念。立足新发展阶段，完整、准确、全面贯彻新发展理念，全面深化改革创新，加强治理体系和治理能力现代化，加快推进京津冀协同发展，加快产业转型升级，构建新发展格局。</w:t>
      </w:r>
    </w:p>
    <w:p>
      <w:pPr>
        <w:pStyle w:val="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系统观念。强化顶层设计，加强统筹结合，把“三重四创五优化”活动和党史学习教育结合起来，和“团结就是力量”专题学习教育活动结合起来，选好切入点、把握关键点、打造新亮点，以点带面活跃工作全局，助推鹿泉创新发展、绿色发展、高质量发展。</w:t>
      </w:r>
    </w:p>
    <w:p>
      <w:pPr>
        <w:pStyle w:val="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人民为中心。认真践行以人民为中心的发展思想，坚定不移走好群众路线，聚焦影响鹿泉水利高质量发展的突出矛盾和人民群众反映强烈的难点问题，与农村饮水安全、水旱灾害防御、河长制、地下水超采综合治理、城乡供水基础设施建设、水资源管理、移民后期扶持、河道治理结合起来，充分调动人民群众的积极性、主动性和创造性。</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楷体" w:hAnsi="楷体" w:eastAsia="楷体" w:cs="楷体"/>
          <w:b/>
          <w:bCs/>
          <w:sz w:val="32"/>
          <w:szCs w:val="32"/>
        </w:rPr>
      </w:pPr>
      <w:r>
        <w:rPr>
          <w:rFonts w:hint="eastAsia" w:ascii="楷体" w:hAnsi="楷体" w:eastAsia="楷体" w:cs="楷体"/>
          <w:b/>
          <w:bCs/>
          <w:color w:val="000000"/>
          <w:sz w:val="32"/>
          <w:szCs w:val="32"/>
        </w:rPr>
        <w:t>（二）分项绩效目标</w:t>
      </w:r>
    </w:p>
    <w:p>
      <w:pPr>
        <w:pStyle w:val="10"/>
        <w:keepNext w:val="0"/>
        <w:keepLines w:val="0"/>
        <w:pageBreakBefore w:val="0"/>
        <w:kinsoku/>
        <w:wordWrap/>
        <w:overflowPunct/>
        <w:topLinePunct w:val="0"/>
        <w:autoSpaceDE/>
        <w:autoSpaceDN/>
        <w:bidi w:val="0"/>
        <w:spacing w:line="578" w:lineRule="exact"/>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）水库大坝的维修加固及监测</w:t>
      </w:r>
    </w:p>
    <w:p>
      <w:pPr>
        <w:pStyle w:val="10"/>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绩效目标：</w:t>
      </w:r>
      <w:r>
        <w:rPr>
          <w:rFonts w:hint="eastAsia" w:ascii="仿宋_GB2312" w:hAnsi="仿宋_GB2312" w:eastAsia="仿宋_GB2312" w:cs="仿宋_GB2312"/>
          <w:sz w:val="32"/>
          <w:szCs w:val="32"/>
        </w:rPr>
        <w:t>安排小型水库汛期值班，及时发现水库存在的问题，保障水雨情及时传递。对水库大坝变形情况进行</w:t>
      </w:r>
      <w:r>
        <w:rPr>
          <w:rFonts w:hint="eastAsia" w:ascii="仿宋_GB2312" w:hAnsi="仿宋_GB2312" w:eastAsia="仿宋_GB2312" w:cs="仿宋_GB2312"/>
          <w:b w:val="0"/>
          <w:bCs w:val="0"/>
          <w:sz w:val="32"/>
          <w:szCs w:val="32"/>
        </w:rPr>
        <w:t>监测</w:t>
      </w:r>
      <w:r>
        <w:rPr>
          <w:rFonts w:hint="eastAsia" w:ascii="仿宋_GB2312" w:hAnsi="仿宋_GB2312" w:eastAsia="仿宋_GB2312" w:cs="仿宋_GB2312"/>
          <w:sz w:val="32"/>
          <w:szCs w:val="32"/>
        </w:rPr>
        <w:t>，及时发现水库存在的问题。更好地发挥防洪安全及灌溉效益，保护下游村庄人民生命财产安全。</w:t>
      </w:r>
    </w:p>
    <w:p>
      <w:pPr>
        <w:pStyle w:val="10"/>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eastAsia="zh-CN"/>
        </w:rPr>
        <w:t>绩效指标</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维修养护1</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座小型水库，确保每座水库管理规范，大坝整洁，溢洪道畅通，输水洞、观测设施及管理房完好。汛期每天一次，非汛期每周一次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小型水库维修养护服务保护下游人口</w:t>
      </w:r>
      <w:r>
        <w:rPr>
          <w:rFonts w:hint="eastAsia" w:ascii="仿宋_GB2312" w:hAnsi="仿宋_GB2312" w:eastAsia="仿宋_GB2312" w:cs="仿宋_GB2312"/>
          <w:sz w:val="32"/>
          <w:szCs w:val="32"/>
          <w:lang w:val="en-US" w:eastAsia="zh-CN"/>
        </w:rPr>
        <w:t>8.4万人。</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河道整治管理及联合执法能力</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绩效目标：</w:t>
      </w:r>
      <w:r>
        <w:rPr>
          <w:rFonts w:hint="eastAsia" w:ascii="仿宋_GB2312" w:hAnsi="仿宋_GB2312" w:eastAsia="仿宋_GB2312" w:cs="仿宋_GB2312"/>
          <w:sz w:val="32"/>
          <w:szCs w:val="32"/>
        </w:rPr>
        <w:t>加强对涉河行为的监督和管理。提升群众自觉维护河道管理秩序的积极性。</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eastAsia="zh-CN"/>
        </w:rPr>
        <w:t>绩效指标</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通过河道整治，恢复和强化河道功能，消灭现有工程隐患，充分发挥河道工程在防洪保安中的基础作用。积极推进联合执法，依法处理破坏水工程非法取土、非法采砂、非法取水等违法行为，有效保护沿线人民的生命财产安全，提高居民生活质量和有力保障经济的可持续发展。</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灌区修缮及节水改造工程</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绩效目标</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rPr>
        <w:t>清理渠段内淤积物，对灌区进行维修与节水改造，减少灌溉损失，提高渠道的输水能力，缩短灌溉时间，提高灌溉效率；修建隐患渠段安全护栏，保证农民的安全出行和生命财产安全；改善灌区生态环境，打造绿色灌区。</w:t>
      </w:r>
    </w:p>
    <w:p>
      <w:pPr>
        <w:pStyle w:val="9"/>
        <w:keepNext w:val="0"/>
        <w:keepLines w:val="0"/>
        <w:pageBreakBefore w:val="0"/>
        <w:widowControl w:val="0"/>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eastAsia="zh-CN"/>
        </w:rPr>
        <w:t>绩效指标：</w:t>
      </w:r>
      <w:r>
        <w:rPr>
          <w:rFonts w:hint="eastAsia" w:ascii="仿宋_GB2312" w:hAnsi="仿宋_GB2312" w:eastAsia="仿宋_GB2312" w:cs="仿宋_GB2312"/>
          <w:sz w:val="32"/>
          <w:szCs w:val="32"/>
        </w:rPr>
        <w:t>完成渠道岁修清淤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保障渠道输水通畅。</w:t>
      </w:r>
      <w:r>
        <w:rPr>
          <w:rFonts w:hint="eastAsia" w:ascii="仿宋_GB2312" w:hAnsi="仿宋_GB2312" w:eastAsia="仿宋_GB2312" w:cs="仿宋_GB2312"/>
          <w:sz w:val="32"/>
          <w:szCs w:val="32"/>
          <w:lang w:eastAsia="zh-CN"/>
        </w:rPr>
        <w:t>保障辖区内村庄及时灌溉促进农民粮食增收，</w:t>
      </w:r>
      <w:r>
        <w:rPr>
          <w:rFonts w:hint="eastAsia" w:ascii="仿宋_GB2312" w:hAnsi="仿宋_GB2312" w:eastAsia="仿宋_GB2312" w:cs="仿宋_GB2312"/>
          <w:sz w:val="32"/>
          <w:szCs w:val="32"/>
        </w:rPr>
        <w:t>保</w:t>
      </w:r>
      <w:r>
        <w:rPr>
          <w:rFonts w:hint="eastAsia" w:ascii="仿宋_GB2312" w:hAnsi="仿宋_GB2312" w:eastAsia="仿宋_GB2312" w:cs="仿宋_GB2312"/>
          <w:sz w:val="32"/>
          <w:szCs w:val="32"/>
          <w:lang w:eastAsia="zh-CN"/>
        </w:rPr>
        <w:t>证</w:t>
      </w:r>
      <w:r>
        <w:rPr>
          <w:rFonts w:hint="eastAsia" w:ascii="仿宋_GB2312" w:hAnsi="仿宋_GB2312" w:eastAsia="仿宋_GB2312" w:cs="仿宋_GB2312"/>
          <w:sz w:val="32"/>
          <w:szCs w:val="32"/>
        </w:rPr>
        <w:t>农田适时浇灌</w:t>
      </w:r>
      <w:r>
        <w:rPr>
          <w:rFonts w:hint="eastAsia" w:ascii="仿宋_GB2312" w:hAnsi="仿宋_GB2312" w:eastAsia="仿宋_GB2312" w:cs="仿宋_GB2312"/>
          <w:sz w:val="32"/>
          <w:szCs w:val="32"/>
          <w:lang w:eastAsia="zh-CN"/>
        </w:rPr>
        <w:t>，各项工作运转正常。</w:t>
      </w:r>
    </w:p>
    <w:p>
      <w:pPr>
        <w:pStyle w:val="10"/>
        <w:keepNext w:val="0"/>
        <w:keepLines w:val="0"/>
        <w:pageBreakBefore w:val="0"/>
        <w:widowControl w:val="0"/>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）水资源的利用管理及建设节水型社会</w:t>
      </w:r>
    </w:p>
    <w:p>
      <w:pPr>
        <w:pStyle w:val="10"/>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绩效目标：</w:t>
      </w:r>
      <w:r>
        <w:rPr>
          <w:rFonts w:hint="eastAsia" w:ascii="仿宋_GB2312" w:hAnsi="仿宋_GB2312" w:eastAsia="仿宋_GB2312" w:cs="仿宋_GB2312"/>
          <w:sz w:val="32"/>
          <w:szCs w:val="32"/>
        </w:rPr>
        <w:t>认真落实最严格水资源管理制度。严格水资源论证，抓取水、量水项目建设，严格控制高耗水项目；抓节水，按照工业用水抓循环、农业用水抓节灌、生活用水抓器具的思路，落实《石家庄市节约用水办法》，发展节水灌溉，指导工业企业进行节水技术改造，完成我区节水示范及工业、农业、生活节水示范项目建设及用水单位水平衡测试，抓</w:t>
      </w:r>
      <w:r>
        <w:rPr>
          <w:rFonts w:hint="eastAsia" w:ascii="仿宋_GB2312" w:hAnsi="仿宋_GB2312" w:eastAsia="仿宋_GB2312" w:cs="仿宋_GB2312"/>
          <w:sz w:val="32"/>
          <w:szCs w:val="32"/>
          <w:lang w:eastAsia="zh-CN"/>
        </w:rPr>
        <w:t>节</w:t>
      </w:r>
      <w:bookmarkStart w:id="0" w:name="_GoBack"/>
      <w:bookmarkEnd w:id="0"/>
      <w:r>
        <w:rPr>
          <w:rFonts w:hint="eastAsia" w:ascii="仿宋_GB2312" w:hAnsi="仿宋_GB2312" w:eastAsia="仿宋_GB2312" w:cs="仿宋_GB2312"/>
          <w:sz w:val="32"/>
          <w:szCs w:val="32"/>
        </w:rPr>
        <w:t>水，加强污水处理与回用。</w:t>
      </w:r>
    </w:p>
    <w:p>
      <w:pPr>
        <w:pStyle w:val="10"/>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eastAsia="zh-CN"/>
        </w:rPr>
        <w:t>绩效指标：</w:t>
      </w:r>
      <w:r>
        <w:rPr>
          <w:rFonts w:hint="eastAsia" w:ascii="仿宋_GB2312" w:hAnsi="仿宋_GB2312" w:eastAsia="仿宋_GB2312" w:cs="仿宋_GB2312"/>
          <w:sz w:val="32"/>
          <w:szCs w:val="32"/>
        </w:rPr>
        <w:t>通过节水型社会建设，使“十四五”期间农业用水在支撑农业经济发展指标持续增长下实现负增长，全区总用水量得到基本控制，农业总用水量实现持续下降。</w:t>
      </w:r>
    </w:p>
    <w:p>
      <w:pPr>
        <w:pStyle w:val="10"/>
        <w:keepNext w:val="0"/>
        <w:keepLines w:val="0"/>
        <w:pageBreakBefore w:val="0"/>
        <w:widowControl w:val="0"/>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）防汛抗旱安全工程建设</w:t>
      </w:r>
    </w:p>
    <w:p>
      <w:pPr>
        <w:pStyle w:val="10"/>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绩效目标</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rPr>
        <w:t>继续做好防汛工作，进一步落实以行政首长负责制为核心的各项防汛责任制，修订小型水库度汛预案；防汛抢险演练；防汛通讯设施与山洪灾害</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级平台维修养护；小型水库汛期值班补助；卫星电话通讯费和应急卫星使用。</w:t>
      </w:r>
    </w:p>
    <w:p>
      <w:pPr>
        <w:pStyle w:val="10"/>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eastAsia="zh-CN"/>
        </w:rPr>
        <w:t>绩效指标：</w:t>
      </w:r>
      <w:r>
        <w:rPr>
          <w:rFonts w:hint="eastAsia" w:ascii="仿宋_GB2312" w:hAnsi="仿宋_GB2312" w:eastAsia="仿宋_GB2312" w:cs="仿宋_GB2312"/>
          <w:sz w:val="32"/>
          <w:szCs w:val="32"/>
        </w:rPr>
        <w:t>组织、协调、监督、指导日常工作，加强值班，严格值守，坚持领导带班制和24小时值班制，确保汛期通讯畅通，各类信息能及时上传下达，确保全区安全度汛。</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6</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水利项目前期规划设计</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rPr>
        <w:t>绩效目标：</w:t>
      </w:r>
      <w:r>
        <w:rPr>
          <w:rFonts w:hint="eastAsia" w:ascii="仿宋_GB2312" w:hAnsi="仿宋_GB2312" w:eastAsia="仿宋_GB2312" w:cs="仿宋_GB2312"/>
          <w:sz w:val="32"/>
          <w:szCs w:val="32"/>
        </w:rPr>
        <w:t>通过水利项目规划前期工作，完成农村饮水安全项目、水土保持项目前期工作、水库维修加固及河道整治工程监理、水利工程质量监督、河道采砂规划、地下水压采治理，区域防洪等前期规划设计。</w:t>
      </w:r>
      <w:r>
        <w:rPr>
          <w:rFonts w:hint="eastAsia" w:ascii="仿宋_GB2312" w:hAnsi="仿宋_GB2312" w:eastAsia="仿宋_GB2312" w:cs="仿宋_GB2312"/>
          <w:sz w:val="32"/>
          <w:szCs w:val="32"/>
          <w:lang w:val="en-US" w:eastAsia="zh-CN"/>
        </w:rPr>
        <w:t xml:space="preserve">   </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eastAsia="zh-CN"/>
        </w:rPr>
        <w:t>绩效指标：</w:t>
      </w:r>
      <w:r>
        <w:rPr>
          <w:rFonts w:hint="eastAsia" w:ascii="仿宋_GB2312" w:hAnsi="仿宋_GB2312" w:eastAsia="仿宋_GB2312" w:cs="仿宋_GB2312"/>
          <w:sz w:val="32"/>
          <w:szCs w:val="32"/>
        </w:rPr>
        <w:t>有效的提高工程项目投资效益、社会效益，环境效益，提高我区防洪能力，保护人民生命财产。</w:t>
      </w:r>
    </w:p>
    <w:p>
      <w:pPr>
        <w:keepNext w:val="0"/>
        <w:keepLines w:val="0"/>
        <w:pageBreakBefore w:val="0"/>
        <w:kinsoku/>
        <w:wordWrap/>
        <w:overflowPunct/>
        <w:topLinePunct w:val="0"/>
        <w:autoSpaceDE/>
        <w:autoSpaceDN/>
        <w:bidi w:val="0"/>
        <w:spacing w:line="578"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根据部门职责定位和各项工作履职情况进行综合评价，给出总得分，满分100分，得出综合绩效评价等级。部门整体支出综合绩效评价分为4个等级：得分≥85分为优秀；75</w:t>
      </w:r>
      <w:r>
        <w:rPr>
          <w:rFonts w:hint="eastAsia" w:ascii="仿宋" w:hAnsi="仿宋" w:eastAsia="仿宋" w:cs="仿宋"/>
          <w:sz w:val="32"/>
          <w:szCs w:val="32"/>
          <w:lang w:eastAsia="zh-CN"/>
        </w:rPr>
        <w:t>分</w:t>
      </w:r>
      <w:r>
        <w:rPr>
          <w:rFonts w:hint="eastAsia" w:ascii="仿宋" w:hAnsi="仿宋" w:eastAsia="仿宋" w:cs="仿宋"/>
          <w:sz w:val="32"/>
          <w:szCs w:val="32"/>
        </w:rPr>
        <w:t>≤得分＜85分为良好；60</w:t>
      </w:r>
      <w:r>
        <w:rPr>
          <w:rFonts w:hint="eastAsia" w:ascii="仿宋" w:hAnsi="仿宋" w:eastAsia="仿宋" w:cs="仿宋"/>
          <w:sz w:val="32"/>
          <w:szCs w:val="32"/>
          <w:lang w:eastAsia="zh-CN"/>
        </w:rPr>
        <w:t>分</w:t>
      </w:r>
      <w:r>
        <w:rPr>
          <w:rFonts w:hint="eastAsia" w:ascii="仿宋" w:hAnsi="仿宋" w:eastAsia="仿宋" w:cs="仿宋"/>
          <w:sz w:val="32"/>
          <w:szCs w:val="32"/>
        </w:rPr>
        <w:t>≤得分＜75分为一般；得分＜60分为较差。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eastAsia="zh-CN"/>
        </w:rPr>
        <w:t>我部门本年度整体支出情况最终得分</w:t>
      </w:r>
      <w:r>
        <w:rPr>
          <w:rFonts w:hint="eastAsia" w:ascii="仿宋" w:hAnsi="仿宋" w:eastAsia="仿宋" w:cs="仿宋"/>
          <w:b w:val="0"/>
          <w:bCs w:val="0"/>
          <w:sz w:val="32"/>
          <w:szCs w:val="32"/>
          <w:lang w:val="en-US" w:eastAsia="zh-CN"/>
        </w:rPr>
        <w:t>98分，综合绩效评价等级为优秀。</w:t>
      </w:r>
    </w:p>
    <w:p>
      <w:pPr>
        <w:keepNext w:val="0"/>
        <w:keepLines w:val="0"/>
        <w:pageBreakBefore w:val="0"/>
        <w:kinsoku/>
        <w:wordWrap/>
        <w:overflowPunct/>
        <w:topLinePunct w:val="0"/>
        <w:autoSpaceDE/>
        <w:autoSpaceDN/>
        <w:bidi w:val="0"/>
        <w:spacing w:line="578"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工作保障措施</w:t>
      </w:r>
    </w:p>
    <w:p>
      <w:pPr>
        <w:keepNext w:val="0"/>
        <w:keepLines w:val="0"/>
        <w:pageBreakBefore w:val="0"/>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加强组织领导，落实目标责任</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强化</w:t>
      </w:r>
      <w:r>
        <w:rPr>
          <w:rFonts w:hint="eastAsia" w:ascii="仿宋_GB2312" w:hAnsi="仿宋_GB2312" w:eastAsia="仿宋_GB2312" w:cs="仿宋_GB2312"/>
          <w:sz w:val="32"/>
          <w:szCs w:val="32"/>
        </w:rPr>
        <w:t>我区水利发展改革的作用，切实加强对水利工作的组织领导，强化水利规划实施的目标责任，将主要目标纳入政府工作目标体系，层层落实责任。</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2、建立工作机制，强化协调配合</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切实增强责任意识，认真履行职责，强化工作措施，抓好水利管理的各项任务实施工作，推动项目落实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建立有效的工作机制，明确责任，协调联动，协调推动水利发展。</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3、加大投入力度</w:t>
      </w:r>
      <w:r>
        <w:rPr>
          <w:rFonts w:hint="eastAsia" w:ascii="仿宋_GB2312" w:hAnsi="仿宋_GB2312" w:eastAsia="仿宋_GB2312" w:cs="仿宋_GB2312"/>
          <w:sz w:val="32"/>
          <w:szCs w:val="32"/>
          <w:lang w:eastAsia="zh-CN"/>
        </w:rPr>
        <w:t>，实施水利建设</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抓住加大水利基础设施建设及生态建设投入的重大战略机遇，用足用好各项政策，努力争取上级资金，加大投资倾斜力度，落实水利投入稳定增长机制的各项政策</w:t>
      </w:r>
      <w:r>
        <w:rPr>
          <w:rFonts w:hint="eastAsia" w:ascii="仿宋_GB2312" w:hAnsi="仿宋_GB2312" w:eastAsia="仿宋_GB2312" w:cs="仿宋_GB2312"/>
          <w:sz w:val="32"/>
          <w:szCs w:val="32"/>
          <w:lang w:eastAsia="zh-CN"/>
        </w:rPr>
        <w:t>，加快水利基础建设。</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4、健全考核体系，加强督查稽查</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进一步完善水利发展改革的绩效评价和考核办法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加大水利基础设施建设项目督导和检查力度，保障水</w:t>
      </w:r>
      <w:r>
        <w:rPr>
          <w:rFonts w:hint="eastAsia" w:ascii="仿宋_GB2312" w:hAnsi="仿宋_GB2312" w:eastAsia="仿宋_GB2312" w:cs="仿宋_GB2312"/>
          <w:sz w:val="32"/>
          <w:szCs w:val="32"/>
          <w:lang w:eastAsia="zh-CN"/>
        </w:rPr>
        <w:t>利</w:t>
      </w:r>
      <w:r>
        <w:rPr>
          <w:rFonts w:hint="eastAsia" w:ascii="仿宋_GB2312" w:hAnsi="仿宋_GB2312" w:eastAsia="仿宋_GB2312" w:cs="仿宋_GB2312"/>
          <w:sz w:val="32"/>
          <w:szCs w:val="32"/>
        </w:rPr>
        <w:t>基础设施建设顺利推进。</w:t>
      </w:r>
    </w:p>
    <w:p>
      <w:pPr>
        <w:keepNext w:val="0"/>
        <w:keepLines w:val="0"/>
        <w:pageBreakBefore w:val="0"/>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仿宋_GB2312" w:hAnsi="仿宋_GB2312" w:eastAsia="仿宋_GB2312" w:cs="仿宋_GB2312"/>
          <w:b/>
          <w:color w:val="000000"/>
          <w:sz w:val="32"/>
          <w:szCs w:val="32"/>
        </w:rPr>
      </w:pPr>
    </w:p>
    <w:p>
      <w:pPr>
        <w:keepNext w:val="0"/>
        <w:keepLines w:val="0"/>
        <w:pageBreakBefore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val="en-US" w:eastAsia="zh-CN"/>
        </w:rPr>
      </w:pPr>
    </w:p>
    <w:p>
      <w:pPr>
        <w:pageBreakBefore w:val="0"/>
        <w:kinsoku/>
        <w:wordWrap/>
        <w:overflowPunct/>
        <w:topLinePunct w:val="0"/>
        <w:autoSpaceDE/>
        <w:autoSpaceDN/>
        <w:bidi w:val="0"/>
        <w:adjustRightInd/>
        <w:spacing w:line="578" w:lineRule="exact"/>
        <w:textAlignment w:val="auto"/>
        <w:rPr>
          <w:rFonts w:hint="eastAsia" w:ascii="仿宋" w:hAnsi="仿宋" w:eastAsia="仿宋" w:cs="仿宋"/>
          <w:sz w:val="32"/>
          <w:szCs w:val="32"/>
          <w:lang w:val="en-US" w:eastAsia="zh-CN"/>
        </w:rPr>
      </w:pPr>
    </w:p>
    <w:sectPr>
      <w:footerReference r:id="rId3" w:type="default"/>
      <w:pgSz w:w="11906" w:h="16838"/>
      <w:pgMar w:top="2098" w:right="1474" w:bottom="198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Arial" w:hAnsi="Arial" w:cs="Arial"/>
        <w:sz w:val="24"/>
        <w:szCs w:val="24"/>
      </w:rPr>
    </w:pPr>
    <w:r>
      <w:rPr>
        <w:rFonts w:ascii="Arial" w:hAnsi="Arial" w:cs="Arial"/>
        <w:sz w:val="24"/>
        <w:szCs w:val="24"/>
      </w:rPr>
      <w:fldChar w:fldCharType="begin"/>
    </w:r>
    <w:r>
      <w:rPr>
        <w:rFonts w:ascii="Arial" w:hAnsi="Arial" w:cs="Arial"/>
        <w:sz w:val="24"/>
        <w:szCs w:val="24"/>
      </w:rPr>
      <w:instrText xml:space="preserve"> PAGE   \* MERGEFORMAT </w:instrText>
    </w:r>
    <w:r>
      <w:rPr>
        <w:rFonts w:ascii="Arial" w:hAnsi="Arial" w:cs="Arial"/>
        <w:sz w:val="24"/>
        <w:szCs w:val="24"/>
      </w:rPr>
      <w:fldChar w:fldCharType="separate"/>
    </w:r>
    <w:r>
      <w:rPr>
        <w:rFonts w:ascii="Arial" w:hAnsi="Arial" w:cs="Arial"/>
        <w:sz w:val="24"/>
        <w:szCs w:val="24"/>
        <w:lang w:val="zh-CN" w:eastAsia="zh-CN"/>
      </w:rPr>
      <w:t>4</w:t>
    </w:r>
    <w:r>
      <w:rPr>
        <w:rFonts w:ascii="Arial" w:hAnsi="Arial" w:cs="Arial"/>
        <w:sz w:val="24"/>
        <w:szCs w:val="24"/>
      </w:rPr>
      <w:fldChar w:fldCharType="end"/>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jMzFlOThlY2I3MzA3ZGEzZjc1NjYwNGEzNzNjYWQifQ=="/>
  </w:docVars>
  <w:rsids>
    <w:rsidRoot w:val="00000000"/>
    <w:rsid w:val="008F53B6"/>
    <w:rsid w:val="00E01A8B"/>
    <w:rsid w:val="010C3581"/>
    <w:rsid w:val="01722330"/>
    <w:rsid w:val="01F6326C"/>
    <w:rsid w:val="02060CF6"/>
    <w:rsid w:val="02AD7A2A"/>
    <w:rsid w:val="032255CB"/>
    <w:rsid w:val="03AA5DB1"/>
    <w:rsid w:val="04427E1C"/>
    <w:rsid w:val="057502DC"/>
    <w:rsid w:val="059E6375"/>
    <w:rsid w:val="064252FF"/>
    <w:rsid w:val="07513073"/>
    <w:rsid w:val="07696150"/>
    <w:rsid w:val="07AF1BE8"/>
    <w:rsid w:val="095531B4"/>
    <w:rsid w:val="0BF508DD"/>
    <w:rsid w:val="0D931390"/>
    <w:rsid w:val="0F507849"/>
    <w:rsid w:val="0F88359D"/>
    <w:rsid w:val="0FC73DD0"/>
    <w:rsid w:val="103C4890"/>
    <w:rsid w:val="10E13FEB"/>
    <w:rsid w:val="12855F2D"/>
    <w:rsid w:val="136A013D"/>
    <w:rsid w:val="13935A18"/>
    <w:rsid w:val="14591509"/>
    <w:rsid w:val="1524402C"/>
    <w:rsid w:val="152E5D8D"/>
    <w:rsid w:val="15620F2A"/>
    <w:rsid w:val="157849F7"/>
    <w:rsid w:val="158F39AD"/>
    <w:rsid w:val="16B1482B"/>
    <w:rsid w:val="184A764E"/>
    <w:rsid w:val="198C65F8"/>
    <w:rsid w:val="1A1071B6"/>
    <w:rsid w:val="1A2D72DB"/>
    <w:rsid w:val="1A717E52"/>
    <w:rsid w:val="1B3F51DF"/>
    <w:rsid w:val="1C240715"/>
    <w:rsid w:val="1EAA5DFB"/>
    <w:rsid w:val="1ECC4A61"/>
    <w:rsid w:val="1EF1727A"/>
    <w:rsid w:val="1EF921DA"/>
    <w:rsid w:val="20D364EF"/>
    <w:rsid w:val="239C45FC"/>
    <w:rsid w:val="244C3DD6"/>
    <w:rsid w:val="24F0183C"/>
    <w:rsid w:val="27D019DA"/>
    <w:rsid w:val="2810627B"/>
    <w:rsid w:val="2891075D"/>
    <w:rsid w:val="28F55961"/>
    <w:rsid w:val="294A16A7"/>
    <w:rsid w:val="2B324878"/>
    <w:rsid w:val="2B870602"/>
    <w:rsid w:val="2E1B0D0D"/>
    <w:rsid w:val="31402327"/>
    <w:rsid w:val="345830A1"/>
    <w:rsid w:val="3579545F"/>
    <w:rsid w:val="35EA31A9"/>
    <w:rsid w:val="37225683"/>
    <w:rsid w:val="393648D1"/>
    <w:rsid w:val="3BD57167"/>
    <w:rsid w:val="3BED0F94"/>
    <w:rsid w:val="3C7A66BB"/>
    <w:rsid w:val="3C9E2D5C"/>
    <w:rsid w:val="3E826A37"/>
    <w:rsid w:val="3EE25F6A"/>
    <w:rsid w:val="3F8A64BB"/>
    <w:rsid w:val="40C307B3"/>
    <w:rsid w:val="428C60A6"/>
    <w:rsid w:val="4329796C"/>
    <w:rsid w:val="44BF1512"/>
    <w:rsid w:val="44E46CFE"/>
    <w:rsid w:val="455B692F"/>
    <w:rsid w:val="46560EA5"/>
    <w:rsid w:val="46840DC3"/>
    <w:rsid w:val="4BC85FB6"/>
    <w:rsid w:val="4BE55522"/>
    <w:rsid w:val="4C5072DD"/>
    <w:rsid w:val="4D95548A"/>
    <w:rsid w:val="4DB90697"/>
    <w:rsid w:val="4F1E58EE"/>
    <w:rsid w:val="50243422"/>
    <w:rsid w:val="51222568"/>
    <w:rsid w:val="51B13496"/>
    <w:rsid w:val="51F55F49"/>
    <w:rsid w:val="531516D9"/>
    <w:rsid w:val="534A228D"/>
    <w:rsid w:val="537A2F30"/>
    <w:rsid w:val="54BB2692"/>
    <w:rsid w:val="550E4096"/>
    <w:rsid w:val="55412026"/>
    <w:rsid w:val="56C50D8B"/>
    <w:rsid w:val="58C57026"/>
    <w:rsid w:val="58F21563"/>
    <w:rsid w:val="5C5D3D2F"/>
    <w:rsid w:val="5E5021EA"/>
    <w:rsid w:val="5E822696"/>
    <w:rsid w:val="604516D3"/>
    <w:rsid w:val="63520D9F"/>
    <w:rsid w:val="642559F9"/>
    <w:rsid w:val="660E4EA0"/>
    <w:rsid w:val="6773716B"/>
    <w:rsid w:val="67755561"/>
    <w:rsid w:val="67A932AC"/>
    <w:rsid w:val="684B6375"/>
    <w:rsid w:val="68A87B5D"/>
    <w:rsid w:val="68F34310"/>
    <w:rsid w:val="691174A4"/>
    <w:rsid w:val="6B343919"/>
    <w:rsid w:val="6BFA214F"/>
    <w:rsid w:val="6C540873"/>
    <w:rsid w:val="6D5F085B"/>
    <w:rsid w:val="6E7E2B02"/>
    <w:rsid w:val="6F51697C"/>
    <w:rsid w:val="70F15792"/>
    <w:rsid w:val="732455A8"/>
    <w:rsid w:val="739834B6"/>
    <w:rsid w:val="73C86B5F"/>
    <w:rsid w:val="74850A24"/>
    <w:rsid w:val="749B4CE4"/>
    <w:rsid w:val="74BC0805"/>
    <w:rsid w:val="75C95155"/>
    <w:rsid w:val="77FE6B23"/>
    <w:rsid w:val="78834258"/>
    <w:rsid w:val="79F95709"/>
    <w:rsid w:val="7A0C6F6A"/>
    <w:rsid w:val="7CF251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adjustRightInd w:val="0"/>
      <w:spacing w:line="360" w:lineRule="atLeast"/>
      <w:ind w:firstLine="420"/>
      <w:jc w:val="left"/>
      <w:textAlignment w:val="baseline"/>
    </w:pPr>
    <w:rPr>
      <w:kern w:val="0"/>
      <w:sz w:val="25"/>
      <w:szCs w:val="20"/>
    </w:rPr>
  </w:style>
  <w:style w:type="paragraph" w:styleId="3">
    <w:name w:val="footer"/>
    <w:basedOn w:val="1"/>
    <w:qFormat/>
    <w:uiPriority w:val="99"/>
    <w:pPr>
      <w:tabs>
        <w:tab w:val="center" w:pos="4153"/>
        <w:tab w:val="right" w:pos="8306"/>
      </w:tabs>
      <w:snapToGrid w:val="0"/>
      <w:jc w:val="left"/>
    </w:pPr>
    <w:rPr>
      <w:sz w:val="18"/>
      <w:szCs w:val="18"/>
      <w:lang w:val="zh-CN" w:eastAsia="zh-CN"/>
    </w:rPr>
  </w:style>
  <w:style w:type="paragraph" w:styleId="4">
    <w:name w:val="index 9"/>
    <w:basedOn w:val="1"/>
    <w:next w:val="1"/>
    <w:qFormat/>
    <w:uiPriority w:val="0"/>
    <w:pPr>
      <w:ind w:left="1600" w:leftChars="1600"/>
    </w:pPr>
  </w:style>
  <w:style w:type="paragraph" w:styleId="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customStyle="1" w:styleId="8">
    <w:name w:val="No Spacing1"/>
    <w:qFormat/>
    <w:uiPriority w:val="0"/>
    <w:pPr>
      <w:widowControl w:val="0"/>
      <w:jc w:val="both"/>
    </w:pPr>
    <w:rPr>
      <w:rFonts w:ascii="宋体" w:hAnsi="宋体" w:eastAsia="宋体" w:cs="Times New Roman"/>
      <w:kern w:val="2"/>
      <w:sz w:val="32"/>
      <w:szCs w:val="24"/>
      <w:lang w:val="en-US" w:eastAsia="zh-CN" w:bidi="ar-SA"/>
    </w:rPr>
  </w:style>
  <w:style w:type="paragraph" w:customStyle="1" w:styleId="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4255</Words>
  <Characters>4288</Characters>
  <Lines>0</Lines>
  <Paragraphs>0</Paragraphs>
  <TotalTime>53</TotalTime>
  <ScaleCrop>false</ScaleCrop>
  <LinksUpToDate>false</LinksUpToDate>
  <CharactersWithSpaces>4295</CharactersWithSpaces>
  <Application>WPS Office_12.1.0.15066_F1E327BC-269C-435d-A152-05C5408002CA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2025-01-23T07:32:00Z</dcterms:created>
  <dc:creator>Administrator</dc:creator>
  <cp:lastModifiedBy>Administrator</cp:lastModifiedBy>
  <cp:lastPrinted>2025-04-27T07:30:00Z</cp:lastPrinted>
  <dcterms:modified xsi:type="dcterms:W3CDTF">2025-05-12T03:35:18Z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2052-12.1.0.15066</vt:lpwstr>
  </property>
  <property fmtid="{D5CDD505-2E9C-101B-9397-08002B2CF9AE}" pid="3" name="ICV">
    <vt:lpwstr>527AE621FB67484CB5B753FB328E0F54_13</vt:lpwstr>
  </property>
  <property fmtid="{D5CDD505-2E9C-101B-9397-08002B2CF9AE}" pid="4" name="KSOTemplateDocerSaveRecord">
    <vt:lpwstr>eyJoZGlkIjoiZTNhYzY3MThmMWQ1ZDA1ZjRkNGEyMTZmZDJkYjBkM2EifQ==</vt:lpwstr>
  </property>
</Properties>
</file>