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石家庄市鹿泉区住房和城乡建设局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2024年度整体支出绩效</w:t>
      </w:r>
      <w:r>
        <w:rPr>
          <w:rFonts w:hint="eastAsia" w:ascii="宋体" w:hAnsi="宋体" w:cs="宋体"/>
          <w:b/>
          <w:bCs/>
          <w:sz w:val="44"/>
          <w:szCs w:val="44"/>
        </w:rPr>
        <w:t>自评报告</w:t>
      </w:r>
    </w:p>
    <w:p>
      <w:pPr>
        <w:pStyle w:val="7"/>
      </w:pP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我单位对</w:t>
      </w:r>
      <w:r>
        <w:rPr>
          <w:rFonts w:hint="eastAsia" w:ascii="仿宋" w:hAnsi="仿宋" w:eastAsia="仿宋"/>
          <w:sz w:val="32"/>
          <w:szCs w:val="32"/>
          <w:lang w:val="en-US" w:eastAsia="zh-CN"/>
        </w:rPr>
        <w:t>2024年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pageBreakBefore w:val="0"/>
        <w:widowControl w:val="0"/>
        <w:kinsoku/>
        <w:wordWrap/>
        <w:overflowPunct/>
        <w:topLinePunct w:val="0"/>
        <w:autoSpaceDE/>
        <w:autoSpaceDN/>
        <w:bidi w:val="0"/>
        <w:adjustRightInd w:val="0"/>
        <w:snapToGrid w:val="0"/>
        <w:spacing w:line="540" w:lineRule="exact"/>
        <w:ind w:left="0" w:leftChars="0" w:right="0" w:rightChars="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p>
    <w:p>
      <w:pPr>
        <w:pageBreakBefore w:val="0"/>
        <w:widowControl w:val="0"/>
        <w:kinsoku/>
        <w:wordWrap/>
        <w:overflowPunct/>
        <w:topLinePunct w:val="0"/>
        <w:autoSpaceDE/>
        <w:autoSpaceDN/>
        <w:bidi w:val="0"/>
        <w:spacing w:line="540" w:lineRule="exact"/>
        <w:ind w:right="0" w:rightChars="0" w:firstLine="480" w:firstLineChars="15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ageBreakBefore w:val="0"/>
        <w:widowControl w:val="0"/>
        <w:kinsoku/>
        <w:wordWrap/>
        <w:overflowPunct/>
        <w:topLinePunct w:val="0"/>
        <w:autoSpaceDE/>
        <w:autoSpaceDN/>
        <w:bidi w:val="0"/>
        <w:spacing w:line="540" w:lineRule="exact"/>
        <w:ind w:right="0" w:rightChars="0"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（二）贯彻落实党中央、国务院和省、市、区关于城市管理相关工作的方针政策和法律法规。拟订城市管理中长期发展规划和年度计划并组织实施。</w:t>
      </w:r>
    </w:p>
    <w:p>
      <w:pPr>
        <w:pageBreakBefore w:val="0"/>
        <w:widowControl w:val="0"/>
        <w:kinsoku/>
        <w:wordWrap/>
        <w:overflowPunct/>
        <w:topLinePunct w:val="0"/>
        <w:autoSpaceDE/>
        <w:autoSpaceDN/>
        <w:bidi w:val="0"/>
        <w:spacing w:line="540" w:lineRule="exact"/>
        <w:ind w:right="0" w:rightChars="0" w:firstLine="473" w:firstLineChars="148"/>
        <w:rPr>
          <w:rFonts w:hint="eastAsia" w:ascii="仿宋" w:hAnsi="仿宋" w:eastAsia="仿宋" w:cs="仿宋"/>
          <w:bCs/>
          <w:color w:val="000000"/>
          <w:sz w:val="32"/>
          <w:szCs w:val="32"/>
        </w:rPr>
      </w:pPr>
      <w:r>
        <w:rPr>
          <w:rFonts w:hint="eastAsia" w:ascii="仿宋" w:hAnsi="仿宋" w:eastAsia="仿宋" w:cs="仿宋_GB2312"/>
          <w:bCs/>
          <w:color w:val="000000"/>
          <w:sz w:val="32"/>
          <w:szCs w:val="32"/>
        </w:rP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(四) 负责推进住房制度改革。贯彻落实住房政策，指导住房建设，推动住房制度改革；拟订住房建设发展规划并组织实施。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(五) 负责全区房地产市场的监督管理。贯彻落实房地产市场调控政策并监督执行；落实上级房地产业行业发展规划、产业政策和房地产开发、房屋交易、房屋租赁、房地产估价与经纪管理的规章制度并监督实施。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(六)负责建筑市场的监督管理。落实建筑市场发展规划和管理制度并监督实施；负责建筑劳务市场管理；负责建筑业企业的监督管理；</w:t>
      </w:r>
      <w:r>
        <w:rPr>
          <w:rFonts w:hint="eastAsia" w:ascii="仿宋" w:hAnsi="仿宋" w:eastAsia="仿宋" w:cs="仿宋"/>
          <w:bCs/>
          <w:color w:val="000000"/>
          <w:sz w:val="32"/>
          <w:szCs w:val="32"/>
        </w:rPr>
        <w:t>负责建设工程消防、人防设计相关工作的监督管理。</w:t>
      </w:r>
      <w:r>
        <w:rPr>
          <w:rFonts w:hint="eastAsia" w:ascii="仿宋" w:hAnsi="仿宋" w:eastAsia="仿宋" w:cs="仿宋_GB2312"/>
          <w:bCs/>
          <w:color w:val="000000"/>
          <w:sz w:val="32"/>
          <w:szCs w:val="32"/>
        </w:rPr>
        <w:t>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(八)推进新型城镇化（国家新型城镇化综合试点）建设工作。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(十四)负责全区污水处理及污水处理行业管理工作。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(十五)负责全区燃气行业管理工作。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(十六)负责城市建设档案监督管理工作。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(十七)负责直管公有住房的资产、售房款和售后维修资金的管理工作。会同有关部门做好支油、支铁建设协调工作。会同有关部门，做好城市建设行业涉及本部门的相关专业规划的编制和实施工作。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(十八)负责住房城乡建设行业信息采集、整理、统计、分析、发布等工作。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(十九)负责城区防汛工作。研究部署城区防汛工作，开展城区防汛宣传，提高全社会的防洪减灾意识，会同有关部门做好城区自然灾害应急处置工作。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(二十)实施范围内法律法规规章规定的行政处罚权有关的行政强制措施。</w:t>
      </w:r>
    </w:p>
    <w:p>
      <w:pPr>
        <w:keepNext/>
        <w:keepLines/>
        <w:pageBreakBefore w:val="0"/>
        <w:widowControl w:val="0"/>
        <w:kinsoku/>
        <w:wordWrap/>
        <w:overflowPunct/>
        <w:topLinePunct w:val="0"/>
        <w:autoSpaceDE/>
        <w:autoSpaceDN/>
        <w:bidi w:val="0"/>
        <w:spacing w:line="540" w:lineRule="exact"/>
        <w:ind w:right="0" w:rightChars="0" w:firstLine="640" w:firstLineChars="200"/>
        <w:jc w:val="left"/>
        <w:outlineLvl w:val="0"/>
        <w:rPr>
          <w:rFonts w:hint="eastAsia" w:ascii="仿宋" w:hAnsi="仿宋" w:eastAsia="仿宋"/>
          <w:sz w:val="32"/>
          <w:szCs w:val="32"/>
          <w:lang w:eastAsia="zh-CN"/>
        </w:rPr>
      </w:pPr>
      <w:r>
        <w:rPr>
          <w:rFonts w:hint="eastAsia" w:ascii="仿宋" w:hAnsi="仿宋" w:eastAsia="仿宋" w:cs="仿宋_GB2312"/>
          <w:bCs/>
          <w:color w:val="000000"/>
          <w:sz w:val="32"/>
          <w:szCs w:val="32"/>
        </w:rPr>
        <w:t>(二十一)完成区委、区政府交办的其他任务。</w:t>
      </w:r>
    </w:p>
    <w:p>
      <w:pPr>
        <w:pageBreakBefore w:val="0"/>
        <w:widowControl w:val="0"/>
        <w:numPr>
          <w:ilvl w:val="0"/>
          <w:numId w:val="0"/>
        </w:numPr>
        <w:kinsoku/>
        <w:wordWrap/>
        <w:overflowPunct/>
        <w:topLinePunct w:val="0"/>
        <w:autoSpaceDE/>
        <w:autoSpaceDN/>
        <w:bidi w:val="0"/>
        <w:adjustRightInd w:val="0"/>
        <w:snapToGrid w:val="0"/>
        <w:spacing w:line="540" w:lineRule="exact"/>
        <w:ind w:leftChars="200" w:right="0" w:rightChars="0"/>
        <w:textAlignment w:val="auto"/>
        <w:outlineLvl w:val="9"/>
        <w:rPr>
          <w:rFonts w:ascii="仿宋" w:hAnsi="仿宋" w:eastAsia="仿宋" w:cs="Times New Roman"/>
          <w:b w:val="0"/>
          <w:bCs w:val="0"/>
          <w:kern w:val="2"/>
          <w:sz w:val="32"/>
          <w:szCs w:val="32"/>
        </w:rPr>
      </w:pPr>
      <w:r>
        <w:rPr>
          <w:rFonts w:hint="eastAsia" w:ascii="仿宋" w:hAnsi="仿宋" w:eastAsia="仿宋"/>
          <w:sz w:val="32"/>
          <w:szCs w:val="32"/>
          <w:lang w:val="en-US" w:eastAsia="zh-CN"/>
        </w:rPr>
        <w:t>2、</w:t>
      </w:r>
      <w:r>
        <w:rPr>
          <w:rFonts w:hint="eastAsia" w:ascii="仿宋" w:hAnsi="仿宋" w:eastAsia="仿宋"/>
          <w:sz w:val="32"/>
          <w:szCs w:val="32"/>
          <w:lang w:eastAsia="zh-CN"/>
        </w:rPr>
        <w:t>组织机构及人员</w:t>
      </w:r>
    </w:p>
    <w:p>
      <w:pPr>
        <w:pageBreakBefore w:val="0"/>
        <w:widowControl w:val="0"/>
        <w:numPr>
          <w:ilvl w:val="0"/>
          <w:numId w:val="0"/>
        </w:numPr>
        <w:kinsoku/>
        <w:wordWrap/>
        <w:overflowPunct/>
        <w:topLinePunct w:val="0"/>
        <w:autoSpaceDE/>
        <w:autoSpaceDN/>
        <w:bidi w:val="0"/>
        <w:adjustRightInd w:val="0"/>
        <w:snapToGrid w:val="0"/>
        <w:spacing w:line="540" w:lineRule="exact"/>
        <w:ind w:leftChars="200" w:right="0" w:rightChars="0" w:firstLine="640" w:firstLineChars="200"/>
        <w:textAlignment w:val="auto"/>
        <w:outlineLvl w:val="9"/>
        <w:rPr>
          <w:rFonts w:hint="eastAsia"/>
          <w:lang w:eastAsia="zh-CN"/>
        </w:rPr>
      </w:pPr>
      <w:r>
        <w:rPr>
          <w:rFonts w:hint="eastAsia" w:ascii="仿宋" w:hAnsi="仿宋" w:eastAsia="仿宋" w:cs="仿宋"/>
          <w:b w:val="0"/>
          <w:bCs w:val="0"/>
          <w:kern w:val="2"/>
          <w:sz w:val="32"/>
          <w:szCs w:val="32"/>
        </w:rPr>
        <w:t>石家庄市鹿泉区</w:t>
      </w:r>
      <w:r>
        <w:rPr>
          <w:rFonts w:hint="eastAsia" w:ascii="仿宋" w:hAnsi="仿宋" w:eastAsia="仿宋" w:cs="仿宋"/>
          <w:b w:val="0"/>
          <w:bCs w:val="0"/>
          <w:kern w:val="2"/>
          <w:sz w:val="32"/>
          <w:szCs w:val="32"/>
          <w:lang w:eastAsia="zh-CN"/>
        </w:rPr>
        <w:t>住房和城乡建设局</w:t>
      </w:r>
      <w:r>
        <w:rPr>
          <w:rFonts w:hint="eastAsia" w:ascii="仿宋" w:hAnsi="仿宋" w:eastAsia="仿宋" w:cs="仿宋"/>
          <w:b w:val="0"/>
          <w:bCs w:val="0"/>
          <w:kern w:val="2"/>
          <w:sz w:val="32"/>
          <w:szCs w:val="32"/>
        </w:rPr>
        <w:t>为财政全额拨款一级预算单位，下属</w:t>
      </w:r>
      <w:r>
        <w:rPr>
          <w:rFonts w:hint="eastAsia" w:ascii="仿宋" w:hAnsi="仿宋" w:eastAsia="仿宋" w:cs="仿宋"/>
          <w:b w:val="0"/>
          <w:bCs w:val="0"/>
          <w:kern w:val="2"/>
          <w:sz w:val="32"/>
          <w:szCs w:val="32"/>
          <w:lang w:val="en-US" w:eastAsia="zh-CN"/>
        </w:rPr>
        <w:t>6</w:t>
      </w:r>
      <w:r>
        <w:rPr>
          <w:rFonts w:hint="eastAsia" w:ascii="仿宋" w:hAnsi="仿宋" w:eastAsia="仿宋" w:cs="仿宋"/>
          <w:b w:val="0"/>
          <w:bCs w:val="0"/>
          <w:kern w:val="2"/>
          <w:sz w:val="32"/>
          <w:szCs w:val="32"/>
        </w:rPr>
        <w:t>个二级预算单位，分别为：</w:t>
      </w:r>
      <w:r>
        <w:rPr>
          <w:rFonts w:hint="eastAsia" w:ascii="仿宋" w:hAnsi="仿宋" w:eastAsia="仿宋" w:cs="仿宋"/>
          <w:sz w:val="32"/>
          <w:szCs w:val="32"/>
        </w:rPr>
        <w:t>石家庄市鹿泉区房屋征收中心</w:t>
      </w:r>
      <w:r>
        <w:rPr>
          <w:rFonts w:hint="eastAsia" w:ascii="仿宋" w:hAnsi="仿宋" w:eastAsia="仿宋" w:cs="仿宋"/>
          <w:b w:val="0"/>
          <w:bCs w:val="0"/>
          <w:kern w:val="2"/>
          <w:sz w:val="32"/>
          <w:szCs w:val="32"/>
        </w:rPr>
        <w:t>、</w:t>
      </w:r>
      <w:r>
        <w:rPr>
          <w:rFonts w:hint="eastAsia" w:ascii="仿宋" w:hAnsi="仿宋" w:eastAsia="仿宋" w:cs="仿宋"/>
          <w:sz w:val="32"/>
          <w:szCs w:val="32"/>
        </w:rPr>
        <w:t>石家庄市鹿泉区城市建设服务中心</w:t>
      </w:r>
      <w:r>
        <w:rPr>
          <w:rFonts w:hint="eastAsia" w:ascii="仿宋" w:hAnsi="仿宋" w:eastAsia="仿宋" w:cs="仿宋"/>
          <w:b w:val="0"/>
          <w:bCs w:val="0"/>
          <w:kern w:val="2"/>
          <w:sz w:val="32"/>
          <w:szCs w:val="32"/>
          <w:lang w:eastAsia="zh-CN"/>
        </w:rPr>
        <w:t>、</w:t>
      </w:r>
      <w:r>
        <w:rPr>
          <w:rFonts w:hint="eastAsia" w:ascii="仿宋" w:hAnsi="仿宋" w:eastAsia="仿宋" w:cs="仿宋"/>
          <w:sz w:val="32"/>
          <w:szCs w:val="32"/>
        </w:rPr>
        <w:t>石家庄市鹿泉区</w:t>
      </w:r>
      <w:r>
        <w:rPr>
          <w:rFonts w:hint="eastAsia" w:ascii="仿宋" w:hAnsi="仿宋" w:eastAsia="仿宋" w:cs="仿宋"/>
          <w:sz w:val="32"/>
          <w:szCs w:val="32"/>
          <w:lang w:val="en-US" w:eastAsia="zh-CN"/>
        </w:rPr>
        <w:t>住房和建设监管综合服务中心</w:t>
      </w:r>
      <w:r>
        <w:rPr>
          <w:rFonts w:hint="eastAsia" w:ascii="仿宋" w:hAnsi="仿宋" w:eastAsia="仿宋" w:cs="仿宋"/>
          <w:b w:val="0"/>
          <w:bCs w:val="0"/>
          <w:kern w:val="2"/>
          <w:sz w:val="32"/>
          <w:szCs w:val="32"/>
          <w:lang w:eastAsia="zh-CN"/>
        </w:rPr>
        <w:t>、</w:t>
      </w:r>
      <w:r>
        <w:rPr>
          <w:rFonts w:hint="eastAsia" w:ascii="仿宋" w:hAnsi="仿宋" w:eastAsia="仿宋" w:cs="仿宋"/>
          <w:sz w:val="32"/>
          <w:szCs w:val="32"/>
        </w:rPr>
        <w:t>石家庄市鹿泉区建筑业</w:t>
      </w:r>
      <w:r>
        <w:rPr>
          <w:rFonts w:hint="eastAsia" w:ascii="仿宋" w:hAnsi="仿宋" w:eastAsia="仿宋" w:cs="仿宋"/>
          <w:sz w:val="32"/>
          <w:szCs w:val="32"/>
          <w:lang w:eastAsia="zh-CN"/>
        </w:rPr>
        <w:t>服务中心</w:t>
      </w:r>
      <w:r>
        <w:rPr>
          <w:rFonts w:hint="eastAsia" w:ascii="仿宋" w:hAnsi="仿宋" w:eastAsia="仿宋" w:cs="仿宋"/>
          <w:b w:val="0"/>
          <w:bCs w:val="0"/>
          <w:kern w:val="2"/>
          <w:sz w:val="32"/>
          <w:szCs w:val="32"/>
          <w:lang w:eastAsia="zh-CN"/>
        </w:rPr>
        <w:t>、</w:t>
      </w:r>
      <w:r>
        <w:rPr>
          <w:rFonts w:hint="eastAsia" w:ascii="仿宋" w:hAnsi="仿宋" w:eastAsia="仿宋" w:cs="仿宋"/>
          <w:color w:val="3D3D3D"/>
          <w:kern w:val="0"/>
          <w:sz w:val="32"/>
          <w:szCs w:val="32"/>
          <w:lang w:eastAsia="zh-CN"/>
        </w:rPr>
        <w:t>石家庄市</w:t>
      </w:r>
      <w:r>
        <w:rPr>
          <w:rFonts w:hint="eastAsia" w:ascii="仿宋" w:hAnsi="仿宋" w:eastAsia="仿宋" w:cs="仿宋"/>
          <w:color w:val="3D3D3D"/>
          <w:kern w:val="0"/>
          <w:sz w:val="32"/>
          <w:szCs w:val="32"/>
        </w:rPr>
        <w:t>鹿泉区廉租住房和经济适用住房管理中心</w:t>
      </w:r>
      <w:r>
        <w:rPr>
          <w:rFonts w:hint="eastAsia" w:ascii="仿宋" w:hAnsi="仿宋" w:eastAsia="仿宋" w:cs="仿宋"/>
          <w:color w:val="3D3D3D"/>
          <w:kern w:val="0"/>
          <w:sz w:val="32"/>
          <w:szCs w:val="32"/>
          <w:lang w:eastAsia="zh-CN"/>
        </w:rPr>
        <w:t>、石家庄市</w:t>
      </w:r>
      <w:r>
        <w:rPr>
          <w:rFonts w:hint="eastAsia" w:ascii="仿宋" w:hAnsi="仿宋" w:eastAsia="仿宋" w:cs="仿宋"/>
          <w:color w:val="3D3D3D"/>
          <w:kern w:val="0"/>
          <w:sz w:val="32"/>
          <w:szCs w:val="32"/>
        </w:rPr>
        <w:t>鹿泉区住房保障和房地产</w:t>
      </w:r>
      <w:r>
        <w:rPr>
          <w:rFonts w:hint="eastAsia" w:ascii="仿宋" w:hAnsi="仿宋" w:eastAsia="仿宋" w:cs="仿宋"/>
          <w:color w:val="3D3D3D"/>
          <w:kern w:val="0"/>
          <w:sz w:val="32"/>
          <w:szCs w:val="32"/>
          <w:lang w:eastAsia="zh-CN"/>
        </w:rPr>
        <w:t>服务中心</w:t>
      </w:r>
      <w:r>
        <w:rPr>
          <w:rFonts w:hint="eastAsia" w:ascii="仿宋" w:hAnsi="仿宋" w:eastAsia="仿宋" w:cs="仿宋"/>
          <w:sz w:val="32"/>
          <w:szCs w:val="32"/>
        </w:rPr>
        <w:t>。</w:t>
      </w:r>
      <w:r>
        <w:rPr>
          <w:rFonts w:hint="eastAsia" w:ascii="仿宋" w:hAnsi="仿宋" w:eastAsia="仿宋" w:cs="仿宋"/>
          <w:sz w:val="32"/>
          <w:szCs w:val="32"/>
          <w:lang w:eastAsia="zh-CN"/>
        </w:rPr>
        <w:t>我部门</w:t>
      </w:r>
      <w:r>
        <w:rPr>
          <w:rFonts w:hint="eastAsia" w:ascii="仿宋" w:hAnsi="仿宋" w:eastAsia="仿宋" w:cs="Times New Roman"/>
          <w:sz w:val="32"/>
          <w:szCs w:val="32"/>
          <w:highlight w:val="none"/>
        </w:rPr>
        <w:t>行政编制</w:t>
      </w:r>
      <w:r>
        <w:rPr>
          <w:rFonts w:hint="eastAsia" w:ascii="仿宋" w:hAnsi="仿宋" w:eastAsia="仿宋" w:cs="Times New Roman"/>
          <w:sz w:val="32"/>
          <w:szCs w:val="32"/>
          <w:highlight w:val="none"/>
          <w:lang w:val="en-US" w:eastAsia="zh-CN"/>
        </w:rPr>
        <w:t>16</w:t>
      </w:r>
      <w:r>
        <w:rPr>
          <w:rFonts w:hint="eastAsia" w:ascii="仿宋" w:hAnsi="仿宋" w:eastAsia="仿宋" w:cs="Times New Roman"/>
          <w:sz w:val="32"/>
          <w:szCs w:val="32"/>
          <w:highlight w:val="none"/>
        </w:rPr>
        <w:t>人、行政在职1</w:t>
      </w:r>
      <w:r>
        <w:rPr>
          <w:rFonts w:hint="eastAsia" w:ascii="仿宋" w:hAnsi="仿宋" w:eastAsia="仿宋" w:cs="Times New Roman"/>
          <w:sz w:val="32"/>
          <w:szCs w:val="32"/>
          <w:highlight w:val="none"/>
          <w:lang w:val="en-US" w:eastAsia="zh-CN"/>
        </w:rPr>
        <w:t>4</w:t>
      </w:r>
      <w:r>
        <w:rPr>
          <w:rFonts w:hint="eastAsia" w:ascii="仿宋" w:hAnsi="仿宋" w:eastAsia="仿宋" w:cs="Times New Roman"/>
          <w:sz w:val="32"/>
          <w:szCs w:val="32"/>
          <w:highlight w:val="none"/>
        </w:rPr>
        <w:t>人、事业编制</w:t>
      </w:r>
      <w:r>
        <w:rPr>
          <w:rFonts w:hint="eastAsia" w:ascii="仿宋" w:hAnsi="仿宋" w:eastAsia="仿宋" w:cs="Times New Roman"/>
          <w:sz w:val="32"/>
          <w:szCs w:val="32"/>
          <w:highlight w:val="none"/>
          <w:lang w:val="en-US" w:eastAsia="zh-CN"/>
        </w:rPr>
        <w:t>131</w:t>
      </w:r>
      <w:r>
        <w:rPr>
          <w:rFonts w:hint="eastAsia" w:ascii="仿宋" w:hAnsi="仿宋" w:eastAsia="仿宋" w:cs="Times New Roman"/>
          <w:sz w:val="32"/>
          <w:szCs w:val="32"/>
          <w:highlight w:val="none"/>
        </w:rPr>
        <w:t>人、事业在职</w:t>
      </w:r>
      <w:r>
        <w:rPr>
          <w:rFonts w:hint="eastAsia" w:ascii="仿宋" w:hAnsi="仿宋" w:eastAsia="仿宋" w:cs="Times New Roman"/>
          <w:sz w:val="32"/>
          <w:szCs w:val="32"/>
          <w:highlight w:val="none"/>
          <w:lang w:val="en-US" w:eastAsia="zh-CN"/>
        </w:rPr>
        <w:t>129</w:t>
      </w:r>
      <w:r>
        <w:rPr>
          <w:rFonts w:hint="eastAsia" w:ascii="仿宋" w:hAnsi="仿宋" w:eastAsia="仿宋" w:cs="Times New Roman"/>
          <w:sz w:val="32"/>
          <w:szCs w:val="32"/>
          <w:highlight w:val="none"/>
        </w:rPr>
        <w:t>人。</w:t>
      </w:r>
    </w:p>
    <w:p>
      <w:pPr>
        <w:pageBreakBefore w:val="0"/>
        <w:widowControl w:val="0"/>
        <w:numPr>
          <w:ilvl w:val="0"/>
          <w:numId w:val="1"/>
        </w:numPr>
        <w:kinsoku/>
        <w:wordWrap/>
        <w:overflowPunct/>
        <w:topLinePunct w:val="0"/>
        <w:autoSpaceDE/>
        <w:autoSpaceDN/>
        <w:bidi w:val="0"/>
        <w:adjustRightInd w:val="0"/>
        <w:snapToGrid w:val="0"/>
        <w:spacing w:line="540" w:lineRule="exact"/>
        <w:ind w:left="0" w:leftChars="0" w:right="0" w:rightChars="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4</w:t>
      </w:r>
      <w:r>
        <w:rPr>
          <w:rFonts w:hint="eastAsia" w:ascii="仿宋" w:hAnsi="仿宋" w:eastAsia="仿宋" w:cs="仿宋"/>
          <w:sz w:val="32"/>
          <w:szCs w:val="32"/>
        </w:rPr>
        <w:t>年度财政拨款本年收入</w:t>
      </w:r>
      <w:r>
        <w:rPr>
          <w:rFonts w:hint="eastAsia" w:ascii="仿宋" w:hAnsi="仿宋" w:eastAsia="仿宋"/>
          <w:sz w:val="32"/>
          <w:szCs w:val="32"/>
          <w:lang w:val="en-US" w:eastAsia="zh-CN"/>
        </w:rPr>
        <w:t>57320.08</w:t>
      </w:r>
      <w:r>
        <w:rPr>
          <w:rFonts w:hint="eastAsia" w:ascii="仿宋" w:hAnsi="仿宋" w:eastAsia="仿宋" w:cs="仿宋"/>
          <w:sz w:val="32"/>
          <w:szCs w:val="32"/>
        </w:rPr>
        <w:t>万元，完成年初预算的</w:t>
      </w:r>
      <w:r>
        <w:rPr>
          <w:rFonts w:hint="eastAsia" w:ascii="仿宋_GB2312" w:hAnsi="Times New Roman" w:eastAsia="仿宋_GB2312" w:cs="仿宋_GB2312"/>
          <w:sz w:val="32"/>
          <w:szCs w:val="32"/>
          <w:lang w:val="en-US" w:eastAsia="zh-CN"/>
        </w:rPr>
        <w:t>120.02</w:t>
      </w:r>
      <w:r>
        <w:rPr>
          <w:rFonts w:ascii="仿宋_GB2312" w:hAnsi="Times New Roman" w:eastAsia="仿宋_GB2312" w:cs="仿宋_GB2312"/>
          <w:sz w:val="32"/>
          <w:szCs w:val="32"/>
        </w:rPr>
        <w:t>%</w:t>
      </w:r>
      <w:r>
        <w:rPr>
          <w:rFonts w:hint="eastAsia" w:ascii="仿宋" w:hAnsi="仿宋" w:eastAsia="仿宋" w:cs="仿宋"/>
          <w:sz w:val="32"/>
          <w:szCs w:val="32"/>
        </w:rPr>
        <w:t>,比年初预算增加</w:t>
      </w:r>
      <w:r>
        <w:rPr>
          <w:rFonts w:hint="eastAsia" w:ascii="仿宋_GB2312" w:hAnsi="Times New Roman" w:eastAsia="仿宋_GB2312" w:cs="仿宋_GB2312"/>
          <w:sz w:val="32"/>
          <w:szCs w:val="32"/>
          <w:lang w:val="en-US" w:eastAsia="zh-CN"/>
        </w:rPr>
        <w:t>9560.95</w:t>
      </w:r>
      <w:r>
        <w:rPr>
          <w:rFonts w:hint="eastAsia" w:ascii="仿宋" w:hAnsi="仿宋" w:eastAsia="仿宋" w:cs="仿宋"/>
          <w:sz w:val="32"/>
          <w:szCs w:val="32"/>
        </w:rPr>
        <w:t>万元，</w:t>
      </w:r>
      <w:r>
        <w:rPr>
          <w:rFonts w:hint="eastAsia" w:ascii="仿宋_GB2312" w:hAnsi="Times New Roman" w:eastAsia="仿宋_GB2312" w:cs="仿宋_GB2312"/>
          <w:sz w:val="32"/>
          <w:szCs w:val="32"/>
        </w:rPr>
        <w:t>决算数大于预算数主要原因是</w:t>
      </w:r>
      <w:r>
        <w:rPr>
          <w:rFonts w:hint="eastAsia" w:ascii="仿宋_GB2312" w:hAnsi="Times New Roman" w:eastAsia="仿宋_GB2312" w:cs="Wingdings"/>
          <w:sz w:val="32"/>
          <w:szCs w:val="32"/>
        </w:rPr>
        <w:t>项目资金投入较</w:t>
      </w:r>
      <w:r>
        <w:rPr>
          <w:rFonts w:hint="eastAsia" w:ascii="仿宋_GB2312" w:hAnsi="Times New Roman" w:eastAsia="仿宋_GB2312" w:cs="Wingdings"/>
          <w:sz w:val="32"/>
          <w:szCs w:val="32"/>
          <w:lang w:eastAsia="zh-CN"/>
        </w:rPr>
        <w:t>大</w:t>
      </w:r>
      <w:r>
        <w:rPr>
          <w:rFonts w:hint="eastAsia" w:ascii="仿宋" w:hAnsi="仿宋" w:eastAsia="仿宋" w:cs="仿宋"/>
          <w:sz w:val="32"/>
          <w:szCs w:val="32"/>
        </w:rPr>
        <w:t>；</w:t>
      </w:r>
      <w:r>
        <w:rPr>
          <w:rFonts w:hint="eastAsia" w:ascii="仿宋_GB2312" w:hAnsi="Times New Roman" w:eastAsia="仿宋_GB2312" w:cs="仿宋_GB2312"/>
          <w:sz w:val="32"/>
          <w:szCs w:val="32"/>
        </w:rPr>
        <w:t>本年支出</w:t>
      </w:r>
      <w:r>
        <w:rPr>
          <w:rFonts w:hint="eastAsia" w:ascii="仿宋" w:hAnsi="仿宋" w:eastAsia="仿宋"/>
          <w:sz w:val="32"/>
          <w:szCs w:val="32"/>
          <w:lang w:val="en-US" w:eastAsia="zh-CN"/>
        </w:rPr>
        <w:t>57319.89</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120.02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9560.95</w:t>
      </w:r>
      <w:r>
        <w:rPr>
          <w:rFonts w:hint="eastAsia" w:ascii="仿宋_GB2312" w:hAnsi="Times New Roman" w:eastAsia="仿宋_GB2312" w:cs="仿宋_GB2312"/>
          <w:sz w:val="32"/>
          <w:szCs w:val="32"/>
        </w:rPr>
        <w:t>万元，决算数大于预算数主要原因是主要是</w:t>
      </w:r>
      <w:r>
        <w:rPr>
          <w:rFonts w:hint="eastAsia" w:ascii="仿宋_GB2312" w:hAnsi="Times New Roman" w:eastAsia="仿宋_GB2312" w:cs="Wingdings"/>
          <w:sz w:val="32"/>
          <w:szCs w:val="32"/>
        </w:rPr>
        <w:t>项目资金投入较</w:t>
      </w:r>
      <w:r>
        <w:rPr>
          <w:rFonts w:hint="eastAsia" w:ascii="仿宋_GB2312" w:hAnsi="Times New Roman" w:eastAsia="仿宋_GB2312" w:cs="Wingdings"/>
          <w:sz w:val="32"/>
          <w:szCs w:val="32"/>
          <w:lang w:eastAsia="zh-CN"/>
        </w:rPr>
        <w:t>大</w:t>
      </w:r>
      <w:r>
        <w:rPr>
          <w:rFonts w:hint="eastAsia" w:ascii="仿宋_GB2312" w:hAnsi="Times New Roman" w:eastAsia="仿宋_GB2312" w:cs="仿宋_GB2312"/>
          <w:sz w:val="32"/>
          <w:szCs w:val="32"/>
        </w:rPr>
        <w:t>。</w:t>
      </w:r>
      <w:r>
        <w:rPr>
          <w:rFonts w:hint="eastAsia" w:ascii="仿宋" w:hAnsi="仿宋" w:eastAsia="仿宋" w:cs="仿宋"/>
          <w:sz w:val="32"/>
          <w:szCs w:val="32"/>
        </w:rPr>
        <w:t>具体情况如下：</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rPr>
          <w:rFonts w:ascii="仿宋_GB2312" w:hAnsi="Times New Roman" w:eastAsia="仿宋_GB2312" w:cs="Times New Roman"/>
          <w:sz w:val="32"/>
          <w:szCs w:val="32"/>
          <w:shd w:val="clear" w:color="auto" w:fill="auto"/>
        </w:rPr>
      </w:pPr>
      <w:r>
        <w:rPr>
          <w:rFonts w:ascii="仿宋_GB2312" w:hAnsi="Times New Roman" w:eastAsia="仿宋_GB2312" w:cs="仿宋_GB2312"/>
          <w:sz w:val="32"/>
          <w:szCs w:val="32"/>
          <w:shd w:val="clear" w:color="auto" w:fill="auto"/>
        </w:rPr>
        <w:t>1.</w:t>
      </w:r>
      <w:r>
        <w:rPr>
          <w:rFonts w:hint="eastAsia" w:ascii="仿宋_GB2312" w:hAnsi="Times New Roman" w:eastAsia="仿宋_GB2312" w:cs="仿宋_GB2312"/>
          <w:sz w:val="32"/>
          <w:szCs w:val="32"/>
          <w:shd w:val="clear" w:color="auto" w:fill="auto"/>
        </w:rPr>
        <w:t>一般公共预算财政拨款本年收入完成年初预算</w:t>
      </w:r>
      <w:r>
        <w:rPr>
          <w:rFonts w:hint="eastAsia" w:ascii="仿宋_GB2312" w:hAnsi="Times New Roman" w:eastAsia="仿宋_GB2312" w:cs="仿宋_GB2312"/>
          <w:sz w:val="32"/>
          <w:szCs w:val="32"/>
          <w:shd w:val="clear" w:color="auto" w:fill="auto"/>
          <w:lang w:val="en-US" w:eastAsia="zh-CN"/>
        </w:rPr>
        <w:t>67.57</w:t>
      </w:r>
      <w:r>
        <w:rPr>
          <w:rFonts w:ascii="仿宋_GB2312" w:hAnsi="Times New Roman" w:eastAsia="仿宋_GB2312" w:cs="仿宋_GB2312"/>
          <w:sz w:val="32"/>
          <w:szCs w:val="32"/>
          <w:shd w:val="clear" w:color="auto" w:fill="auto"/>
        </w:rPr>
        <w:t>%</w:t>
      </w:r>
      <w:r>
        <w:rPr>
          <w:rFonts w:hint="eastAsia" w:ascii="仿宋_GB2312" w:hAnsi="Times New Roman" w:eastAsia="仿宋_GB2312" w:cs="仿宋_GB2312"/>
          <w:sz w:val="32"/>
          <w:szCs w:val="32"/>
          <w:shd w:val="clear" w:color="auto" w:fill="auto"/>
        </w:rPr>
        <w:t>，比年初预算</w:t>
      </w:r>
      <w:r>
        <w:rPr>
          <w:rFonts w:hint="eastAsia" w:ascii="仿宋_GB2312" w:hAnsi="Times New Roman" w:eastAsia="仿宋_GB2312" w:cs="仿宋_GB2312"/>
          <w:sz w:val="32"/>
          <w:szCs w:val="32"/>
          <w:shd w:val="clear" w:color="auto" w:fill="auto"/>
          <w:lang w:val="en-US" w:eastAsia="zh-CN"/>
        </w:rPr>
        <w:t>减少6457.49</w:t>
      </w:r>
      <w:r>
        <w:rPr>
          <w:rFonts w:hint="eastAsia" w:ascii="仿宋_GB2312" w:hAnsi="Times New Roman" w:eastAsia="仿宋_GB2312" w:cs="仿宋_GB2312"/>
          <w:sz w:val="32"/>
          <w:szCs w:val="32"/>
          <w:shd w:val="clear" w:color="auto" w:fill="auto"/>
        </w:rPr>
        <w:t>万元，主要是</w:t>
      </w:r>
      <w:r>
        <w:rPr>
          <w:rFonts w:hint="eastAsia" w:ascii="仿宋_GB2312" w:hAnsi="Times New Roman" w:eastAsia="仿宋_GB2312" w:cs="仿宋_GB2312"/>
          <w:sz w:val="32"/>
          <w:szCs w:val="32"/>
          <w:shd w:val="clear" w:color="auto" w:fill="auto"/>
          <w:lang w:eastAsia="zh-CN"/>
        </w:rPr>
        <w:t>一般预算财政拨款</w:t>
      </w:r>
      <w:r>
        <w:rPr>
          <w:rFonts w:hint="eastAsia" w:ascii="仿宋_GB2312" w:hAnsi="Times New Roman" w:eastAsia="仿宋_GB2312" w:cs="Wingdings"/>
          <w:sz w:val="32"/>
          <w:szCs w:val="32"/>
          <w:shd w:val="clear" w:color="auto" w:fill="auto"/>
        </w:rPr>
        <w:t>项目资金</w:t>
      </w:r>
      <w:r>
        <w:rPr>
          <w:rFonts w:hint="eastAsia" w:ascii="仿宋_GB2312" w:hAnsi="Times New Roman" w:eastAsia="仿宋_GB2312" w:cs="Wingdings"/>
          <w:sz w:val="32"/>
          <w:szCs w:val="32"/>
          <w:shd w:val="clear" w:color="auto" w:fill="auto"/>
          <w:lang w:val="en-US" w:eastAsia="zh-CN"/>
        </w:rPr>
        <w:t>减少</w:t>
      </w:r>
      <w:r>
        <w:rPr>
          <w:rFonts w:hint="eastAsia" w:ascii="仿宋_GB2312" w:hAnsi="Times New Roman" w:eastAsia="仿宋_GB2312" w:cs="仿宋_GB2312"/>
          <w:sz w:val="32"/>
          <w:szCs w:val="32"/>
          <w:shd w:val="clear" w:color="auto" w:fill="auto"/>
        </w:rPr>
        <w:t>；支出完成年初预算</w:t>
      </w:r>
      <w:r>
        <w:rPr>
          <w:rFonts w:hint="eastAsia" w:ascii="仿宋_GB2312" w:hAnsi="Times New Roman" w:eastAsia="仿宋_GB2312" w:cs="仿宋_GB2312"/>
          <w:sz w:val="32"/>
          <w:szCs w:val="32"/>
          <w:shd w:val="clear" w:color="auto" w:fill="auto"/>
          <w:lang w:val="en-US" w:eastAsia="zh-CN"/>
        </w:rPr>
        <w:t>37.57</w:t>
      </w:r>
      <w:r>
        <w:rPr>
          <w:rFonts w:ascii="仿宋_GB2312" w:hAnsi="Times New Roman" w:eastAsia="仿宋_GB2312" w:cs="仿宋_GB2312"/>
          <w:sz w:val="32"/>
          <w:szCs w:val="32"/>
          <w:shd w:val="clear" w:color="auto" w:fill="auto"/>
        </w:rPr>
        <w:t>%</w:t>
      </w:r>
      <w:r>
        <w:rPr>
          <w:rFonts w:hint="eastAsia" w:ascii="仿宋_GB2312" w:hAnsi="Times New Roman" w:eastAsia="仿宋_GB2312" w:cs="仿宋_GB2312"/>
          <w:sz w:val="32"/>
          <w:szCs w:val="32"/>
          <w:shd w:val="clear" w:color="auto" w:fill="auto"/>
        </w:rPr>
        <w:t>，比年初预算</w:t>
      </w:r>
      <w:r>
        <w:rPr>
          <w:rFonts w:hint="eastAsia" w:ascii="仿宋_GB2312" w:hAnsi="Times New Roman" w:eastAsia="仿宋_GB2312" w:cs="仿宋_GB2312"/>
          <w:sz w:val="32"/>
          <w:szCs w:val="32"/>
          <w:shd w:val="clear" w:color="auto" w:fill="auto"/>
          <w:lang w:eastAsia="zh-CN"/>
        </w:rPr>
        <w:t>减少</w:t>
      </w:r>
      <w:r>
        <w:rPr>
          <w:rFonts w:hint="eastAsia" w:ascii="仿宋_GB2312" w:hAnsi="Times New Roman" w:eastAsia="仿宋_GB2312" w:cs="仿宋_GB2312"/>
          <w:sz w:val="32"/>
          <w:szCs w:val="32"/>
          <w:shd w:val="clear" w:color="auto" w:fill="auto"/>
          <w:lang w:val="en-US" w:eastAsia="zh-CN"/>
        </w:rPr>
        <w:t>5467.49</w:t>
      </w:r>
      <w:r>
        <w:rPr>
          <w:rFonts w:hint="eastAsia" w:ascii="仿宋_GB2312" w:hAnsi="Times New Roman" w:eastAsia="仿宋_GB2312" w:cs="仿宋_GB2312"/>
          <w:sz w:val="32"/>
          <w:szCs w:val="32"/>
          <w:shd w:val="clear" w:color="auto" w:fill="auto"/>
        </w:rPr>
        <w:t>万元，主要是</w:t>
      </w:r>
      <w:r>
        <w:rPr>
          <w:rFonts w:hint="eastAsia" w:ascii="仿宋_GB2312" w:hAnsi="Times New Roman" w:eastAsia="仿宋_GB2312" w:cs="仿宋_GB2312"/>
          <w:sz w:val="32"/>
          <w:szCs w:val="32"/>
          <w:shd w:val="clear" w:color="auto" w:fill="auto"/>
          <w:lang w:eastAsia="zh-CN"/>
        </w:rPr>
        <w:t>一般预算财政拨款</w:t>
      </w:r>
      <w:r>
        <w:rPr>
          <w:rFonts w:hint="eastAsia" w:ascii="仿宋_GB2312" w:hAnsi="Times New Roman" w:eastAsia="仿宋_GB2312" w:cs="Wingdings"/>
          <w:sz w:val="32"/>
          <w:szCs w:val="32"/>
          <w:shd w:val="clear" w:color="auto" w:fill="auto"/>
        </w:rPr>
        <w:t>项目资金</w:t>
      </w:r>
      <w:r>
        <w:rPr>
          <w:rFonts w:hint="eastAsia" w:ascii="仿宋_GB2312" w:hAnsi="Times New Roman" w:eastAsia="仿宋_GB2312" w:cs="Wingdings"/>
          <w:sz w:val="32"/>
          <w:szCs w:val="32"/>
          <w:shd w:val="clear" w:color="auto" w:fill="auto"/>
          <w:lang w:eastAsia="zh-CN"/>
        </w:rPr>
        <w:t>减少</w:t>
      </w:r>
      <w:r>
        <w:rPr>
          <w:rFonts w:hint="eastAsia" w:ascii="仿宋_GB2312" w:hAnsi="Times New Roman" w:eastAsia="仿宋_GB2312" w:cs="仿宋_GB2312"/>
          <w:sz w:val="32"/>
          <w:szCs w:val="32"/>
          <w:shd w:val="clear" w:color="auto" w:fill="auto"/>
        </w:rPr>
        <w:t>。</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rPr>
          <w:rFonts w:hint="eastAsia"/>
          <w:shd w:val="clear" w:color="auto" w:fill="auto"/>
          <w:lang w:eastAsia="zh-CN"/>
        </w:rPr>
      </w:pPr>
      <w:r>
        <w:rPr>
          <w:rFonts w:ascii="仿宋_GB2312" w:hAnsi="Times New Roman" w:eastAsia="仿宋_GB2312" w:cs="仿宋_GB2312"/>
          <w:sz w:val="32"/>
          <w:szCs w:val="32"/>
          <w:shd w:val="clear" w:color="auto" w:fill="auto"/>
        </w:rPr>
        <w:t>2.</w:t>
      </w:r>
      <w:r>
        <w:rPr>
          <w:rFonts w:hint="eastAsia" w:ascii="仿宋_GB2312" w:hAnsi="Times New Roman" w:eastAsia="仿宋_GB2312" w:cs="仿宋_GB2312"/>
          <w:sz w:val="32"/>
          <w:szCs w:val="32"/>
          <w:shd w:val="clear" w:color="auto" w:fill="auto"/>
        </w:rPr>
        <w:t>政府性基金预算财政拨款本年收入完成年初预算</w:t>
      </w:r>
      <w:r>
        <w:rPr>
          <w:rFonts w:hint="eastAsia" w:ascii="仿宋_GB2312" w:hAnsi="Times New Roman" w:eastAsia="仿宋_GB2312" w:cs="仿宋_GB2312"/>
          <w:sz w:val="32"/>
          <w:szCs w:val="32"/>
          <w:shd w:val="clear" w:color="auto" w:fill="auto"/>
          <w:lang w:val="en-US" w:eastAsia="zh-CN"/>
        </w:rPr>
        <w:t>157.52</w:t>
      </w:r>
      <w:r>
        <w:rPr>
          <w:rFonts w:ascii="仿宋_GB2312" w:hAnsi="Times New Roman" w:eastAsia="仿宋_GB2312" w:cs="仿宋_GB2312"/>
          <w:sz w:val="32"/>
          <w:szCs w:val="32"/>
          <w:shd w:val="clear" w:color="auto" w:fill="auto"/>
        </w:rPr>
        <w:t>%</w:t>
      </w:r>
      <w:r>
        <w:rPr>
          <w:rFonts w:hint="eastAsia" w:ascii="仿宋_GB2312" w:hAnsi="Times New Roman" w:eastAsia="仿宋_GB2312" w:cs="仿宋_GB2312"/>
          <w:sz w:val="32"/>
          <w:szCs w:val="32"/>
          <w:shd w:val="clear" w:color="auto" w:fill="auto"/>
        </w:rPr>
        <w:t>，比年初预算</w:t>
      </w:r>
      <w:r>
        <w:rPr>
          <w:rFonts w:hint="eastAsia" w:ascii="仿宋_GB2312" w:hAnsi="Times New Roman" w:eastAsia="仿宋_GB2312" w:cs="仿宋_GB2312"/>
          <w:sz w:val="32"/>
          <w:szCs w:val="32"/>
          <w:shd w:val="clear" w:color="auto" w:fill="auto"/>
          <w:lang w:val="en-US" w:eastAsia="zh-CN"/>
        </w:rPr>
        <w:t>增加16018.4</w:t>
      </w:r>
      <w:r>
        <w:rPr>
          <w:rFonts w:hint="eastAsia" w:ascii="仿宋_GB2312" w:hAnsi="Times New Roman" w:eastAsia="仿宋_GB2312" w:cs="仿宋_GB2312"/>
          <w:sz w:val="32"/>
          <w:szCs w:val="32"/>
          <w:shd w:val="clear" w:color="auto" w:fill="auto"/>
        </w:rPr>
        <w:t>万元，主要是</w:t>
      </w:r>
      <w:r>
        <w:rPr>
          <w:rFonts w:hint="eastAsia" w:ascii="仿宋_GB2312" w:hAnsi="Times New Roman" w:eastAsia="仿宋_GB2312" w:cs="仿宋_GB2312"/>
          <w:sz w:val="32"/>
          <w:szCs w:val="32"/>
          <w:shd w:val="clear" w:color="auto" w:fill="auto"/>
          <w:lang w:eastAsia="zh-CN"/>
        </w:rPr>
        <w:t>调整部门预算</w:t>
      </w:r>
      <w:r>
        <w:rPr>
          <w:rFonts w:hint="eastAsia" w:ascii="仿宋_GB2312" w:hAnsi="Times New Roman" w:eastAsia="仿宋_GB2312" w:cs="仿宋_GB2312"/>
          <w:sz w:val="32"/>
          <w:szCs w:val="32"/>
          <w:shd w:val="clear" w:color="auto" w:fill="auto"/>
        </w:rPr>
        <w:t>；支出完成年初预算</w:t>
      </w:r>
      <w:r>
        <w:rPr>
          <w:rFonts w:hint="eastAsia" w:ascii="仿宋_GB2312" w:hAnsi="Times New Roman" w:eastAsia="仿宋_GB2312" w:cs="仿宋_GB2312"/>
          <w:sz w:val="32"/>
          <w:szCs w:val="32"/>
          <w:shd w:val="clear" w:color="auto" w:fill="auto"/>
          <w:lang w:val="en-US" w:eastAsia="zh-CN"/>
        </w:rPr>
        <w:t>157.25</w:t>
      </w:r>
      <w:r>
        <w:rPr>
          <w:rFonts w:ascii="仿宋_GB2312" w:hAnsi="Times New Roman" w:eastAsia="仿宋_GB2312" w:cs="仿宋_GB2312"/>
          <w:sz w:val="32"/>
          <w:szCs w:val="32"/>
          <w:shd w:val="clear" w:color="auto" w:fill="auto"/>
        </w:rPr>
        <w:t>%</w:t>
      </w:r>
      <w:r>
        <w:rPr>
          <w:rFonts w:hint="eastAsia" w:ascii="仿宋_GB2312" w:hAnsi="Times New Roman" w:eastAsia="仿宋_GB2312" w:cs="仿宋_GB2312"/>
          <w:sz w:val="32"/>
          <w:szCs w:val="32"/>
          <w:shd w:val="clear" w:color="auto" w:fill="auto"/>
        </w:rPr>
        <w:t>，比年初预算增加</w:t>
      </w:r>
      <w:r>
        <w:rPr>
          <w:rFonts w:hint="eastAsia" w:ascii="仿宋_GB2312" w:hAnsi="Times New Roman" w:eastAsia="仿宋_GB2312" w:cs="仿宋_GB2312"/>
          <w:sz w:val="32"/>
          <w:szCs w:val="32"/>
          <w:shd w:val="clear" w:color="auto" w:fill="auto"/>
          <w:lang w:val="en-US" w:eastAsia="zh-CN"/>
        </w:rPr>
        <w:t>16018.4</w:t>
      </w:r>
      <w:r>
        <w:rPr>
          <w:rFonts w:hint="eastAsia" w:ascii="仿宋_GB2312" w:hAnsi="Times New Roman" w:eastAsia="仿宋_GB2312" w:cs="仿宋_GB2312"/>
          <w:sz w:val="32"/>
          <w:szCs w:val="32"/>
          <w:shd w:val="clear" w:color="auto" w:fill="auto"/>
        </w:rPr>
        <w:t>万元，主要是</w:t>
      </w:r>
      <w:r>
        <w:rPr>
          <w:rFonts w:hint="eastAsia" w:ascii="仿宋_GB2312" w:hAnsi="Times New Roman" w:eastAsia="仿宋_GB2312" w:cs="Wingdings"/>
          <w:sz w:val="32"/>
          <w:szCs w:val="32"/>
          <w:shd w:val="clear" w:color="auto" w:fill="auto"/>
        </w:rPr>
        <w:t>项目资金投入较</w:t>
      </w:r>
      <w:r>
        <w:rPr>
          <w:rFonts w:hint="eastAsia" w:ascii="仿宋_GB2312" w:hAnsi="Times New Roman" w:eastAsia="仿宋_GB2312" w:cs="Wingdings"/>
          <w:sz w:val="32"/>
          <w:szCs w:val="32"/>
          <w:shd w:val="clear" w:color="auto" w:fill="auto"/>
          <w:lang w:eastAsia="zh-CN"/>
        </w:rPr>
        <w:t>大</w:t>
      </w:r>
      <w:r>
        <w:rPr>
          <w:rFonts w:hint="eastAsia" w:ascii="仿宋_GB2312" w:hAnsi="Times New Roman" w:eastAsia="仿宋_GB2312" w:cs="仿宋_GB2312"/>
          <w:sz w:val="32"/>
          <w:szCs w:val="32"/>
          <w:shd w:val="clear" w:color="auto" w:fill="auto"/>
        </w:rPr>
        <w:t>。</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总目标：细化预算编制工作，认真做好预算编制；加强财务管理，严格财务审核；抓好“三公经费”控制管理，确保各项业务工作任务圆满完成。</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预决算公开：2024年按照上级要求，我部门在政府网站进行了预决算公开。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资产管理：我部门进一步加强资产的管理，制定了《资产管理内控制度》等制度，明确了具体责任人，完善了固定资产档案，严格报批、销审等手续，做好资产登记工作，单位无任何资产流失现象。</w:t>
      </w:r>
    </w:p>
    <w:p>
      <w:pPr>
        <w:pageBreakBefore w:val="0"/>
        <w:widowControl w:val="0"/>
        <w:kinsoku/>
        <w:wordWrap/>
        <w:overflowPunct/>
        <w:topLinePunct w:val="0"/>
        <w:autoSpaceDE/>
        <w:autoSpaceDN/>
        <w:bidi w:val="0"/>
        <w:adjustRightInd w:val="0"/>
        <w:snapToGrid w:val="0"/>
        <w:spacing w:line="540" w:lineRule="exact"/>
        <w:ind w:right="0" w:righ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三公经费控制情况：我部门贯彻落实上级有关精神，严格控制“三公经费”支出，取得了良好的效果。具体情况如下：</w:t>
      </w:r>
      <w:r>
        <w:rPr>
          <w:rFonts w:hint="eastAsia" w:ascii="仿宋" w:hAnsi="仿宋" w:eastAsia="仿宋" w:cs="仿宋"/>
          <w:sz w:val="32"/>
          <w:szCs w:val="32"/>
        </w:rPr>
        <w:t>本部门202</w:t>
      </w:r>
      <w:r>
        <w:rPr>
          <w:rFonts w:hint="eastAsia" w:ascii="仿宋" w:hAnsi="仿宋" w:eastAsia="仿宋" w:cs="仿宋"/>
          <w:sz w:val="32"/>
          <w:szCs w:val="32"/>
          <w:lang w:val="en-US" w:eastAsia="zh-CN"/>
        </w:rPr>
        <w:t>4</w:t>
      </w:r>
      <w:r>
        <w:rPr>
          <w:rFonts w:hint="eastAsia" w:ascii="仿宋" w:hAnsi="仿宋" w:eastAsia="仿宋" w:cs="仿宋"/>
          <w:sz w:val="32"/>
          <w:szCs w:val="32"/>
        </w:rPr>
        <w:t>年度“三公”经费财政拨款支出预算为</w:t>
      </w:r>
      <w:r>
        <w:rPr>
          <w:rFonts w:hint="eastAsia" w:ascii="仿宋_GB2312" w:hAnsi="Times New Roman" w:eastAsia="仿宋_GB2312" w:cs="仿宋_GB2312"/>
          <w:sz w:val="32"/>
          <w:szCs w:val="32"/>
          <w:lang w:val="en-US" w:eastAsia="zh-CN"/>
        </w:rPr>
        <w:t>18.9</w:t>
      </w:r>
      <w:r>
        <w:rPr>
          <w:rFonts w:hint="eastAsia" w:ascii="仿宋" w:hAnsi="仿宋" w:eastAsia="仿宋" w:cs="仿宋"/>
          <w:sz w:val="32"/>
          <w:szCs w:val="32"/>
        </w:rPr>
        <w:t>万元，支出决算为</w:t>
      </w:r>
      <w:r>
        <w:rPr>
          <w:rFonts w:hint="eastAsia" w:ascii="仿宋_GB2312" w:hAnsi="Times New Roman" w:eastAsia="仿宋_GB2312" w:cs="仿宋_GB2312"/>
          <w:sz w:val="32"/>
          <w:szCs w:val="32"/>
          <w:lang w:val="en-US" w:eastAsia="zh-CN"/>
        </w:rPr>
        <w:t>15.84</w:t>
      </w:r>
      <w:r>
        <w:rPr>
          <w:rFonts w:hint="eastAsia" w:ascii="仿宋" w:hAnsi="仿宋" w:eastAsia="仿宋" w:cs="仿宋"/>
          <w:sz w:val="32"/>
          <w:szCs w:val="32"/>
        </w:rPr>
        <w:t>万元，</w:t>
      </w:r>
      <w:r>
        <w:rPr>
          <w:rFonts w:hint="eastAsia" w:ascii="仿宋_GB2312" w:hAnsi="Times New Roman" w:eastAsia="仿宋_GB2312" w:cs="仿宋_GB2312"/>
          <w:sz w:val="32"/>
          <w:szCs w:val="32"/>
        </w:rPr>
        <w:t>完成预算的</w:t>
      </w:r>
      <w:r>
        <w:rPr>
          <w:rFonts w:hint="eastAsia" w:ascii="仿宋_GB2312" w:hAnsi="Times New Roman" w:eastAsia="仿宋_GB2312" w:cs="仿宋_GB2312"/>
          <w:sz w:val="32"/>
          <w:szCs w:val="32"/>
          <w:lang w:val="en-US" w:eastAsia="zh-CN"/>
        </w:rPr>
        <w:t>83.81</w:t>
      </w:r>
      <w:r>
        <w:rPr>
          <w:rFonts w:ascii="仿宋_GB2312" w:hAnsi="Times New Roman" w:eastAsia="仿宋_GB2312" w:cs="仿宋_GB2312"/>
          <w:sz w:val="32"/>
          <w:szCs w:val="32"/>
        </w:rPr>
        <w:t>%</w:t>
      </w:r>
      <w:r>
        <w:rPr>
          <w:rFonts w:hint="eastAsia" w:ascii="仿宋" w:hAnsi="仿宋" w:eastAsia="仿宋" w:cs="仿宋"/>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3.06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16.19</w:t>
      </w:r>
      <w:r>
        <w:rPr>
          <w:rFonts w:ascii="仿宋_GB2312" w:hAnsi="Times New Roman" w:eastAsia="仿宋_GB2312" w:cs="仿宋_GB2312"/>
          <w:sz w:val="32"/>
          <w:szCs w:val="32"/>
        </w:rPr>
        <w:t>%</w:t>
      </w:r>
      <w:r>
        <w:rPr>
          <w:rFonts w:hint="eastAsia" w:ascii="仿宋" w:hAnsi="仿宋" w:eastAsia="仿宋" w:cs="仿宋"/>
          <w:sz w:val="32"/>
          <w:szCs w:val="32"/>
        </w:rPr>
        <w:t>，主要是</w:t>
      </w:r>
      <w:r>
        <w:rPr>
          <w:rFonts w:hint="eastAsia" w:ascii="仿宋" w:hAnsi="仿宋" w:eastAsia="仿宋" w:cs="仿宋"/>
          <w:sz w:val="32"/>
          <w:szCs w:val="32"/>
          <w:lang w:val="en-US" w:eastAsia="zh-CN"/>
        </w:rPr>
        <w:t>厉行节约从严控制公务用车</w:t>
      </w:r>
      <w:r>
        <w:rPr>
          <w:rFonts w:hint="eastAsia" w:ascii="仿宋" w:hAnsi="仿宋" w:eastAsia="仿宋" w:cs="仿宋"/>
          <w:sz w:val="32"/>
          <w:szCs w:val="32"/>
        </w:rPr>
        <w:t>；</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0.25</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1.53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厉行节约，</w:t>
      </w:r>
      <w:r>
        <w:rPr>
          <w:rFonts w:hint="eastAsia" w:ascii="仿宋_GB2312" w:eastAsia="仿宋_GB2312" w:cs="DengXian-Regular"/>
          <w:sz w:val="32"/>
          <w:szCs w:val="32"/>
        </w:rPr>
        <w:t>从严控制“三公”经费开支</w:t>
      </w:r>
      <w:r>
        <w:rPr>
          <w:rFonts w:hint="eastAsia" w:ascii="仿宋_GB2312" w:hAnsi="Times New Roman" w:eastAsia="仿宋_GB2312" w:cs="仿宋_GB2312"/>
          <w:sz w:val="32"/>
          <w:szCs w:val="32"/>
        </w:rPr>
        <w:t>。</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项目绩效总目标完成情况：2024年我部门完成各项工作任务。</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pStyle w:val="7"/>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2025年绩效自评工作的通知》相关要求，对2024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2024年区级预算项目进行自查自评，形成绩效评价报告。</w:t>
      </w:r>
    </w:p>
    <w:p>
      <w:pPr>
        <w:pageBreakBefore w:val="0"/>
        <w:widowControl w:val="0"/>
        <w:numPr>
          <w:ilvl w:val="0"/>
          <w:numId w:val="2"/>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核实数据：对2024年度部门整体支出数据的准确性、真实性进行核实，将2023年度和2024年度部门整体支出情况进行分析比较；</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查阅资料：查阅2024年度预算安排、预算追加、资金管理、经费支出、资产管理等相关文件资料和财务凭证；</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rPr>
      </w:pPr>
      <w:r>
        <w:rPr>
          <w:rFonts w:hint="eastAsia" w:ascii="仿宋" w:hAnsi="仿宋" w:eastAsia="仿宋" w:cs="仿宋"/>
          <w:sz w:val="32"/>
          <w:szCs w:val="32"/>
          <w:lang w:val="en-US" w:eastAsia="zh-CN"/>
        </w:rPr>
        <w:t>形成部门整体支出绩效自评报告。</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pageBreakBefore w:val="0"/>
        <w:widowControl w:val="0"/>
        <w:numPr>
          <w:ilvl w:val="0"/>
          <w:numId w:val="4"/>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pStyle w:val="12"/>
        <w:rPr>
          <w:rFonts w:hint="eastAsia" w:ascii="仿宋" w:hAnsi="仿宋" w:eastAsia="仿宋" w:cs="仿宋"/>
          <w:sz w:val="32"/>
          <w:szCs w:val="32"/>
        </w:rPr>
      </w:pPr>
      <w:r>
        <w:rPr>
          <w:rFonts w:hint="eastAsia" w:ascii="仿宋" w:hAnsi="仿宋" w:eastAsia="仿宋" w:cs="仿宋"/>
          <w:sz w:val="32"/>
          <w:szCs w:val="32"/>
        </w:rPr>
        <w:t>坚持以</w:t>
      </w:r>
      <w:r>
        <w:rPr>
          <w:rFonts w:hint="eastAsia" w:ascii="仿宋" w:hAnsi="仿宋" w:eastAsia="仿宋" w:cs="仿宋"/>
          <w:sz w:val="32"/>
          <w:szCs w:val="32"/>
          <w:lang w:eastAsia="zh-CN"/>
        </w:rPr>
        <w:t>习近平新时代中国特色</w:t>
      </w:r>
      <w:r>
        <w:rPr>
          <w:rFonts w:hint="eastAsia" w:ascii="仿宋" w:hAnsi="仿宋" w:eastAsia="仿宋" w:cs="仿宋"/>
          <w:sz w:val="32"/>
          <w:szCs w:val="32"/>
        </w:rPr>
        <w:t>社会主义思想为指导，坚决落实区委、区政府各项工作部署，推动住房和城乡建设工作高质量发展取得阶段性成效，为建设现代化经济强区、魅力鹿泉、生态宜居宜业宜游新城区贡献了应有力量。</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pStyle w:val="13"/>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坚持用情用力办好民生实事。始终坚持以人民为中心。打好商品住房项目保交房攻坚战，按照市场化、法治化原则，分类处置在建已售未交付的商品住房项目，推动项目建设交付，切实保障购房人合法权益。要充分用好城市房地产融资协调机制，协助符合条件的项目纳入“白名单”。加快推动贺庄、稻香村、深圳科技园保障性租赁住房项目建设，加大人才公寓筹集力度，解决具有新市民、青年人住房问题。持续开展提升物业服务水平专项行动，着力打造宜居舒适的干净小区。</w:t>
      </w:r>
    </w:p>
    <w:p>
      <w:pPr>
        <w:pStyle w:val="13"/>
        <w:rPr>
          <w:rFonts w:hint="eastAsia" w:ascii="仿宋" w:hAnsi="仿宋" w:eastAsia="仿宋" w:cs="仿宋"/>
          <w:sz w:val="32"/>
          <w:szCs w:val="32"/>
        </w:rPr>
      </w:pPr>
      <w:r>
        <w:rPr>
          <w:rFonts w:hint="eastAsia" w:ascii="仿宋" w:hAnsi="仿宋" w:eastAsia="仿宋" w:cs="仿宋"/>
          <w:sz w:val="32"/>
          <w:szCs w:val="32"/>
        </w:rPr>
        <w:t>持续做好城市建设与管理。完成车站区域基础设施综合建设工程、车站区域集中安置棚户区改造项目，实现和平路西延鹿泉段贯通。做好两座污水处理厂管护工作，完成西部上庄</w:t>
      </w:r>
      <w:bookmarkStart w:id="0" w:name="_GoBack"/>
      <w:bookmarkEnd w:id="0"/>
      <w:r>
        <w:rPr>
          <w:rFonts w:hint="eastAsia" w:ascii="仿宋" w:hAnsi="仿宋" w:eastAsia="仿宋" w:cs="仿宋"/>
          <w:sz w:val="32"/>
          <w:szCs w:val="32"/>
          <w:lang w:eastAsia="zh-CN"/>
        </w:rPr>
        <w:t>污水处理厂</w:t>
      </w:r>
      <w:r>
        <w:rPr>
          <w:rFonts w:hint="eastAsia" w:ascii="仿宋" w:hAnsi="仿宋" w:eastAsia="仿宋" w:cs="仿宋"/>
          <w:sz w:val="32"/>
          <w:szCs w:val="32"/>
        </w:rPr>
        <w:t>扩建工程，持续提升城市承载力。扎实做好国有土地和房屋征收工作。围绕城市更新行动，做实做细城市体检，科学谋划城市建设项目，积极争取超长期国债等各类资金，有序推动城区基础设施和公共服务设施建设，力争省、市县城建设考核排名名列前茅。常态化开展燃气安全隐患排查整治工作，确保燃气行业安全生产。</w:t>
      </w:r>
    </w:p>
    <w:p>
      <w:pPr>
        <w:pStyle w:val="13"/>
        <w:rPr>
          <w:rFonts w:hint="eastAsia" w:ascii="仿宋" w:hAnsi="仿宋" w:eastAsia="仿宋" w:cs="仿宋"/>
          <w:sz w:val="32"/>
          <w:szCs w:val="32"/>
        </w:rPr>
      </w:pPr>
      <w:r>
        <w:rPr>
          <w:rFonts w:hint="eastAsia" w:ascii="仿宋" w:hAnsi="仿宋" w:eastAsia="仿宋" w:cs="仿宋"/>
          <w:sz w:val="32"/>
          <w:szCs w:val="32"/>
        </w:rPr>
        <w:t>持续做好建筑行业监管。强化建筑市场日常监管,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持续做好新建居住建筑75%和公共建筑72%节能标准政策落实，大力发展绿色建筑、装配式建筑和被动式超低能耗建筑，新建装配式建筑占比30%以上。</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pPr>
        <w:pageBreakBefore w:val="0"/>
        <w:widowControl w:val="0"/>
        <w:numPr>
          <w:ilvl w:val="0"/>
          <w:numId w:val="4"/>
        </w:numPr>
        <w:kinsoku/>
        <w:wordWrap/>
        <w:overflowPunct/>
        <w:topLinePunct w:val="0"/>
        <w:autoSpaceDE/>
        <w:autoSpaceDN/>
        <w:bidi w:val="0"/>
        <w:spacing w:line="540" w:lineRule="exact"/>
        <w:ind w:left="0" w:leftChars="0" w:right="0" w:rightChars="0" w:firstLine="643" w:firstLineChars="200"/>
        <w:textAlignment w:val="auto"/>
        <w:outlineLvl w:val="9"/>
        <w:rPr>
          <w:b/>
          <w:bCs/>
        </w:rPr>
      </w:pPr>
      <w:r>
        <w:rPr>
          <w:rFonts w:hint="eastAsia" w:ascii="仿宋" w:hAnsi="仿宋" w:eastAsia="仿宋"/>
          <w:b/>
          <w:bCs/>
          <w:sz w:val="32"/>
          <w:szCs w:val="32"/>
        </w:rPr>
        <w:t>针对问题提出具体的改进措施或建议</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一是加强领导，精心组织，逐步推开，实现编制预算绩效目标全覆盖。</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二是完善相关制度，推进制度落实。</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三是细化预算编制工作，认真做好预算编制。</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四是加强财务管理，严格财务审核。</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五是加强项目开展进度的跟踪，开展项目事前、事中、事后绩效跟踪评价。</w:t>
      </w:r>
    </w:p>
    <w:p>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9"/>
        <w:tblW w:w="692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7"/>
        <w:gridCol w:w="2280"/>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贾立中</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党组成员、副局长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梁效铭</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办公室负责人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魏柳</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ind w:left="0" w:leftChars="0" w:firstLine="0" w:firstLineChars="0"/>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石家庄市鹿泉区住房和城乡建设局</w:t>
      </w:r>
    </w:p>
    <w:p>
      <w:pPr>
        <w:pStyle w:val="7"/>
        <w:pageBreakBefore w:val="0"/>
        <w:kinsoku/>
        <w:wordWrap/>
        <w:overflowPunct/>
        <w:topLinePunct w:val="0"/>
        <w:autoSpaceDE/>
        <w:autoSpaceDN/>
        <w:bidi w:val="0"/>
        <w:spacing w:line="312" w:lineRule="auto"/>
        <w:ind w:firstLine="5120" w:firstLineChars="16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2025年4月24日</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6513A7A9"/>
    <w:multiLevelType w:val="singleLevel"/>
    <w:tmpl w:val="6513A7A9"/>
    <w:lvl w:ilvl="0" w:tentative="0">
      <w:start w:val="2"/>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1D4A5D"/>
    <w:rsid w:val="01B104CA"/>
    <w:rsid w:val="02106AB0"/>
    <w:rsid w:val="02B43A28"/>
    <w:rsid w:val="046F331E"/>
    <w:rsid w:val="069710C0"/>
    <w:rsid w:val="069E2016"/>
    <w:rsid w:val="07956271"/>
    <w:rsid w:val="07DC6200"/>
    <w:rsid w:val="081A6275"/>
    <w:rsid w:val="08BE6479"/>
    <w:rsid w:val="08FA03A2"/>
    <w:rsid w:val="09721397"/>
    <w:rsid w:val="0A9337E1"/>
    <w:rsid w:val="0B1F7727"/>
    <w:rsid w:val="0B6027CF"/>
    <w:rsid w:val="0BB63BED"/>
    <w:rsid w:val="0CC252AE"/>
    <w:rsid w:val="0CD701CE"/>
    <w:rsid w:val="0DC566A4"/>
    <w:rsid w:val="0E3E7E52"/>
    <w:rsid w:val="0EB97A43"/>
    <w:rsid w:val="0EBD2122"/>
    <w:rsid w:val="0F214EAE"/>
    <w:rsid w:val="0F81208B"/>
    <w:rsid w:val="0F972FD4"/>
    <w:rsid w:val="11743155"/>
    <w:rsid w:val="11B71E6A"/>
    <w:rsid w:val="120A4ABA"/>
    <w:rsid w:val="15441FB8"/>
    <w:rsid w:val="1865590D"/>
    <w:rsid w:val="19827DE5"/>
    <w:rsid w:val="1AAF0063"/>
    <w:rsid w:val="1BE140DE"/>
    <w:rsid w:val="1F50120C"/>
    <w:rsid w:val="1F7B4F90"/>
    <w:rsid w:val="200A2C3F"/>
    <w:rsid w:val="21782BFB"/>
    <w:rsid w:val="23A726AE"/>
    <w:rsid w:val="23E5754F"/>
    <w:rsid w:val="241A2996"/>
    <w:rsid w:val="248C197D"/>
    <w:rsid w:val="24EC727F"/>
    <w:rsid w:val="252959AF"/>
    <w:rsid w:val="2691041D"/>
    <w:rsid w:val="277A6671"/>
    <w:rsid w:val="28570F5B"/>
    <w:rsid w:val="28BA495B"/>
    <w:rsid w:val="292D35B7"/>
    <w:rsid w:val="2A594280"/>
    <w:rsid w:val="2B5C33F8"/>
    <w:rsid w:val="2CB20427"/>
    <w:rsid w:val="2EE9170B"/>
    <w:rsid w:val="2EED2C23"/>
    <w:rsid w:val="30A93952"/>
    <w:rsid w:val="322500BE"/>
    <w:rsid w:val="3322376F"/>
    <w:rsid w:val="33381316"/>
    <w:rsid w:val="33576B0C"/>
    <w:rsid w:val="337E354B"/>
    <w:rsid w:val="33EB6CFF"/>
    <w:rsid w:val="35A12947"/>
    <w:rsid w:val="37387040"/>
    <w:rsid w:val="38764839"/>
    <w:rsid w:val="38DD19FC"/>
    <w:rsid w:val="39781CB1"/>
    <w:rsid w:val="3A9D5983"/>
    <w:rsid w:val="3B625C0A"/>
    <w:rsid w:val="3CEE1963"/>
    <w:rsid w:val="3E0E3EE9"/>
    <w:rsid w:val="3E553521"/>
    <w:rsid w:val="3F14027E"/>
    <w:rsid w:val="40D174F0"/>
    <w:rsid w:val="41535F05"/>
    <w:rsid w:val="421959CF"/>
    <w:rsid w:val="43347FAD"/>
    <w:rsid w:val="44EA7FAB"/>
    <w:rsid w:val="45C16CD5"/>
    <w:rsid w:val="4BAF6637"/>
    <w:rsid w:val="4BE17E5A"/>
    <w:rsid w:val="4C9C27FE"/>
    <w:rsid w:val="4D4250C6"/>
    <w:rsid w:val="4E536B02"/>
    <w:rsid w:val="4EEC1008"/>
    <w:rsid w:val="512260B4"/>
    <w:rsid w:val="5131421D"/>
    <w:rsid w:val="51C24EF7"/>
    <w:rsid w:val="52BD6ACB"/>
    <w:rsid w:val="544549FF"/>
    <w:rsid w:val="55537534"/>
    <w:rsid w:val="561A74F1"/>
    <w:rsid w:val="56702A94"/>
    <w:rsid w:val="597244E8"/>
    <w:rsid w:val="59D867D7"/>
    <w:rsid w:val="5A982E30"/>
    <w:rsid w:val="5BC67511"/>
    <w:rsid w:val="5CE069F4"/>
    <w:rsid w:val="5EB71C30"/>
    <w:rsid w:val="5FB93280"/>
    <w:rsid w:val="62117346"/>
    <w:rsid w:val="643F417C"/>
    <w:rsid w:val="661A0CF1"/>
    <w:rsid w:val="6689372D"/>
    <w:rsid w:val="66AF0CE5"/>
    <w:rsid w:val="6837462A"/>
    <w:rsid w:val="68812F06"/>
    <w:rsid w:val="6AC537CF"/>
    <w:rsid w:val="6AEE7642"/>
    <w:rsid w:val="6D3C6EDF"/>
    <w:rsid w:val="6E5B14A6"/>
    <w:rsid w:val="711B255E"/>
    <w:rsid w:val="719E1EEB"/>
    <w:rsid w:val="730F1805"/>
    <w:rsid w:val="7317199D"/>
    <w:rsid w:val="736D4B41"/>
    <w:rsid w:val="753D05FB"/>
    <w:rsid w:val="7B791412"/>
    <w:rsid w:val="7BB51E06"/>
    <w:rsid w:val="7C387F7C"/>
    <w:rsid w:val="7DDA7F1A"/>
    <w:rsid w:val="7E6E70FD"/>
    <w:rsid w:val="7E987F66"/>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qFormat/>
    <w:uiPriority w:val="0"/>
    <w:pPr>
      <w:ind w:firstLine="420"/>
    </w:pPr>
    <w:rPr>
      <w:rFonts w:ascii="Times New Roman" w:hAnsi="Times New Roman" w:eastAsia="宋体" w:cs="Times New Roman"/>
    </w:rPr>
  </w:style>
  <w:style w:type="table" w:styleId="9">
    <w:name w:val="Table Grid"/>
    <w:basedOn w:val="8"/>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1">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27</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2025-05-21T03:04:42Z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A90DC20E494749D797C230FC46E301FF</vt:lpwstr>
  </property>
</Properties>
</file>