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86634D">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44C9DBC1">
      <w:pPr>
        <w:spacing w:line="560" w:lineRule="exact"/>
        <w:jc w:val="center"/>
        <w:rPr>
          <w:rFonts w:ascii="宋体" w:hAnsi="宋体" w:cs="宋体"/>
          <w:b/>
          <w:bCs/>
          <w:sz w:val="44"/>
          <w:szCs w:val="44"/>
        </w:rPr>
      </w:pPr>
    </w:p>
    <w:p w14:paraId="6EB27DAE">
      <w:pPr>
        <w:spacing w:line="560" w:lineRule="exact"/>
        <w:jc w:val="center"/>
        <w:rPr>
          <w:rFonts w:ascii="宋体" w:hAnsi="宋体" w:cs="宋体"/>
          <w:b/>
          <w:bCs/>
          <w:sz w:val="44"/>
          <w:szCs w:val="44"/>
        </w:rPr>
      </w:pPr>
      <w:r>
        <w:rPr>
          <w:rFonts w:hint="eastAsia" w:ascii="宋体" w:hAnsi="宋体" w:cs="宋体"/>
          <w:b/>
          <w:bCs/>
          <w:sz w:val="44"/>
          <w:szCs w:val="44"/>
        </w:rPr>
        <w:t>中共石家庄市鹿泉区委办公室</w:t>
      </w:r>
    </w:p>
    <w:p w14:paraId="702DDCC1">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01618FD">
      <w:pPr>
        <w:spacing w:line="560" w:lineRule="exact"/>
        <w:jc w:val="center"/>
        <w:rPr>
          <w:rFonts w:ascii="华文楷体" w:eastAsia="华文楷体"/>
          <w:sz w:val="32"/>
          <w:szCs w:val="32"/>
        </w:rPr>
      </w:pPr>
    </w:p>
    <w:p w14:paraId="7E89AD1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贯彻落实石家庄市鹿泉区人民政府《关于全面实施预算绩效管理的实施意见》（鹿发〔2019〕8号）文件精神，遵循“科学性、规范性、客观性和公正性”的原则，对中共石家庄市鹿泉区委办公室202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7824DFA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FB3C54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C00E1F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19FB534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我部门负责推动党中央和省、市、区委决策部署的落实，按照区委要求协调有关方面开展工作，承担区委运行保障具体事务。区委和区委办公室文件、区委领导讲话的起草、修改等工作；对全区文秘干部职工的教育培训工作。围绕党中央和省、市、区委总体工作部署开展调查研究，收集和处理信息，反映动态；区委全会、区委常委会会议和区委其他重要会议的会务组织工作；承担区委值班工作；编写区委大事记。承担区委履行全面从严治党主体责任相关工作的谋划、部署、督导、推动和落实；统筹协调和督促指导全区党务公开工作。</w:t>
      </w:r>
    </w:p>
    <w:p w14:paraId="0DE33F6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2、组织机构及人员</w:t>
      </w:r>
    </w:p>
    <w:p w14:paraId="1CB8C87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区委办公室为区委工作机关，挂区委保密机要局（区国家保密局、区国家密码管理局）、鹿泉区档案局牌子，设行政股、综合资料股、综合改革股、公文法规股、督查室、保密机要股（国家安全股）、主体责任股、党务公开股、档案史志股9个股（室）和区委信息中心1个正科级事业单位。</w:t>
      </w:r>
    </w:p>
    <w:p w14:paraId="63F6027C">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我部门年末在职人数37人，退休6人，遗属1人。</w:t>
      </w:r>
    </w:p>
    <w:p w14:paraId="043BD6A4">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3、资产等基本情况。</w:t>
      </w:r>
    </w:p>
    <w:p w14:paraId="741FA0A5">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我部门截止到年末资产总额为916.62万元。其中，固定资产为912.1万元，无形资产为4.52万元。</w:t>
      </w:r>
    </w:p>
    <w:p w14:paraId="44406D73">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2465E15">
      <w:pPr>
        <w:spacing w:line="500" w:lineRule="exact"/>
        <w:ind w:firstLine="643" w:firstLineChars="200"/>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eastAsia="zh-CN"/>
        </w:rPr>
        <w:t>本部门</w:t>
      </w:r>
      <w:r>
        <w:rPr>
          <w:rFonts w:hint="eastAsia" w:ascii="仿宋" w:hAnsi="仿宋" w:eastAsia="仿宋" w:cs="仿宋"/>
          <w:b/>
          <w:bCs/>
          <w:sz w:val="32"/>
          <w:szCs w:val="32"/>
          <w:lang w:val="en-US" w:eastAsia="zh-CN"/>
        </w:rPr>
        <w:t>2024年度预算收支情况</w:t>
      </w:r>
    </w:p>
    <w:p w14:paraId="00F9CF3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sz w:val="32"/>
          <w:szCs w:val="32"/>
          <w:lang w:val="en-US" w:eastAsia="zh-CN"/>
        </w:rPr>
        <w:t>1、收入说明</w:t>
      </w:r>
      <w:bookmarkStart w:id="0" w:name="_GoBack"/>
      <w:bookmarkEnd w:id="0"/>
    </w:p>
    <w:p w14:paraId="5A74F11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2024年本</w:t>
      </w:r>
      <w:r>
        <w:rPr>
          <w:rFonts w:hint="eastAsia" w:ascii="仿宋" w:hAnsi="仿宋" w:eastAsia="仿宋" w:cs="仿宋"/>
          <w:b w:val="0"/>
          <w:bCs w:val="0"/>
          <w:sz w:val="32"/>
          <w:szCs w:val="32"/>
          <w:highlight w:val="none"/>
        </w:rPr>
        <w:t>部门年初预算</w:t>
      </w:r>
      <w:r>
        <w:rPr>
          <w:rFonts w:hint="eastAsia" w:ascii="仿宋" w:hAnsi="仿宋" w:eastAsia="仿宋" w:cs="仿宋"/>
          <w:b w:val="0"/>
          <w:bCs w:val="0"/>
          <w:sz w:val="32"/>
          <w:szCs w:val="32"/>
          <w:highlight w:val="none"/>
          <w:lang w:eastAsia="zh-CN"/>
        </w:rPr>
        <w:t>收入为</w:t>
      </w:r>
      <w:r>
        <w:rPr>
          <w:rFonts w:hint="eastAsia" w:ascii="仿宋" w:hAnsi="仿宋" w:eastAsia="仿宋" w:cs="仿宋"/>
          <w:b w:val="0"/>
          <w:bCs w:val="0"/>
          <w:sz w:val="32"/>
          <w:szCs w:val="32"/>
          <w:highlight w:val="none"/>
          <w:lang w:val="en-US" w:eastAsia="zh-CN"/>
        </w:rPr>
        <w:t>1108.34万元</w:t>
      </w:r>
      <w:r>
        <w:rPr>
          <w:rFonts w:hint="eastAsia" w:ascii="仿宋" w:hAnsi="仿宋" w:eastAsia="仿宋" w:cs="仿宋"/>
          <w:b w:val="0"/>
          <w:bCs w:val="0"/>
          <w:sz w:val="32"/>
          <w:szCs w:val="32"/>
          <w:highlight w:val="none"/>
        </w:rPr>
        <w:t>，</w:t>
      </w:r>
      <w:r>
        <w:rPr>
          <w:rFonts w:hint="eastAsia" w:ascii="仿宋" w:hAnsi="仿宋" w:eastAsia="仿宋" w:cs="仿宋"/>
          <w:b w:val="0"/>
          <w:bCs w:val="0"/>
          <w:sz w:val="32"/>
          <w:szCs w:val="32"/>
          <w:highlight w:val="none"/>
          <w:lang w:eastAsia="zh-CN"/>
        </w:rPr>
        <w:t>均为一般公共预算拨款。</w:t>
      </w:r>
    </w:p>
    <w:p w14:paraId="56564A4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2、支出说明</w:t>
      </w:r>
    </w:p>
    <w:p w14:paraId="1F90FAF2">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eastAsia="zh-CN"/>
        </w:rPr>
        <w:t>本年度预算支出为</w:t>
      </w:r>
      <w:r>
        <w:rPr>
          <w:rFonts w:hint="eastAsia" w:ascii="仿宋" w:hAnsi="仿宋" w:eastAsia="仿宋" w:cs="仿宋"/>
          <w:b w:val="0"/>
          <w:bCs w:val="0"/>
          <w:sz w:val="32"/>
          <w:szCs w:val="32"/>
          <w:highlight w:val="none"/>
          <w:lang w:val="en-US" w:eastAsia="zh-CN"/>
        </w:rPr>
        <w:t>1108.34万元，基本支出816.97万元（包括人员经费678.11万元；日常公用经费138.86万元）；项目支出291.37万元。</w:t>
      </w:r>
    </w:p>
    <w:p w14:paraId="436C23F8">
      <w:pPr>
        <w:spacing w:line="500" w:lineRule="exact"/>
        <w:ind w:firstLine="643" w:firstLineChars="200"/>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eastAsia="zh-CN"/>
        </w:rPr>
        <w:t>本部门</w:t>
      </w:r>
      <w:r>
        <w:rPr>
          <w:rFonts w:hint="eastAsia" w:ascii="仿宋" w:hAnsi="仿宋" w:eastAsia="仿宋" w:cs="仿宋"/>
          <w:b/>
          <w:bCs/>
          <w:sz w:val="32"/>
          <w:szCs w:val="32"/>
          <w:lang w:val="en-US" w:eastAsia="zh-CN"/>
        </w:rPr>
        <w:t>2024年度决算收支情况</w:t>
      </w:r>
    </w:p>
    <w:p w14:paraId="41CCC26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sz w:val="32"/>
          <w:szCs w:val="32"/>
          <w:lang w:val="en-US" w:eastAsia="zh-CN"/>
        </w:rPr>
        <w:t>1、收入说明</w:t>
      </w:r>
    </w:p>
    <w:p w14:paraId="5E02695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2024年本</w:t>
      </w:r>
      <w:r>
        <w:rPr>
          <w:rFonts w:hint="eastAsia" w:ascii="仿宋" w:hAnsi="仿宋" w:eastAsia="仿宋" w:cs="仿宋"/>
          <w:b w:val="0"/>
          <w:bCs w:val="0"/>
          <w:sz w:val="32"/>
          <w:szCs w:val="32"/>
          <w:highlight w:val="none"/>
        </w:rPr>
        <w:t>部门决算收入为893.87万元，</w:t>
      </w:r>
      <w:r>
        <w:rPr>
          <w:rFonts w:hint="eastAsia" w:ascii="仿宋" w:hAnsi="仿宋" w:eastAsia="仿宋" w:cs="仿宋"/>
          <w:b w:val="0"/>
          <w:bCs w:val="0"/>
          <w:sz w:val="32"/>
          <w:szCs w:val="32"/>
          <w:highlight w:val="none"/>
          <w:lang w:eastAsia="zh-CN"/>
        </w:rPr>
        <w:t>均为一般公共预算拨款。</w:t>
      </w:r>
    </w:p>
    <w:p w14:paraId="731C40B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2、支出说明</w:t>
      </w:r>
    </w:p>
    <w:p w14:paraId="78BA1D87">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2024年本</w:t>
      </w:r>
      <w:r>
        <w:rPr>
          <w:rFonts w:hint="eastAsia" w:ascii="仿宋" w:hAnsi="仿宋" w:eastAsia="仿宋" w:cs="仿宋"/>
          <w:b w:val="0"/>
          <w:bCs w:val="0"/>
          <w:sz w:val="32"/>
          <w:szCs w:val="32"/>
          <w:highlight w:val="none"/>
        </w:rPr>
        <w:t>部门</w:t>
      </w:r>
      <w:r>
        <w:rPr>
          <w:rFonts w:hint="eastAsia" w:ascii="仿宋" w:hAnsi="仿宋" w:eastAsia="仿宋" w:cs="仿宋"/>
          <w:b w:val="0"/>
          <w:bCs w:val="0"/>
          <w:sz w:val="32"/>
          <w:szCs w:val="32"/>
          <w:highlight w:val="none"/>
          <w:lang w:val="en-US" w:eastAsia="zh-CN"/>
        </w:rPr>
        <w:t>决算</w:t>
      </w:r>
      <w:r>
        <w:rPr>
          <w:rFonts w:hint="eastAsia" w:ascii="仿宋" w:hAnsi="仿宋" w:eastAsia="仿宋" w:cs="仿宋"/>
          <w:b w:val="0"/>
          <w:bCs w:val="0"/>
          <w:sz w:val="32"/>
          <w:szCs w:val="32"/>
          <w:highlight w:val="none"/>
        </w:rPr>
        <w:t>支出</w:t>
      </w:r>
      <w:r>
        <w:rPr>
          <w:rFonts w:hint="eastAsia" w:ascii="仿宋" w:hAnsi="仿宋" w:eastAsia="仿宋" w:cs="仿宋"/>
          <w:b w:val="0"/>
          <w:bCs w:val="0"/>
          <w:sz w:val="32"/>
          <w:szCs w:val="32"/>
          <w:highlight w:val="none"/>
          <w:lang w:eastAsia="zh-CN"/>
        </w:rPr>
        <w:t>为</w:t>
      </w:r>
      <w:r>
        <w:rPr>
          <w:rFonts w:hint="eastAsia" w:ascii="仿宋" w:hAnsi="仿宋" w:eastAsia="仿宋" w:cs="仿宋"/>
          <w:b w:val="0"/>
          <w:bCs w:val="0"/>
          <w:sz w:val="32"/>
          <w:szCs w:val="32"/>
          <w:highlight w:val="none"/>
          <w:lang w:val="en-US" w:eastAsia="zh-CN"/>
        </w:rPr>
        <w:t>890.97万元，其中：基本支出769.16万元，占总支出的86.33%，包括人员经费支出635.2万元，日常公用支出133.97万元；项目支出121.81万元，占总支出的13.67%。</w:t>
      </w:r>
    </w:p>
    <w:p w14:paraId="72BE5F4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DF3F78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当好参谋助手，加强以文辅政作用。高标准起草文稿。以表述准确、领导满意、受众认可为标准，认真起草工作报告、汇报材料、领导讲话、署名文章和各类会议纪要等文稿。高质量开展调研。根据区委阶段性工作目标和重点任务，围绕区委中心工作和事关全局问题深入基层调研，真正把情况摸准摸实，形成高质量的调研报告，为区委主要领导决策提供依据。高效率灵通信息。围绕区委领导关注的大事、要事进行信息反馈，认真办理市</w:t>
      </w:r>
      <w:r>
        <w:rPr>
          <w:rFonts w:hint="eastAsia" w:ascii="仿宋" w:hAnsi="仿宋" w:eastAsia="仿宋"/>
          <w:sz w:val="32"/>
          <w:szCs w:val="32"/>
          <w:lang w:val="en-US" w:eastAsia="zh-CN"/>
        </w:rPr>
        <w:t>委</w:t>
      </w:r>
      <w:r>
        <w:rPr>
          <w:rFonts w:hint="eastAsia" w:ascii="仿宋" w:hAnsi="仿宋" w:eastAsia="仿宋"/>
          <w:sz w:val="32"/>
          <w:szCs w:val="32"/>
        </w:rPr>
        <w:t>社情民意</w:t>
      </w:r>
      <w:r>
        <w:rPr>
          <w:rFonts w:hint="eastAsia" w:ascii="仿宋" w:hAnsi="仿宋" w:eastAsia="仿宋"/>
          <w:sz w:val="32"/>
          <w:szCs w:val="32"/>
          <w:lang w:val="en-US" w:eastAsia="zh-CN"/>
        </w:rPr>
        <w:t>中心</w:t>
      </w:r>
      <w:r>
        <w:rPr>
          <w:rFonts w:hint="eastAsia" w:ascii="仿宋" w:hAnsi="仿宋" w:eastAsia="仿宋"/>
          <w:sz w:val="32"/>
          <w:szCs w:val="32"/>
        </w:rPr>
        <w:t>的交办件，力争办结率达到100%。认真做好上级领导调研和其他县（市</w:t>
      </w:r>
      <w:r>
        <w:rPr>
          <w:rFonts w:hint="eastAsia" w:ascii="仿宋" w:hAnsi="仿宋" w:eastAsia="仿宋"/>
          <w:sz w:val="32"/>
          <w:szCs w:val="32"/>
          <w:lang w:eastAsia="zh-CN"/>
        </w:rPr>
        <w:t>、区</w:t>
      </w:r>
      <w:r>
        <w:rPr>
          <w:rFonts w:hint="eastAsia" w:ascii="仿宋" w:hAnsi="仿宋" w:eastAsia="仿宋"/>
          <w:sz w:val="32"/>
          <w:szCs w:val="32"/>
        </w:rPr>
        <w:t>）考察</w:t>
      </w:r>
      <w:r>
        <w:rPr>
          <w:rFonts w:hint="eastAsia" w:ascii="仿宋" w:hAnsi="仿宋" w:eastAsia="仿宋"/>
          <w:sz w:val="32"/>
          <w:szCs w:val="32"/>
          <w:lang w:eastAsia="zh-CN"/>
        </w:rPr>
        <w:t>等</w:t>
      </w:r>
      <w:r>
        <w:rPr>
          <w:rFonts w:hint="eastAsia" w:ascii="仿宋" w:hAnsi="仿宋" w:eastAsia="仿宋"/>
          <w:sz w:val="32"/>
          <w:szCs w:val="32"/>
        </w:rPr>
        <w:t>活动，确保国家、省、市到鹿泉的调研活动圆满完成。加强自身建设，切实整顿机关工作作风。根据省、市、区委的统一部署，办公室领导班子率先垂范，领导干部以身作则，用“以上率下、行胜于言”的榜样力量发挥示范作用。认真落实党风廉政建设有关规定，从小事入手、向细节发力，从严管理干部，以实际行动树立起为民务实清廉的良好形象。</w:t>
      </w:r>
    </w:p>
    <w:p w14:paraId="071F408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FABE39F">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EC66E1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我单位组织绩效评价工作组成员及相关人员进行了培训，熟悉相关政策规定，领会绩效评价的文件精神，重新修订了该项目的绩效评价指标体系。</w:t>
      </w:r>
      <w:r>
        <w:rPr>
          <w:rFonts w:hint="eastAsia" w:ascii="仿宋" w:hAnsi="仿宋" w:eastAsia="仿宋"/>
          <w:sz w:val="32"/>
          <w:szCs w:val="32"/>
        </w:rPr>
        <w:t>为确保绩效评价工作落到实处，</w:t>
      </w:r>
      <w:r>
        <w:rPr>
          <w:rFonts w:hint="eastAsia" w:ascii="仿宋" w:hAnsi="仿宋" w:eastAsia="仿宋"/>
          <w:sz w:val="32"/>
          <w:szCs w:val="32"/>
          <w:lang w:val="en-US" w:eastAsia="zh-CN"/>
        </w:rPr>
        <w:t>工作组根据绩效评价指标收集了该项目的相关文件资料</w:t>
      </w:r>
      <w:r>
        <w:rPr>
          <w:rFonts w:hint="eastAsia" w:ascii="仿宋" w:hAnsi="仿宋" w:eastAsia="仿宋"/>
          <w:sz w:val="32"/>
          <w:szCs w:val="32"/>
        </w:rPr>
        <w:t>，</w:t>
      </w:r>
      <w:r>
        <w:rPr>
          <w:rFonts w:hint="eastAsia" w:ascii="仿宋" w:hAnsi="仿宋" w:eastAsia="仿宋"/>
          <w:sz w:val="32"/>
          <w:szCs w:val="32"/>
          <w:lang w:val="en-US" w:eastAsia="zh-CN"/>
        </w:rPr>
        <w:t>并对各项</w:t>
      </w:r>
      <w:r>
        <w:rPr>
          <w:rFonts w:hint="eastAsia" w:ascii="仿宋" w:hAnsi="仿宋" w:eastAsia="仿宋"/>
          <w:sz w:val="32"/>
          <w:szCs w:val="32"/>
        </w:rPr>
        <w:t>数据</w:t>
      </w:r>
      <w:r>
        <w:rPr>
          <w:rFonts w:hint="eastAsia" w:ascii="仿宋" w:hAnsi="仿宋" w:eastAsia="仿宋"/>
          <w:sz w:val="32"/>
          <w:szCs w:val="32"/>
          <w:lang w:val="en-US" w:eastAsia="zh-CN"/>
        </w:rPr>
        <w:t>进行分析</w:t>
      </w:r>
      <w:r>
        <w:rPr>
          <w:rFonts w:hint="eastAsia" w:ascii="仿宋" w:hAnsi="仿宋" w:eastAsia="仿宋"/>
          <w:sz w:val="32"/>
          <w:szCs w:val="32"/>
        </w:rPr>
        <w:t>，</w:t>
      </w:r>
      <w:r>
        <w:rPr>
          <w:rFonts w:hint="eastAsia" w:ascii="仿宋" w:hAnsi="仿宋" w:eastAsia="仿宋"/>
          <w:sz w:val="32"/>
          <w:szCs w:val="32"/>
          <w:lang w:val="en-US" w:eastAsia="zh-CN"/>
        </w:rPr>
        <w:t>根据分析结果对</w:t>
      </w:r>
      <w:r>
        <w:rPr>
          <w:rFonts w:hint="eastAsia" w:ascii="仿宋" w:hAnsi="仿宋" w:eastAsia="仿宋"/>
          <w:sz w:val="32"/>
          <w:szCs w:val="32"/>
        </w:rPr>
        <w:t>项目绩效</w:t>
      </w:r>
      <w:r>
        <w:rPr>
          <w:rFonts w:hint="eastAsia" w:ascii="仿宋" w:hAnsi="仿宋" w:eastAsia="仿宋"/>
          <w:sz w:val="32"/>
          <w:szCs w:val="32"/>
          <w:lang w:val="en-US" w:eastAsia="zh-CN"/>
        </w:rPr>
        <w:t>情况进行了</w:t>
      </w:r>
      <w:r>
        <w:rPr>
          <w:rFonts w:hint="eastAsia" w:ascii="仿宋" w:hAnsi="仿宋" w:eastAsia="仿宋"/>
          <w:sz w:val="32"/>
          <w:szCs w:val="32"/>
        </w:rPr>
        <w:t>评分</w:t>
      </w:r>
      <w:r>
        <w:rPr>
          <w:rFonts w:hint="eastAsia" w:ascii="仿宋" w:hAnsi="仿宋" w:eastAsia="仿宋"/>
          <w:sz w:val="32"/>
          <w:szCs w:val="32"/>
          <w:lang w:eastAsia="zh-CN"/>
        </w:rPr>
        <w:t>，</w:t>
      </w:r>
      <w:r>
        <w:rPr>
          <w:rFonts w:hint="eastAsia" w:ascii="仿宋" w:hAnsi="仿宋" w:eastAsia="仿宋"/>
          <w:sz w:val="32"/>
          <w:szCs w:val="32"/>
          <w:lang w:val="en-US" w:eastAsia="zh-CN"/>
        </w:rPr>
        <w:t>评分完成后又进行了检查和核实工作。</w:t>
      </w:r>
    </w:p>
    <w:p w14:paraId="69EEB9E7">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AF9ABEC">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本次评价工作坚持“客观、公正、科学、规范”的原则，采用业务处室自评与工作组复评相结合的方式进行。在自评的基础上，通过多种方式，搜集并审核相关绩效材料，运用比较分析、因素分析、成本效益分析等方法，综合评价该项目绩效。</w:t>
      </w:r>
    </w:p>
    <w:p w14:paraId="1F6E0DA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00F02E0">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B18FF6D">
      <w:pPr>
        <w:pStyle w:val="3"/>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本年度专项工作经费管理规范，按计划基本完成，确保了各项工作正常运转和圆满完成，各科室对该项工作总体较为满意。对各项职能指标完成情况进行了自检自查,各项工作均已基本完成，专项资金绩效评价自评为优秀。</w:t>
      </w:r>
    </w:p>
    <w:p w14:paraId="6699098C">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D5624E5">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涉军工资</w:t>
      </w:r>
    </w:p>
    <w:p w14:paraId="63C8A41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绩效目标：对符合就业困难条件军队服役人员，实行劳务派遣托管安置，帮扶救助到位。 </w:t>
      </w:r>
    </w:p>
    <w:p w14:paraId="1776F61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绩效指标：完成发放率100%，涉军劳务派遣补贴及时发放率100%，退役士兵安置满意度为100%。</w:t>
      </w:r>
    </w:p>
    <w:p w14:paraId="01369B98">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报刊征订</w:t>
      </w:r>
    </w:p>
    <w:p w14:paraId="50D9B0B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绩效目标：用于区委刊登文件、会议纪要代订期刊等费用。订阅一年12个月月报以党报党刊、行业为重点；巩固工费订阅市场。</w:t>
      </w:r>
    </w:p>
    <w:p w14:paraId="5EF8E56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绩效指标：每月报刊订阅量不少于12份，每季度刊登报纸读物数量不少于3次，会议纪要刊登量每月10次，刊登完成率98%。</w:t>
      </w:r>
    </w:p>
    <w:p w14:paraId="2C369616">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宣传推介费</w:t>
      </w:r>
    </w:p>
    <w:p w14:paraId="602FB4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绩效目标：组织对外联络不少于3次，组织宣传活动不少于5次，吸引更多的外商前来鹿泉学习考察，并对鹿泉的建设招揽商机和资金有所帮助。</w:t>
      </w:r>
    </w:p>
    <w:p w14:paraId="2884926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绩效指标：组织对外联络3次，组织宣传活动5次。</w:t>
      </w:r>
    </w:p>
    <w:p w14:paraId="6DD6B190">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专项公用经费</w:t>
      </w:r>
    </w:p>
    <w:p w14:paraId="484C9A7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绩效目标：用于全区委全面深化改革委员会、区委国家安全委员日常办公教育培训等保障两个区委议事协调机构日常运转。</w:t>
      </w:r>
    </w:p>
    <w:p w14:paraId="2340E4A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各局乡镇文件下发印刷20次，组织全区改革办培训5次，区委办值班业务培训3次，计划建设党政公开栏及信息建设，保障相关业务、工作能力更好的开展，能够长期较好的宣传中央党务条例的各项规定。</w:t>
      </w:r>
    </w:p>
    <w:p w14:paraId="4E3CC463">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视联网视频调度系统服务费</w:t>
      </w:r>
    </w:p>
    <w:p w14:paraId="5E81EEA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绩效目标：按照市委《关于贯彻落实&lt;河北省党委办公厅（室）系统信息化支撑平台及应用系统建设工作推荐方案&gt;的通知》精神，2019年10月1日前设备互联网互通后期每年服务费。</w:t>
      </w:r>
    </w:p>
    <w:p w14:paraId="4C5E44E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绩效指标：确保设备能正常有序的使用。</w:t>
      </w:r>
    </w:p>
    <w:p w14:paraId="72C39AD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tbl>
      <w:tblPr>
        <w:tblStyle w:val="6"/>
        <w:tblW w:w="88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45"/>
        <w:gridCol w:w="1794"/>
        <w:gridCol w:w="2505"/>
      </w:tblGrid>
      <w:tr w14:paraId="04268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655A2">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614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AC8C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评价等级</w:t>
            </w:r>
          </w:p>
        </w:tc>
      </w:tr>
      <w:tr w14:paraId="6BDDA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253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涉军工资</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2E9A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BED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14:paraId="39454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E0C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报刊征订费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C138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76E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14:paraId="4E9E0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900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宣传推介费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821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B27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14:paraId="2D83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F8F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专项公用经费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5FA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1F7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14:paraId="1C1CD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22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视联网视频调度系统服务费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74FC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722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bl>
    <w:p w14:paraId="2046124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AD9EC7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DEDFE81">
      <w:pPr>
        <w:ind w:firstLine="480" w:firstLineChars="15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通过对该项目的绩效自评，我单位发现该项目主要存在以下几个方面的问题：</w:t>
      </w:r>
    </w:p>
    <w:p w14:paraId="5543E30D">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1、预算编制工作不够完善，考虑问题不够周全。</w:t>
      </w:r>
    </w:p>
    <w:p w14:paraId="257EF6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2、绩效目标有待精细化、合理化。</w:t>
      </w:r>
    </w:p>
    <w:p w14:paraId="2B478F3E">
      <w:pPr>
        <w:numPr>
          <w:ilvl w:val="0"/>
          <w:numId w:val="0"/>
        </w:numPr>
        <w:ind w:firstLine="640" w:firstLineChars="200"/>
        <w:rPr>
          <w:rFonts w:hint="eastAsia" w:ascii="楷体" w:hAnsi="楷体" w:eastAsia="楷体"/>
          <w:bCs/>
          <w:sz w:val="32"/>
          <w:szCs w:val="32"/>
        </w:rPr>
      </w:pPr>
      <w:r>
        <w:rPr>
          <w:rFonts w:hint="eastAsia" w:ascii="仿宋" w:hAnsi="仿宋" w:eastAsia="仿宋" w:cs="仿宋"/>
          <w:sz w:val="32"/>
          <w:szCs w:val="32"/>
          <w:lang w:val="en-US" w:eastAsia="zh-CN"/>
        </w:rPr>
        <w:t>3、资金支出进度较慢。</w:t>
      </w:r>
    </w:p>
    <w:p w14:paraId="1404E392">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2AAD5CCF">
      <w:pPr>
        <w:ind w:firstLine="640" w:firstLineChars="200"/>
        <w:rPr>
          <w:rFonts w:ascii="仿宋" w:hAnsi="仿宋" w:eastAsia="仿宋"/>
        </w:rPr>
      </w:pPr>
      <w:r>
        <w:rPr>
          <w:rFonts w:hint="eastAsia" w:ascii="仿宋" w:hAnsi="仿宋" w:eastAsia="仿宋" w:cs="仿宋"/>
          <w:sz w:val="32"/>
          <w:szCs w:val="32"/>
          <w:lang w:val="en-US" w:eastAsia="zh-CN"/>
        </w:rPr>
        <w:t>在今后年度的预算编制过程中要做到提前谋划，明确任务，考虑周全，应编尽编。进一步加强预算绩效管理意识，从源头上提高预算编制的科学性和精准性，科学设定绩效指标和指标值，确保绩效目标符合规定要求，项目实施过程中加强绩效指标的追踪分析，让绩效指标的切实起到项目监控的功能。做好项目预算执行的各项前期准备工作，做到预算一经批复或下达，项目即可落实，资金即可使用。</w:t>
      </w:r>
    </w:p>
    <w:p w14:paraId="701287A5">
      <w:pPr>
        <w:spacing w:line="560" w:lineRule="exact"/>
        <w:ind w:firstLine="640" w:firstLineChars="200"/>
        <w:rPr>
          <w:rFonts w:hint="eastAsia" w:ascii="楷体" w:hAnsi="楷体" w:eastAsia="楷体"/>
          <w:bCs/>
          <w:sz w:val="32"/>
          <w:szCs w:val="32"/>
        </w:rPr>
      </w:pPr>
    </w:p>
    <w:p w14:paraId="41E5FF8B">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Noto Sans Mono CJK JP Bold">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C4423">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6791F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C96F24"/>
    <w:multiLevelType w:val="singleLevel"/>
    <w:tmpl w:val="96C96F24"/>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2DE46D8"/>
    <w:rsid w:val="33EB6CFF"/>
    <w:rsid w:val="353C530B"/>
    <w:rsid w:val="35A12947"/>
    <w:rsid w:val="37387040"/>
    <w:rsid w:val="39885D54"/>
    <w:rsid w:val="3B625C0A"/>
    <w:rsid w:val="3CEE1963"/>
    <w:rsid w:val="436B78D3"/>
    <w:rsid w:val="4C9C27FE"/>
    <w:rsid w:val="512260B4"/>
    <w:rsid w:val="52BD6ACB"/>
    <w:rsid w:val="55537534"/>
    <w:rsid w:val="561A74F1"/>
    <w:rsid w:val="580A2473"/>
    <w:rsid w:val="597244E8"/>
    <w:rsid w:val="5EB71C30"/>
    <w:rsid w:val="66AF0CE5"/>
    <w:rsid w:val="6AC537CF"/>
    <w:rsid w:val="6C2021D1"/>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rPr>
      <w:rFonts w:ascii="Noto Sans Mono CJK JP Bold" w:hAnsi="Noto Sans Mono CJK JP Bold" w:eastAsia="Noto Sans Mono CJK JP Bold" w:cs="Noto Sans Mono CJK JP Bold"/>
      <w:sz w:val="32"/>
      <w:szCs w:val="32"/>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2565</Words>
  <Characters>2718</Characters>
  <Lines>4</Lines>
  <Paragraphs>1</Paragraphs>
  <TotalTime>22</TotalTime>
  <ScaleCrop>false</ScaleCrop>
  <LinksUpToDate>false</LinksUpToDate>
  <CharactersWithSpaces>2736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cp:lastModifiedBy>
  <cp:lastPrinted>2024-03-06T07:40:00Z</cp:lastPrinted>
  <dcterms:modified xsi:type="dcterms:W3CDTF">2025-05-08T06:02:39Z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eyJoZGlkIjoiOGFiMDhlNGJhZGQxYjFiMTVhOTJhZTJiZDgwMGY2YmEiLCJ1c2VySWQiOiI2MDAzNTE0ODUifQ==</vt:lpwstr>
  </property>
</Properties>
</file>