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石家庄市鹿泉区市场监督管理局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贯彻落实石家庄市鹿泉区人民政府《关于全面实施预算绩效管理的实施意见》（鹿发〔2019〕8号）文件精神，遵循“科学性、规范性、客观性和公正性”的原则，对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我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ascii="仿宋" w:hAnsi="仿宋" w:eastAsia="仿宋"/>
          <w:sz w:val="32"/>
          <w:szCs w:val="32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pStyle w:val="4"/>
        <w:spacing w:before="0" w:after="0" w:line="580" w:lineRule="exact"/>
        <w:ind w:firstLine="960" w:firstLineChars="300"/>
        <w:jc w:val="left"/>
        <w:rPr>
          <w:rFonts w:hint="eastAsia" w:ascii="楷体" w:hAnsi="楷体" w:eastAsia="楷体" w:cs="楷体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_GB2312"/>
          <w:b w:val="0"/>
          <w:bCs/>
          <w:kern w:val="2"/>
          <w:sz w:val="32"/>
          <w:szCs w:val="32"/>
          <w:lang w:val="en-US" w:eastAsia="zh-CN" w:bidi="ar-SA"/>
        </w:rPr>
        <w:t>1.部门职责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）贯彻落实市场监督管理有关法律法规、规章政策和标准规范，起草全区市场监督管理有关规范性文件草案，组织实施质量强区战略、食品安全战略、标准化战略、知识产权战略，拟订市场监督管理规划并组织实施，规范和维护市场秩序，营造诚实守信、公平竞争的市场环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）负责市场主体信用建设工作，负责建立市场主体信息公示和共享机制，依法公示和共享有关信息，加强信用监管，推动市场主体信用体系建设。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）负责市场监管综合执法工作，负责市场监管综合执法队伍建设，推动实行统一的市场监管；组织查处违法案件；规范市场监管行政执法行为。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）负责监督管理市场秩序，依法监督管理市场交易、网络商品交易及有关服务的行为；依法查处价格收费违法违规、不正当竞争、违法直销、传销、侵犯商标专利知识产权和制售假冒伪劣行为；负责全区广告业发展，监督管理广告活动；依法查处无照生产经营和相关无证生产经营行为；负责维护消费者权益；根据上级授权，负责对经营者集中行为进行反垄断审查，负责垄断协议、滥用市场支配地位和滥用行政权力排除、限制竞争等反垄断执法工作。指导企业在国外的反垄断应诉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）负责全区宏观质量管理工作，拟订全区质量发展制度和措施并组织实施；统筹全区质量基础设施建设与应用，会同有关部门组织实施工程设备质量监理制度，组织质量事故调查，组织实施缺陷产品召回制度，监督管理产品防伪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）负责全区产品质量安全监督管理工作，承担区级产品质量安全风险监控、监督抽查工作；组织实施质量分级制度、质量安全追溯制度；负责纤维质量监督工作。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）负责全区特种设备安全监督管理工作，负责特种设备安全监察、监督管理工作，监督检查高耗能特种设备节能标准和锅炉环境保护标准的执行情况。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/>
          <w:sz w:val="32"/>
          <w:szCs w:val="32"/>
        </w:rPr>
        <w:t>）负责综合协调食品安全监督管理工作，贯彻落实食品安全政策，推动健全食品安全地方党政同责和跨部门协调联动机制，负责食品安全应急体系建设，负责食品安全事件应急处置和调查处理工作，建立健全食品安全信息统一公布和重要信息直报制度；承担石家庄市鹿泉区人民政府食品安全委员会日常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/>
          <w:sz w:val="32"/>
          <w:szCs w:val="32"/>
        </w:rPr>
        <w:t>）负责食品安全监督管理工作，建立覆盖食品生产、流通、消费全过程的监督检查制度和隐患排查治理机制并组织实施，防范食品安全风险；推动建立食品生产经营者落实主体责任的机制，健全食品安全追溯体系。参与食品安全风险监测，组织开展食品安全监督抽检、核查处置和风险预警、风险交流工作；按职责分工负责特殊食品监督管理工作；负责重大活动食品安全保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/>
          <w:sz w:val="32"/>
          <w:szCs w:val="32"/>
        </w:rPr>
        <w:t>）负责统一管理全区计量工作，推行法定计量单位和国家计量制度，管理计量器具及量值传递和比对工作；规范、监督商品量和市场计量行为。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/>
          <w:sz w:val="32"/>
          <w:szCs w:val="32"/>
        </w:rPr>
        <w:t>）负责统一管理全区标准化工作，宣传贯彻强制性、推荐性国家标准和行业标准、地方标准；依法协调指导和监督团体标准、企业标准制定工作；组织开展标准化国际、区域合作和参与制定、采用国际标准工作。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/>
          <w:sz w:val="32"/>
          <w:szCs w:val="32"/>
        </w:rPr>
        <w:t>）负责统一管理全区检验检测工作，推进检验检测机构改革，规范检验检测市场，完善检验检测体系，指导协调检验检测行业发展。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）负责统一管理、监督和协调全区认证认可工作。组织实施国家统一的认证认可和合格评定监督管理制度。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14</w:t>
      </w:r>
      <w:r>
        <w:rPr>
          <w:rFonts w:hint="eastAsia" w:ascii="仿宋" w:hAnsi="仿宋" w:eastAsia="仿宋"/>
          <w:sz w:val="32"/>
          <w:szCs w:val="32"/>
        </w:rPr>
        <w:t>）负责推进全区知识产权管理工作，拟订加强知识产权强区建设发展规划并组织实施，拟订强化知识产权创造、保护和运用的政策和制度并组织实施。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/>
          <w:sz w:val="32"/>
          <w:szCs w:val="32"/>
        </w:rPr>
        <w:t>）负责保护知识产权工作，组织实施严格保护商标、专利、原产地地理标志、集成电路布图设计等知识产权地方性法规、政府规章；按照国家知识产权保护体系建设方案，推动建设知识产权保护体系；负责商标、专利执法工作，负责知识产权争议处理、维权援助和纠纷调处，承担京津冀知识产权执法协作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/>
          <w:sz w:val="32"/>
          <w:szCs w:val="32"/>
        </w:rPr>
        <w:t xml:space="preserve">）负责促进知识产权运用工作，贯彻落实知识产权运用和规范交易管理办法，促进知识产权转移转化；规范知识产权无形资产评估工作；负责知识产权中介服务发展的监督管理工作。 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/>
          <w:sz w:val="32"/>
          <w:szCs w:val="32"/>
        </w:rPr>
        <w:t>）负责建立知识产权公共服务体系，建设利用便企利民、互联互通的知识产权信息公共服务平台，推动商标、专利等知识产权信息的传播利用。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/>
          <w:sz w:val="32"/>
          <w:szCs w:val="32"/>
        </w:rPr>
        <w:t>）承担上级授权的知识产权代办工作任务，组织实施原产地地理标志统一认定制度。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/>
          <w:sz w:val="32"/>
          <w:szCs w:val="32"/>
        </w:rPr>
        <w:t>）负责市场监督管理科技和信息化建设、新闻宣传、对外交流与合作；按规定承担技术性贸易措施有关工作；负责协调涉外知识产权事宜，承担知识产权对外转让审查有关工作。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zh-CN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/>
          <w:sz w:val="32"/>
          <w:szCs w:val="32"/>
          <w:lang w:val="zh-CN"/>
        </w:rPr>
        <w:t>）</w:t>
      </w:r>
      <w:r>
        <w:rPr>
          <w:rFonts w:hint="eastAsia" w:ascii="仿宋" w:hAnsi="仿宋" w:eastAsia="仿宋"/>
          <w:sz w:val="32"/>
          <w:szCs w:val="32"/>
        </w:rPr>
        <w:t>负</w:t>
      </w:r>
      <w:r>
        <w:rPr>
          <w:rFonts w:hint="eastAsia" w:ascii="仿宋" w:hAnsi="仿宋" w:eastAsia="仿宋"/>
          <w:sz w:val="32"/>
          <w:szCs w:val="32"/>
          <w:lang w:val="zh-CN"/>
        </w:rPr>
        <w:t>责药品（含中药、民族药，下同）、医疗器械和化妆品安全监督管理工作，</w:t>
      </w:r>
      <w:r>
        <w:rPr>
          <w:rFonts w:hint="eastAsia" w:ascii="仿宋" w:hAnsi="仿宋" w:eastAsia="仿宋"/>
          <w:sz w:val="32"/>
          <w:szCs w:val="32"/>
        </w:rPr>
        <w:t>贯彻执行国家、省、市药品、医疗器械和化妆品法律法规</w:t>
      </w:r>
      <w:r>
        <w:rPr>
          <w:rFonts w:hint="eastAsia" w:ascii="仿宋" w:hAnsi="仿宋" w:eastAsia="仿宋"/>
          <w:sz w:val="32"/>
          <w:szCs w:val="32"/>
          <w:lang w:val="zh-CN"/>
        </w:rPr>
        <w:t>，以及鼓励药品、医疗器械和化妆品新技术新产品的管理与服务政策，拟订监督管理措施并组织实施。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/>
          <w:sz w:val="32"/>
          <w:szCs w:val="32"/>
          <w:lang w:val="zh-CN"/>
        </w:rPr>
        <w:t>）</w:t>
      </w:r>
      <w:r>
        <w:rPr>
          <w:rFonts w:hint="eastAsia" w:ascii="仿宋" w:hAnsi="仿宋" w:eastAsia="仿宋"/>
          <w:sz w:val="32"/>
          <w:szCs w:val="32"/>
        </w:rPr>
        <w:t>负责药品、</w:t>
      </w:r>
      <w:r>
        <w:rPr>
          <w:rFonts w:hint="eastAsia" w:ascii="仿宋" w:hAnsi="仿宋" w:eastAsia="仿宋"/>
          <w:sz w:val="32"/>
          <w:szCs w:val="32"/>
          <w:lang w:val="zh-CN"/>
        </w:rPr>
        <w:t>医疗器械和化妆品质量管理工作，依职责</w:t>
      </w:r>
      <w:r>
        <w:rPr>
          <w:rFonts w:hint="eastAsia" w:ascii="仿宋" w:hAnsi="仿宋" w:eastAsia="仿宋"/>
          <w:sz w:val="32"/>
          <w:szCs w:val="32"/>
        </w:rPr>
        <w:t>监督实施药品、</w:t>
      </w:r>
      <w:r>
        <w:rPr>
          <w:rFonts w:hint="eastAsia" w:ascii="仿宋" w:hAnsi="仿宋" w:eastAsia="仿宋"/>
          <w:sz w:val="32"/>
          <w:szCs w:val="32"/>
          <w:lang w:val="zh-CN"/>
        </w:rPr>
        <w:t>医疗器械经营质量管理规范。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zh-CN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22</w:t>
      </w:r>
      <w:r>
        <w:rPr>
          <w:rFonts w:hint="eastAsia" w:ascii="仿宋" w:hAnsi="仿宋" w:eastAsia="仿宋"/>
          <w:sz w:val="32"/>
          <w:szCs w:val="32"/>
          <w:lang w:val="zh-CN"/>
        </w:rPr>
        <w:t>）组织开展药品、化妆品不良反应监测、医疗器械不良事件监测、药物滥用监测工作，依法承担药品、医疗器械和化妆品安全应急管理工作。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zh-CN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/>
          <w:sz w:val="32"/>
          <w:szCs w:val="32"/>
          <w:lang w:val="zh-CN"/>
        </w:rPr>
        <w:t>）负责药品、医疗器械和化妆品监督检查工作，</w:t>
      </w:r>
      <w:r>
        <w:rPr>
          <w:rFonts w:hint="eastAsia" w:ascii="仿宋" w:hAnsi="仿宋" w:eastAsia="仿宋"/>
          <w:sz w:val="32"/>
          <w:szCs w:val="32"/>
        </w:rPr>
        <w:t>贯彻落实国家、省、市</w:t>
      </w:r>
      <w:r>
        <w:rPr>
          <w:rFonts w:hint="eastAsia" w:ascii="仿宋" w:hAnsi="仿宋" w:eastAsia="仿宋"/>
          <w:sz w:val="32"/>
          <w:szCs w:val="32"/>
          <w:lang w:val="zh-CN"/>
        </w:rPr>
        <w:t>检查制度，依法查处药品、医</w:t>
      </w:r>
      <w:r>
        <w:rPr>
          <w:rFonts w:hint="eastAsia" w:ascii="仿宋" w:hAnsi="仿宋" w:eastAsia="仿宋"/>
          <w:sz w:val="32"/>
          <w:szCs w:val="32"/>
        </w:rPr>
        <w:t>疗器械和化妆品经营、使用环节的违法行为。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）组织开展药品、医疗器械和化妆品安全宣传、教育培训</w:t>
      </w:r>
      <w:r>
        <w:rPr>
          <w:rFonts w:hint="eastAsia" w:ascii="仿宋" w:hAnsi="仿宋" w:eastAsia="仿宋"/>
          <w:sz w:val="32"/>
          <w:szCs w:val="32"/>
          <w:lang w:val="zh-CN"/>
        </w:rPr>
        <w:t>，</w:t>
      </w:r>
      <w:r>
        <w:rPr>
          <w:rFonts w:hint="eastAsia" w:ascii="仿宋" w:hAnsi="仿宋" w:eastAsia="仿宋"/>
          <w:sz w:val="32"/>
          <w:szCs w:val="32"/>
        </w:rPr>
        <w:t>推进诚信体系建设。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25</w:t>
      </w:r>
      <w:r>
        <w:rPr>
          <w:rFonts w:hint="eastAsia" w:ascii="仿宋" w:hAnsi="仿宋" w:eastAsia="仿宋"/>
          <w:sz w:val="32"/>
          <w:szCs w:val="32"/>
        </w:rPr>
        <w:t>）推动落实药品、医疗器械和化妆品安全企业主体责任，落实药品、医疗器械和化妆品安全考核有关工作。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/>
          <w:sz w:val="32"/>
          <w:szCs w:val="32"/>
        </w:rPr>
        <w:t>）推进全区药品、医疗器械和化妆品安全监管信息化建设，负责制定药品、医疗器械和化妆品的安全科技发展规划并组织实施，推动检验检测体系、电子监管追溯体系和信息化建设；完善药品、医疗器械和化妆品安全信息统一公布制度和重大信息直报制度，公布重大安全信息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27</w:t>
      </w:r>
      <w:r>
        <w:rPr>
          <w:rFonts w:hint="eastAsia" w:ascii="仿宋" w:hAnsi="仿宋" w:eastAsia="仿宋"/>
          <w:sz w:val="32"/>
          <w:szCs w:val="32"/>
        </w:rPr>
        <w:t>）承接市市场监督管理局委托区级实施的管理事项。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28</w:t>
      </w:r>
      <w:r>
        <w:rPr>
          <w:rFonts w:hint="eastAsia" w:ascii="仿宋" w:hAnsi="仿宋" w:eastAsia="仿宋"/>
          <w:sz w:val="32"/>
          <w:szCs w:val="32"/>
        </w:rPr>
        <w:t>）完成区委、区政府交办的其他任务。</w:t>
      </w:r>
    </w:p>
    <w:p>
      <w:pPr>
        <w:pStyle w:val="4"/>
        <w:spacing w:before="0" w:after="0" w:line="580" w:lineRule="exact"/>
        <w:ind w:firstLine="960" w:firstLineChars="300"/>
        <w:jc w:val="left"/>
        <w:rPr>
          <w:rFonts w:hint="eastAsia" w:ascii="楷体" w:hAnsi="楷体" w:eastAsia="楷体" w:cs="楷体_GB2312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_GB2312"/>
          <w:b w:val="0"/>
          <w:bCs/>
          <w:kern w:val="2"/>
          <w:sz w:val="32"/>
          <w:szCs w:val="32"/>
          <w:lang w:val="en-US" w:eastAsia="zh-CN" w:bidi="ar-SA"/>
        </w:rPr>
        <w:t>2.机构设置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市场监督管理局为财政拨款的行政单位，13个内设股室：办公室（举报受理股）、人事股、政策法规股、执法协调股、信用监督管理股、市场维权股、知识产权监管股、食品安全协调股、食品生产安全监督管理股、食品流通安全监督管理股、特种设备安全监察股、质量标准计量监管股、药械监督管理股；5个派出机构：获鹿市场监督管理所、铜冶市场监督管理所、上庄市场监督管理所、大河市场监督管理所、宜安市场监督管理所；6个下属事业单位：个体私营经济发展促进中心、市场监管综合执法大队、食品药品检验中心、消费维权服务中心、不良反应监测中心、质量技术监督检验所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本部门2024年度财政拨款本年收入4116.95万元，完成年初预算的101.33%,本年支出4116.95万元，完成年初预算的101.33%。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/>
          <w:sz w:val="32"/>
          <w:szCs w:val="32"/>
        </w:rPr>
        <w:t>完善制度建设。制定并完善我局的预算绩效管理制度、资金管理办法、工作保障制度等，为全年预算绩效目标的实现奠定制度基础。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/>
          <w:sz w:val="32"/>
          <w:szCs w:val="32"/>
        </w:rPr>
        <w:t>加强支出管理。通过优化支出结构、编细编实预算、加快履行政府采购手续、尽快启动项目、及时支付资金、按规定及时下达资金等多种措施，确保支出进度达标。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/>
          <w:sz w:val="32"/>
          <w:szCs w:val="32"/>
        </w:rPr>
        <w:t>加强绩效运行监控。按要求开展绩效运行监控，发现问题及时采取措施，确保绩效目标如期保质实现。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/>
          <w:sz w:val="32"/>
          <w:szCs w:val="32"/>
        </w:rPr>
        <w:t>做好绩效自评。按要求开展上年度部门预算绩效自评和重点评价工作，对评价中发现的问题及时整改，调整优化支出结构，提高财政资金使用效益。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/>
          <w:sz w:val="32"/>
          <w:szCs w:val="32"/>
        </w:rPr>
        <w:t>规范财务资产管理。完善财务管理制度，严格要求审批程序，加强固定资产登记、使用和报废处置管理，做到出动合理，物尽其用。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/>
          <w:sz w:val="32"/>
          <w:szCs w:val="32"/>
        </w:rPr>
        <w:t>加强内部监督。加强内部监督制度建设，对绩效运行情况、重大支出决策、对外投资、资产处置及其他重要经济业务事项的决策和招待进行督导，对会计资料进行内部审计，并配合做好审计、财政监督等外部监督工作，确保财政资金安全有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7.</w:t>
      </w:r>
      <w:r>
        <w:rPr>
          <w:rFonts w:hint="eastAsia" w:ascii="仿宋" w:hAnsi="仿宋" w:eastAsia="仿宋"/>
          <w:sz w:val="32"/>
          <w:szCs w:val="32"/>
        </w:rPr>
        <w:t>加强宣传培训调研等。加强人员培训，提高本部门职工业务素质；加强调研，提出优化财政资金配置、提高资金使用效益的意见建议；加大宣传力度，强化预算绩效管理意识，促进预算绩效管理水平进一步提升。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 w:cs="楷体_GB2312"/>
          <w:bCs/>
          <w:sz w:val="32"/>
          <w:szCs w:val="32"/>
        </w:rPr>
        <w:t>一）自评的组织工作</w:t>
      </w:r>
    </w:p>
    <w:p>
      <w:pPr>
        <w:ind w:firstLine="642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/>
          <w:sz w:val="32"/>
          <w:szCs w:val="32"/>
        </w:rPr>
        <w:t>实行一把手责任制，局办公室、法规科、</w:t>
      </w:r>
      <w:r>
        <w:rPr>
          <w:rFonts w:hint="eastAsia" w:ascii="仿宋" w:hAnsi="仿宋" w:eastAsia="仿宋"/>
          <w:sz w:val="32"/>
          <w:szCs w:val="32"/>
          <w:lang w:eastAsia="zh-CN"/>
        </w:rPr>
        <w:t>人事</w:t>
      </w:r>
      <w:r>
        <w:rPr>
          <w:rFonts w:hint="eastAsia" w:ascii="仿宋" w:hAnsi="仿宋" w:eastAsia="仿宋"/>
          <w:sz w:val="32"/>
          <w:szCs w:val="32"/>
        </w:rPr>
        <w:t>科</w:t>
      </w:r>
      <w:r>
        <w:rPr>
          <w:rFonts w:hint="eastAsia" w:ascii="仿宋" w:hAnsi="仿宋" w:eastAsia="仿宋"/>
          <w:sz w:val="32"/>
          <w:szCs w:val="32"/>
          <w:lang w:eastAsia="zh-CN"/>
        </w:rPr>
        <w:t>等</w:t>
      </w:r>
      <w:r>
        <w:rPr>
          <w:rFonts w:hint="eastAsia" w:ascii="仿宋" w:hAnsi="仿宋" w:eastAsia="仿宋"/>
          <w:sz w:val="32"/>
          <w:szCs w:val="32"/>
        </w:rPr>
        <w:t>成立</w:t>
      </w:r>
      <w:r>
        <w:rPr>
          <w:rFonts w:hint="eastAsia" w:ascii="仿宋" w:hAnsi="仿宋" w:eastAsia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/>
          <w:sz w:val="32"/>
          <w:szCs w:val="32"/>
        </w:rPr>
        <w:t>绩效评价工作小组，</w:t>
      </w:r>
      <w:r>
        <w:rPr>
          <w:rFonts w:hint="eastAsia" w:ascii="仿宋" w:hAnsi="仿宋" w:eastAsia="仿宋"/>
          <w:sz w:val="32"/>
          <w:szCs w:val="32"/>
          <w:lang w:eastAsia="zh-CN"/>
        </w:rPr>
        <w:t>通过业务资料、财务台账、问卷调查等方式收集数据，对照年初设定的绩效目标（产出指标、效益指标、满意度指标等），细化量化指标数据，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eastAsia="zh-CN"/>
        </w:rPr>
        <w:t>全局的整体支出进行</w:t>
      </w:r>
      <w:r>
        <w:rPr>
          <w:rFonts w:hint="eastAsia" w:ascii="仿宋" w:hAnsi="仿宋" w:eastAsia="仿宋"/>
          <w:sz w:val="32"/>
          <w:szCs w:val="32"/>
        </w:rPr>
        <w:t>总结评价结论，形成总体自评报告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p>
      <w:pPr>
        <w:numPr>
          <w:ilvl w:val="0"/>
          <w:numId w:val="2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本次绩效自评根据《鹿泉区区级部门项目绩效自评管理办法》，以目标对比法为核心，结合问卷调查法与成本效益分析法等，形成多思维评估体系，科学、合理地对本项目进行绩效自评。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 w:firstLineChars="0"/>
        <w:textAlignment w:val="auto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明确自评目的、范围和时间周期，收集与本项目相关的资料数据，依据评价指标体系和评价标准，运用适合的自评方法对项目的产出、效益、满意度等指标进行评价打分，对评价过程中发现的问题进行详细记录，并分析原因，提出具有针对性和可操作性的意见建议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widowControl/>
        <w:spacing w:line="225" w:lineRule="atLeast"/>
        <w:ind w:firstLine="643" w:firstLineChars="200"/>
        <w:jc w:val="left"/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highlight w:val="red"/>
          <w:shd w:val="clear" w:color="auto" w:fill="FFFFFF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1.确保食品安全。</w:t>
      </w:r>
      <w:r>
        <w:rPr>
          <w:rFonts w:hint="eastAsia" w:ascii="仿宋" w:hAnsi="仿宋" w:eastAsia="仿宋" w:cs="仿宋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扎实推动食品安全</w:t>
      </w:r>
      <w:r>
        <w:rPr>
          <w:rFonts w:hint="eastAsia" w:ascii="仿宋" w:hAnsi="仿宋" w:eastAsia="仿宋" w:cs="仿宋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“两个责任”落地见效，</w:t>
      </w:r>
      <w:r>
        <w:rPr>
          <w:rFonts w:hint="eastAsia" w:ascii="仿宋" w:hAnsi="仿宋" w:eastAsia="仿宋" w:cs="仿宋"/>
          <w:color w:val="000000"/>
          <w:spacing w:val="-6"/>
          <w:sz w:val="32"/>
          <w:szCs w:val="32"/>
          <w:lang w:val="en-US" w:eastAsia="zh-CN"/>
        </w:rPr>
        <w:t>修订《石家庄市鹿泉区食品安全事故应急预案》</w:t>
      </w:r>
      <w:r>
        <w:rPr>
          <w:rFonts w:hint="eastAsia" w:ascii="仿宋" w:hAnsi="仿宋" w:eastAsia="仿宋" w:cs="仿宋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；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制定了鹿泉区《2024年食品安全抽检计划》，计划抽检2008批次，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  <w:lang w:eastAsia="zh-CN"/>
        </w:rPr>
        <w:t>现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已</w:t>
      </w: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  <w:lang w:eastAsia="zh-CN"/>
        </w:rPr>
        <w:t>全部完成。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根据分类分级实施日常监督检查，检查企业122家次，目前12家规模企业已全部取得质量管理体系认证证书，完成率100%，8家小型企业取得了先进质量管理体系认证证书，完成了2024年 1家企业认证的目标任务。</w:t>
      </w:r>
      <w:r>
        <w:rPr>
          <w:rFonts w:hint="eastAsia" w:ascii="仿宋" w:hAnsi="仿宋" w:eastAsia="仿宋" w:cs="仿宋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对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食品经营风险分级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lang w:eastAsia="zh-CN"/>
        </w:rPr>
        <w:t>方面，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  <w:shd w:val="clear" w:color="auto" w:fill="FFFFFF"/>
        </w:rPr>
        <w:t>通过“河北省食品安全监管</w:t>
      </w:r>
      <w:r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</w:rPr>
        <w:t>平台”查看录入情况</w:t>
      </w:r>
      <w:r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</w:rPr>
        <w:t>对高风险食品经营单位实施重点监管。</w:t>
      </w:r>
      <w:r>
        <w:rPr>
          <w:rFonts w:hint="eastAsia" w:ascii="仿宋" w:hAnsi="仿宋" w:eastAsia="仿宋" w:cs="仿宋"/>
          <w:b w:val="0"/>
          <w:bCs/>
          <w:color w:val="auto"/>
          <w:sz w:val="32"/>
          <w:szCs w:val="32"/>
          <w:lang w:val="en-US" w:eastAsia="zh-CN"/>
        </w:rPr>
        <w:t>进行食品原料快速检测1821批次;完成创建标准化学校食堂40家，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集中定制用餐单位食品安全双总监公示牌，通过基层所发放至各集中用餐单位。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color w:val="000000"/>
          <w:kern w:val="0"/>
          <w:sz w:val="32"/>
          <w:szCs w:val="28"/>
          <w:highlight w:val="red"/>
          <w:shd w:val="clear" w:color="auto" w:fill="auto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2"/>
          <w:szCs w:val="32"/>
          <w:lang w:val="en-US" w:eastAsia="zh-CN"/>
        </w:rPr>
        <w:t>2.确保药械妆安全。</w:t>
      </w:r>
      <w:r>
        <w:rPr>
          <w:rFonts w:hint="eastAsia" w:ascii="仿宋" w:hAnsi="仿宋" w:eastAsia="仿宋" w:cs="仿宋"/>
          <w:b w:val="0"/>
          <w:bCs w:val="0"/>
          <w:i w:val="0"/>
          <w:caps w:val="0"/>
          <w:color w:val="000000"/>
          <w:spacing w:val="0"/>
          <w:kern w:val="2"/>
          <w:sz w:val="32"/>
          <w:szCs w:val="32"/>
          <w:shd w:val="clear" w:color="auto" w:fill="auto"/>
          <w:lang w:val="en-US" w:eastAsia="zh-CN" w:bidi="ar-SA"/>
        </w:rPr>
        <w:t>第一，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开展药品零售企业执业药师“挂证”行为专项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整治。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对存在“挂证”问题的药品零售企业给予警告的行政处罚，同时下发《责令改正通知书》，责令其30个工作日内改正，药品零售企业对“挂证”的执业药师进行变更已全部完成。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第二，促进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</w:rPr>
        <w:t>药品零售企业连锁化发展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截止目前，我辖区零售药店连锁率较年初增长1.74%；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28"/>
          <w:lang w:val="en-US" w:eastAsia="zh-CN" w:bidi="ar"/>
        </w:rPr>
        <w:t>第三，</w:t>
      </w:r>
      <w:r>
        <w:rPr>
          <w:rFonts w:hint="eastAsia" w:ascii="仿宋" w:hAnsi="仿宋" w:eastAsia="仿宋" w:cs="仿宋"/>
          <w:b w:val="0"/>
          <w:bCs w:val="0"/>
          <w:color w:val="auto"/>
          <w:kern w:val="0"/>
          <w:sz w:val="32"/>
          <w:szCs w:val="32"/>
          <w:lang w:val="en-US" w:eastAsia="zh-CN"/>
        </w:rPr>
        <w:t>实施日常监管</w:t>
      </w: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32"/>
          <w:szCs w:val="28"/>
          <w:lang w:val="en-US" w:eastAsia="zh-CN" w:bidi="ar"/>
        </w:rPr>
        <w:t>药品流通环节重点药品供应和监测、流通环节疫苗质量安全、药品安全、药品经营和使用等专项检查。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3.确保工业产品质量安全。</w:t>
      </w:r>
      <w:r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  <w:lang w:val="en-US" w:eastAsia="zh-CN"/>
        </w:rPr>
        <w:t xml:space="preserve">开展区级汽柴油抽检90批次；抽检针对老人用品、儿童用品、燃气具产品、电动自行车及配件、消防产品等抽检16批次；开展电热毯专项检查，建立了台账，抽检2批次；开展保春耕农资市场专项整治，检查农资经营户82户；制定印发《2024年劣质散煤管控和洁净型煤质量监管工作方案》，联合乡镇严厉打击散煤流动销售和农户存储散煤行为，动态实现全区散煤清零。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both"/>
        <w:textAlignment w:val="auto"/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4.确保特种设备安全。</w:t>
      </w:r>
      <w:r>
        <w:rPr>
          <w:rFonts w:hint="eastAsia" w:ascii="仿宋" w:hAnsi="仿宋" w:eastAsia="仿宋" w:cs="仿宋"/>
          <w:b w:val="0"/>
          <w:bCs w:val="0"/>
          <w:color w:val="222222"/>
          <w:sz w:val="32"/>
          <w:szCs w:val="32"/>
          <w:shd w:val="clear" w:color="auto" w:fill="FFFFFF"/>
          <w:lang w:val="en-US" w:eastAsia="zh-CN"/>
        </w:rPr>
        <w:t>围绕“事故就是隐患，隐患就要处理”的工作目标，集中严厉打击特种设备非法违法行为。截至目前，局领导带队检查42人/次，出动执法人员604人/次，检查特种设备使用单位201家/次，巡查在用特种设备2530台/件，快速受理处置电梯投诉举报195起。</w:t>
      </w:r>
    </w:p>
    <w:p>
      <w:pPr>
        <w:pStyle w:val="2"/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color w:val="auto"/>
          <w:sz w:val="32"/>
          <w:szCs w:val="32"/>
          <w:lang w:val="en-US" w:eastAsia="zh-CN"/>
        </w:rPr>
        <w:t>5.竞争环境。</w:t>
      </w:r>
      <w:r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  <w:t>开展反不正当竞争、扫黑除恶和打击传销宣传2次，发放宣传资料1300份，发放宣传物品300份；起草制定了《2024年反不正当竞争守护行动实施方案》、《不公平竞争专项治理方案》、《关于做好2024年重要节日和重要会议期间打击防范传销工作的通知》、《2024年鹿泉区打击传销工作要点》、《2024年鹿泉区打击传销违法犯罪专项行动方案》和《进一步做好打击传销防范直销宣传教育活动的通知》等文件；履行全区公平竞争审查联席会议办公室职责，召开业务培训会2次，新增审查文件90件。</w:t>
      </w:r>
    </w:p>
    <w:p>
      <w:pPr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3" w:firstLineChars="200"/>
        <w:jc w:val="left"/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6.消费环境。</w:t>
      </w:r>
      <w:r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  <w:t>牵头举办“3·15国际消费者权益日”暨“激发消费活力”年主题大型宣传咨询服务活动；受理处置12315投诉举报5517起、办结率98</w:t>
      </w:r>
      <w:bookmarkStart w:id="0" w:name="_GoBack"/>
      <w:r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  <w:t>.48%，12345投诉举报3728起、办结率100%；开展合同格式条款专项整治，检查4S</w:t>
      </w:r>
      <w:bookmarkEnd w:id="0"/>
      <w:r>
        <w:rPr>
          <w:rFonts w:hint="eastAsia" w:ascii="仿宋" w:hAnsi="仿宋" w:eastAsia="仿宋" w:cs="仿宋"/>
          <w:b w:val="0"/>
          <w:bCs w:val="0"/>
          <w:color w:val="222222"/>
          <w:kern w:val="2"/>
          <w:sz w:val="32"/>
          <w:szCs w:val="32"/>
          <w:shd w:val="clear" w:color="auto" w:fill="FFFFFF"/>
          <w:lang w:val="en-US" w:eastAsia="zh-CN" w:bidi="ar-SA"/>
        </w:rPr>
        <w:t>店、房地产、电信等行业经营单位90户；发展线下无理由退货承诺商家13家；新增ODR企业23户。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1.规范市场监督与管理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 xml:space="preserve">绩效目标：依法规范和维护全市各类市场经营秩序，监督管理市场交易行为。开展各项专项整治活动（如成品油市场、农资市场等），开展对农资、化肥、成品油、电器等流通领域商品质量进行分批次抽检，打击假冒伪劣产品，规范各类市场主体的经营行为，确保各类市场不出现重大事故，使全区的市场秩序好于上年；加强对食品生产、流通、餐饮、保健品各环节进行强力监管，及时发现和排除食品安全问题，确保食品生产、流通、餐饮环节和保健品不出现重大事故；规范重大活动餐饮服务单位食品监管，确保大型政治、经济、文化、体育活动以及在我区范围内举办各类大型会议、展览会和赛事等活动期间的餐饮服务食品安全；积极配合石家庄市参与国家卫生城创建工作；全面加强对基本药物（医疗器械及包装材料）及化妆品的质量监管指导，监督药品生产企业严格按照药品标准进行生产，及时发现制假售假问题，做好药物不良反应监测及调查处置；建立统一的市场监管信息平台，对网络市场进行监管；加快部门之间、上下级之间监管信息的互联互通，依托河北省市场主体信用信息公示系统，整合形成统一的市场监管信息平台；积极参与国家卫生城市创建，对户外非法广告，餐厨废弃物收集，农贸市场规范管理，各类食杂店监管，无照经营查处，食品“三小”监管备案工作实施有效管理。                   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完成全区加油站和加油点成品油101批次抽检，对成品油进行100%全覆盖抽检，规范成品油市场，要求成品油达到国家标准；对生产流通领域商品进行检测19批次，完成率须达到100%，抽查覆盖率达到100%。依法查处无照经营，查处传销违法行为，打假治劣，发现的企业违法行为查办及时，查办及时率达到100%；对食品和食品农产品抽检2008批次，抽查覆盖率达到95%以上，抽查产品平均合格率达到95%以上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2.提升执法监管能力建设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加强社会信用体系衔接，实现“一处违法、处处受限”，配合有关部门建立健全跨部门联动响应机制和失信惩戒机制，对存在违法行为的市场主体，加大行政处罚和信用约束力度；开展“市场秩序优化”专项行动，切实维护良好市场秩序，加强重点领域执法力度，坚持查处与规范并重，加大打击侵权假冒案件力度，强化打击传销力度，开展反不正当竞争执法工作，加强广告市场监管，加强商标专用权保护力度，加大无照经营查处力度，进一步增强排查力度，确保同一辖区内的无照经营比例低于上一年度，深入推进合同格式条款整治行动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组织开展各类专项执法行动10次以上，对企业开展行政指导至少5次，查处性质恶劣、跨区域、社会影响大、严重损害群众利益和破坏市场秩序的大案要案，规范企业市场行为。执法案件查处率要达到90%以上，违法案件受理办结率达到100%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3.保护消费者权益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继续开展“12315护民生”专项行动，切实维护消费者合法权益。分层面、分领域、分步骤的继续加大对流通领域商品质量、服务领域消费维权、民用品维修业侵害消费者权益行为的整治力度。有效地抑制重点领域、重点行业存在的违法经营行为，努力解决人民群众反映突出的热点和难点问题，切实保护消费者合法权益，为消费者营造安全放心的消费环境；加强12315投诉举报网络建设，健全群众申诉举报渠道，提升消费维权处理能力；加强12315数据统计分析力度，实现更有针对性的监管执法和数据资源共享，进一步增强12315的社会影响力。更好地服务于消费者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绩效指标：开展消费者保护宣传活动至少3次，发放宣传材料10000份以上，消费投诉办结率达到90%以上，消费者满意度达到95%以上。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4.加强质量监督管理工作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组织开展辖区内产品质量安全强制检验、监督抽查等工作，负责辖区内工业产品生产许可证管理工作，监督管理产品质量仲裁检验、鉴定，组织开展生产领域产品质量安全专项整治工作，依法查处产品质量违法行为，按分工打击假冒伪劣违法活动，组织协调辖区内有关专项打假活动；推行法定计量单位和国家计量制度，建立和管理社会公用计量标准，依法管理计量器具，组织本地量值传递和比对工作，监督管理商品量、市场计量行为和计量仲裁检定；依法对辖区内实验室和检查机构进行监督管理，对认证认可相关的社会中介服务机构进行监督管理，协调和监督强制性认证和自愿性认证工作，引导企业按国际惯例进行各种认证；监督检查高耗能特种设备节能标准的执行情况；负责食品相关产品生产加工环节的质量安全监督管理工作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对114家一般工业产品（如水泥、化肥、低压电器等3C企业）17家食品相关产品(如复合膜袋、非复合膜袋、容器、一次性餐饮具等)企业监督抽查检验20个批次，抽查覆盖率和抽查批次完成率达到85%以上，不合格产品处理率达到100%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5.做好产品质量检验检测工作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目标：负责好全区计量器具检定工作；全区建材产品质量检验工作；对各执法科特种设备安全监察工作进行协调、沟通、监督、指导并做好特种设备安全事故现场调查处理及上报工作，负责全区燃气、供热、气体充装、旅游景点、仓储物流企业的管理；负责本辖区的特种设备定检完成情况。</w:t>
      </w:r>
    </w:p>
    <w:p>
      <w:pPr>
        <w:pStyle w:val="12"/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仿宋" w:hAnsi="仿宋" w:eastAsia="仿宋" w:cs="黑体"/>
          <w:kern w:val="2"/>
          <w:sz w:val="32"/>
          <w:szCs w:val="32"/>
          <w:lang w:val="en-US" w:eastAsia="zh-CN" w:bidi="ar-SA"/>
        </w:rPr>
        <w:t>绩效指标：完成285台标准计量器具及22000多件安全阀门的周期检定，标准计量器具的周期检定率100%。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根据部门职责定位和各项工作履职情况进行综合评价，给出总得分，满分100分，得出综合绩效评价等级。部门整体支出综合绩效评价分为4个等级：得分</w:t>
      </w:r>
      <w:r>
        <w:rPr>
          <w:rFonts w:ascii="仿宋" w:hAnsi="仿宋" w:eastAsia="仿宋" w:cs="Arial"/>
          <w:sz w:val="32"/>
          <w:szCs w:val="32"/>
        </w:rPr>
        <w:t>≥</w:t>
      </w:r>
      <w:r>
        <w:rPr>
          <w:rFonts w:hint="eastAsia" w:ascii="仿宋" w:hAnsi="仿宋" w:eastAsia="仿宋"/>
          <w:sz w:val="32"/>
          <w:szCs w:val="32"/>
        </w:rPr>
        <w:t>85分为优秀；75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得分＜85分为良好；60</w:t>
      </w:r>
      <w:r>
        <w:rPr>
          <w:rFonts w:ascii="仿宋" w:hAnsi="仿宋" w:eastAsia="仿宋" w:cs="Arial"/>
          <w:sz w:val="32"/>
          <w:szCs w:val="32"/>
        </w:rPr>
        <w:t>≤</w:t>
      </w:r>
      <w:r>
        <w:rPr>
          <w:rFonts w:hint="eastAsia" w:ascii="仿宋" w:hAnsi="仿宋" w:eastAsia="仿宋"/>
          <w:sz w:val="32"/>
          <w:szCs w:val="32"/>
        </w:rPr>
        <w:t>得分＜75分为一般；得分＜60分为较差。</w:t>
      </w:r>
    </w:p>
    <w:p>
      <w:pPr>
        <w:widowControl w:val="0"/>
        <w:numPr>
          <w:ilvl w:val="0"/>
          <w:numId w:val="0"/>
        </w:numPr>
        <w:wordWrap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2024年，我部门的各项经费支出投入合理，资金落实到位，使用规范透明，监督及时有效，扎实推进了市场主体发展、企业信用监管、食品药品安全监管和特种设备安全监察等工作，推动了全区经济转型跨越发展。总体来看，我局整体支出完成情况好，取得了良好的社会效益，绩效评价总体得分为99分，自评为优秀等次。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pict>
        <v:shape id="Quad Arrow 3073" o:spid="_x0000_s3073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abstractNum w:abstractNumId="1">
    <w:nsid w:val="60E43859"/>
    <w:multiLevelType w:val="singleLevel"/>
    <w:tmpl w:val="60E4385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65989CF6"/>
    <w:multiLevelType w:val="singleLevel"/>
    <w:tmpl w:val="65989CF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,3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MzRkYmQ4Y2I3YzlkODVjYTM3N2MwNDFhZmYzNzk5M2MifQ=="/>
  </w:docVars>
  <w:rsids>
    <w:rsidRoot w:val="0EBD2122"/>
    <w:rsid w:val="000B0260"/>
    <w:rsid w:val="001B713F"/>
    <w:rsid w:val="002E4714"/>
    <w:rsid w:val="00376610"/>
    <w:rsid w:val="007E6C1F"/>
    <w:rsid w:val="008E3731"/>
    <w:rsid w:val="00956A93"/>
    <w:rsid w:val="009E575C"/>
    <w:rsid w:val="009F674E"/>
    <w:rsid w:val="00AF167E"/>
    <w:rsid w:val="00AF566A"/>
    <w:rsid w:val="00B478EA"/>
    <w:rsid w:val="00B6553A"/>
    <w:rsid w:val="00BC6576"/>
    <w:rsid w:val="00C66976"/>
    <w:rsid w:val="00CE06BA"/>
    <w:rsid w:val="00F441CC"/>
    <w:rsid w:val="01B104CA"/>
    <w:rsid w:val="01C13DB6"/>
    <w:rsid w:val="02106AB0"/>
    <w:rsid w:val="02B43A28"/>
    <w:rsid w:val="046F331E"/>
    <w:rsid w:val="07956271"/>
    <w:rsid w:val="09721397"/>
    <w:rsid w:val="0BB63BED"/>
    <w:rsid w:val="0E2B2A67"/>
    <w:rsid w:val="0EB97A43"/>
    <w:rsid w:val="0EBD2122"/>
    <w:rsid w:val="0F214EAE"/>
    <w:rsid w:val="11B71E6A"/>
    <w:rsid w:val="122C0C8B"/>
    <w:rsid w:val="17AD50BF"/>
    <w:rsid w:val="1AAF0063"/>
    <w:rsid w:val="1BE140DE"/>
    <w:rsid w:val="1E431CD6"/>
    <w:rsid w:val="1FB73525"/>
    <w:rsid w:val="2158624E"/>
    <w:rsid w:val="221B2459"/>
    <w:rsid w:val="23120FB0"/>
    <w:rsid w:val="248C197D"/>
    <w:rsid w:val="252959AF"/>
    <w:rsid w:val="277A6671"/>
    <w:rsid w:val="292C131D"/>
    <w:rsid w:val="292D35B7"/>
    <w:rsid w:val="29B27FB9"/>
    <w:rsid w:val="2E8D2FE9"/>
    <w:rsid w:val="32817910"/>
    <w:rsid w:val="33EB6CFF"/>
    <w:rsid w:val="35A12947"/>
    <w:rsid w:val="37387040"/>
    <w:rsid w:val="38A32C44"/>
    <w:rsid w:val="39885D54"/>
    <w:rsid w:val="3B625C0A"/>
    <w:rsid w:val="3CEE1963"/>
    <w:rsid w:val="3D6B4872"/>
    <w:rsid w:val="3EB33789"/>
    <w:rsid w:val="419A41B3"/>
    <w:rsid w:val="42850976"/>
    <w:rsid w:val="42A31D7C"/>
    <w:rsid w:val="436B78D3"/>
    <w:rsid w:val="4C9C27FE"/>
    <w:rsid w:val="5051397C"/>
    <w:rsid w:val="512260B4"/>
    <w:rsid w:val="52BD6ACB"/>
    <w:rsid w:val="53EF510C"/>
    <w:rsid w:val="55537534"/>
    <w:rsid w:val="55C646D2"/>
    <w:rsid w:val="561A74F1"/>
    <w:rsid w:val="56BF4F93"/>
    <w:rsid w:val="597244E8"/>
    <w:rsid w:val="5B8853EE"/>
    <w:rsid w:val="5EB71C30"/>
    <w:rsid w:val="605A68C8"/>
    <w:rsid w:val="608504C1"/>
    <w:rsid w:val="66AF0CE5"/>
    <w:rsid w:val="691803B8"/>
    <w:rsid w:val="6AC537CF"/>
    <w:rsid w:val="6E5B14A6"/>
    <w:rsid w:val="711B255E"/>
    <w:rsid w:val="75B73CEA"/>
    <w:rsid w:val="7A4D6DEA"/>
    <w:rsid w:val="7B9B0DFC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9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next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5">
    <w:name w:val="Body Text Indent"/>
    <w:basedOn w:val="1"/>
    <w:next w:val="3"/>
    <w:unhideWhenUsed/>
    <w:qFormat/>
    <w:uiPriority w:val="99"/>
    <w:pPr>
      <w:spacing w:after="120"/>
      <w:ind w:left="420" w:leftChars="200"/>
    </w:p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styleId="8">
    <w:name w:val="Body Text First Indent 2"/>
    <w:basedOn w:val="5"/>
    <w:next w:val="1"/>
    <w:qFormat/>
    <w:uiPriority w:val="0"/>
    <w:pPr>
      <w:ind w:firstLine="420" w:firstLineChars="200"/>
    </w:pPr>
  </w:style>
  <w:style w:type="character" w:styleId="11">
    <w:name w:val="Strong"/>
    <w:basedOn w:val="10"/>
    <w:qFormat/>
    <w:uiPriority w:val="0"/>
    <w:rPr>
      <w:b/>
    </w:rPr>
  </w:style>
  <w:style w:type="paragraph" w:customStyle="1" w:styleId="12">
    <w:name w:val="插入文本样式-插入职责分类绩效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  <w:style w:type="paragraph" w:customStyle="1" w:styleId="13">
    <w:name w:val="插入文本样式-插入总体目标文件"/>
    <w:basedOn w:val="1"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307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96</Words>
  <Characters>550</Characters>
  <Lines>4</Lines>
  <Paragraphs>1</Paragraphs>
  <TotalTime>43</TotalTime>
  <ScaleCrop>false</ScaleCrop>
  <LinksUpToDate>false</LinksUpToDate>
  <CharactersWithSpaces>645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2025-04-30T02:34:08Z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  <property fmtid="{D5CDD505-2E9C-101B-9397-08002B2CF9AE}" pid="3" name="ICV">
    <vt:lpwstr>96934721B1514D3FBAA28020338CE855_12</vt:lpwstr>
  </property>
</Properties>
</file>