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60" w:lineRule="exact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 xml:space="preserve">中国共产党石家庄市鹿泉区纪律检查委员会 </w:t>
      </w:r>
    </w:p>
    <w:p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</w:t>
      </w:r>
      <w:r>
        <w:rPr>
          <w:rFonts w:hint="eastAsia" w:ascii="宋体" w:hAnsi="宋体" w:cs="宋体"/>
          <w:b/>
          <w:bCs/>
          <w:color w:val="000000" w:themeColor="text1"/>
          <w:sz w:val="44"/>
          <w:szCs w:val="44"/>
          <w:shd w:val="clear" w:color="auto" w:fill="auto"/>
        </w:rPr>
        <w:t>2</w:t>
      </w:r>
      <w:r>
        <w:rPr>
          <w:rFonts w:hint="eastAsia" w:ascii="宋体" w:hAnsi="宋体" w:cs="宋体"/>
          <w:b/>
          <w:bCs/>
          <w:color w:val="000000" w:themeColor="text1"/>
          <w:sz w:val="44"/>
          <w:szCs w:val="44"/>
          <w:shd w:val="clear" w:color="auto" w:fill="auto"/>
          <w:lang w:val="en-US" w:eastAsia="zh-CN"/>
        </w:rPr>
        <w:t>4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石家庄市鹿泉区人民政府《关于全面实施预算绩效管理的实施意见》（鹿发</w:t>
      </w:r>
      <w:r>
        <w:rPr>
          <w:rFonts w:hint="eastAsia" w:ascii="仿宋_GB2312" w:hAnsi="仿宋_GB2312" w:eastAsia="仿宋_GB2312" w:cs="仿宋_GB2312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）、《鹿泉区区级部门项目绩效自评管理办法》（鹿财字</w:t>
      </w:r>
      <w:r>
        <w:rPr>
          <w:rFonts w:hint="eastAsia" w:ascii="仿宋_GB2312" w:hAnsi="仿宋_GB2312" w:eastAsia="仿宋_GB2312" w:cs="仿宋_GB2312"/>
          <w:sz w:val="32"/>
          <w:szCs w:val="32"/>
        </w:rPr>
        <w:t>﹝20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号）</w:t>
      </w:r>
      <w:r>
        <w:rPr>
          <w:rFonts w:hint="eastAsia" w:ascii="仿宋" w:hAnsi="仿宋" w:eastAsia="仿宋"/>
          <w:sz w:val="32"/>
          <w:szCs w:val="32"/>
        </w:rPr>
        <w:t>文件精神，遵循“科学性、规范性、客观性和公正性”的原则，对</w:t>
      </w:r>
      <w:r>
        <w:rPr>
          <w:rFonts w:hint="eastAsia" w:ascii="仿宋_GB2312" w:hAnsi="仿宋_GB2312" w:eastAsia="仿宋_GB2312" w:cs="仿宋_GB2312"/>
          <w:sz w:val="32"/>
          <w:szCs w:val="32"/>
        </w:rPr>
        <w:t>中国共产党石家庄市鹿泉区纪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律</w:t>
      </w:r>
      <w:r>
        <w:rPr>
          <w:rFonts w:hint="eastAsia" w:ascii="仿宋_GB2312" w:hAnsi="仿宋_GB2312" w:eastAsia="仿宋_GB2312" w:cs="仿宋_GB2312"/>
          <w:sz w:val="32"/>
          <w:szCs w:val="32"/>
        </w:rPr>
        <w:t>检查委员会</w:t>
      </w:r>
      <w:r>
        <w:rPr>
          <w:rFonts w:hint="eastAsia" w:ascii="仿宋" w:hAnsi="仿宋" w:eastAsia="仿宋"/>
          <w:sz w:val="32"/>
          <w:szCs w:val="32"/>
        </w:rPr>
        <w:t>部门202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ind w:firstLine="643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</w:rPr>
        <w:t>部门职能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1.负责全区党的纪律检查工作。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ind w:left="638" w:leftChars="304" w:firstLine="0" w:firstLineChars="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2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依照党的章程和其他党内法规履行监督、执纪、问责职责。3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.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支持配合巡视、巡察工作。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4.负责全区监察工作。贯彻落实党中央和省委、市委、区委关于监察工作的决策部署，维护宪法法律，依法对区委管理的行使公权力的公职人员进行监察,调查职务违法和职务犯罪，开展廉政建设和反腐败工作。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5.依照法律规定履行监督、调查、处置职责。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6.负责组织协调全面从严治党、党风廉政建设和反腐败宣传教育工作。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7.负责综合分析全面从严治党、党风廉政建设和反腐败工作情况，对纪检监察工作重要理论及实践问题进行调查研究；制定或者修改全区纪检监察制度规定，参与起草有关规范性文件。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 xml:space="preserve">   </w:t>
      </w:r>
    </w:p>
    <w:p>
      <w:pPr>
        <w:pStyle w:val="8"/>
        <w:rPr>
          <w:rFonts w:hint="default"/>
          <w:lang w:val="en-US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 xml:space="preserve">    8.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负责组织协调全区反腐败追逃追赃和防逃工作，督促有关单位做好相关工作。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9.根据干部管理权限，负责全区纪检监察系统领导班子建设、干部队伍建设和组织建设的综合规划、政策研究、制度建设和业务指导；会同区委组织部负责区委巡察办的科级干部提名、考察，报区委任免；根据干部管理权限负责区委巡察办科级以下干部人事工作。会同区委组织部做好乡镇纪委（监察办）和开发区纪工委（监察组）领导班子建设有关工作；组织和指导区纪检监察系统干部教育培训工作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10.完成市纪委监委、区委交办的其他任务。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  <w:highlight w:val="yellow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32"/>
          <w:szCs w:val="32"/>
        </w:rPr>
        <w:t>组织机构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：从决算编报单位构成看，纳入2022年度本部门决算汇编范围的独立核算单位（以下简称“单位”）共1个，即：中国共产党石家庄市鹿泉区纪律检查委员会。下属事业单位：石家庄市鹿泉区委廉政教育中心，不独立核算，统一纳入区纪委核算；中共石家庄市鹿泉区委巡察工作领导小组办公室，属于区委工作机关，设在区纪委，不独立核算，统一纳入区纪委核算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人员编制</w:t>
      </w:r>
      <w:r>
        <w:rPr>
          <w:rFonts w:hint="eastAsia" w:ascii="仿宋_GB2312" w:hAnsi="仿宋_GB2312" w:eastAsia="仿宋_GB2312" w:cs="仿宋_GB2312"/>
          <w:sz w:val="32"/>
          <w:szCs w:val="32"/>
        </w:rPr>
        <w:t>：我部门现有行政编制人员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89</w:t>
      </w:r>
      <w:r>
        <w:rPr>
          <w:rFonts w:hint="eastAsia" w:ascii="仿宋_GB2312" w:hAnsi="仿宋_GB2312" w:eastAsia="仿宋_GB2312" w:cs="仿宋_GB2312"/>
          <w:sz w:val="32"/>
          <w:szCs w:val="32"/>
        </w:rPr>
        <w:t>人，事业编制人员6人。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line="578" w:lineRule="exact"/>
        <w:ind w:firstLine="643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资</w:t>
      </w:r>
      <w:r>
        <w:rPr>
          <w:rFonts w:hint="eastAsia" w:ascii="仿宋_GB2312" w:hAnsi="仿宋_GB2312" w:eastAsia="仿宋_GB2312" w:cs="仿宋_GB2312"/>
          <w:b/>
          <w:bCs/>
          <w:color w:val="auto"/>
          <w:sz w:val="32"/>
          <w:szCs w:val="32"/>
          <w:highlight w:val="none"/>
        </w:rPr>
        <w:t>产：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中国共产党石家庄市鹿泉区纪律检查委员会（含所属单位）上年末固定资产金额为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542.07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color w:val="C00000"/>
          <w:sz w:val="32"/>
          <w:szCs w:val="32"/>
        </w:rPr>
      </w:pP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color w:val="auto"/>
          <w:sz w:val="32"/>
          <w:szCs w:val="32"/>
        </w:rPr>
      </w:pPr>
      <w:r>
        <w:rPr>
          <w:rFonts w:hint="eastAsia" w:ascii="楷体" w:hAnsi="楷体" w:eastAsia="楷体" w:cs="楷体_GB2312"/>
          <w:bCs/>
          <w:color w:val="auto"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本部门202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年度收、支总计（含结转和结余）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2058.49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万元。本部门202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年度财政拨款本年收入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2058.49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万元，完成年初预算的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</w:rPr>
        <w:t>1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00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%。202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年度财政拨款支出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2058.49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万元。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>
      <w:pPr>
        <w:spacing w:line="578" w:lineRule="exact"/>
        <w:ind w:firstLine="640" w:firstLineChars="200"/>
        <w:rPr>
          <w:rFonts w:hint="eastAsia" w:ascii="楷体" w:hAnsi="楷体" w:eastAsia="楷体" w:cs="楷体_GB2312"/>
          <w:bCs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做好纪检监察工作，</w:t>
      </w:r>
      <w:r>
        <w:rPr>
          <w:rFonts w:hint="eastAsia" w:ascii="仿宋_GB2312" w:hAnsi="仿宋_GB2312" w:eastAsia="仿宋_GB2312" w:cs="仿宋_GB2312"/>
          <w:color w:val="auto"/>
          <w:kern w:val="2"/>
          <w:sz w:val="32"/>
          <w:szCs w:val="32"/>
        </w:rPr>
        <w:t>坚持以习近平新时代中国特色社会主义思想为指导，全面贯彻落实党的二十大和二十届二中全会精神，深入学习贯彻习近平总书记关于党的自我革命的重要思想，认真贯彻落实习近平总书记视察河北、视察石家庄重要讲话和重要指示精神，坚决落实全面从严治党战略方针，认真落实二十届中央纪委三次全会精神，省市纪委全会和区委全会工作部署，坚持稳中求进工作总基调，坚持严的基调、严的措施、严的氛围不动摇，纵深推进正风肃纪反腐，持续推进新征程纪检监察工作高质量发展，为加快建设现代化经济强区、魅力鹿泉、生态宜居宜业宜游新城区提供坚强保障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>
      <w:pPr>
        <w:spacing w:line="560" w:lineRule="exact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仿宋" w:hAnsi="仿宋" w:eastAsia="仿宋" w:cs="楷体_GB2312"/>
          <w:b/>
          <w:bCs/>
          <w:sz w:val="32"/>
          <w:szCs w:val="32"/>
        </w:rPr>
        <w:t xml:space="preserve">    </w:t>
      </w: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>
      <w:pPr>
        <w:spacing w:line="560" w:lineRule="exact"/>
        <w:rPr>
          <w:rFonts w:hint="eastAsia" w:ascii="仿宋" w:hAnsi="仿宋" w:eastAsia="仿宋_GB2312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 xml:space="preserve">    </w:t>
      </w:r>
      <w:r>
        <w:rPr>
          <w:rFonts w:hint="eastAsia" w:ascii="仿宋" w:hAnsi="仿宋" w:eastAsia="仿宋"/>
          <w:sz w:val="32"/>
          <w:szCs w:val="32"/>
          <w:lang w:eastAsia="zh-CN"/>
        </w:rPr>
        <w:t>严格按照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《关于全面实施预算绩效管理的实施意见》（鹿发</w:t>
      </w:r>
      <w:r>
        <w:rPr>
          <w:rFonts w:hint="eastAsia" w:ascii="仿宋_GB2312" w:hAnsi="仿宋_GB2312" w:eastAsia="仿宋_GB2312" w:cs="仿宋_GB2312"/>
          <w:sz w:val="32"/>
          <w:szCs w:val="32"/>
        </w:rPr>
        <w:t>〔20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</w:t>
      </w:r>
      <w:r>
        <w:rPr>
          <w:rFonts w:hint="eastAsia" w:ascii="仿宋_GB2312" w:hAnsi="仿宋_GB2312" w:eastAsia="仿宋_GB2312" w:cs="仿宋_GB2312"/>
          <w:sz w:val="32"/>
          <w:szCs w:val="32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）、《鹿泉区区级部门项目绩效自评管理办法》（鹿财字</w:t>
      </w:r>
      <w:r>
        <w:rPr>
          <w:rFonts w:hint="eastAsia" w:ascii="仿宋_GB2312" w:hAnsi="仿宋_GB2312" w:eastAsia="仿宋_GB2312" w:cs="仿宋_GB2312"/>
          <w:sz w:val="32"/>
          <w:szCs w:val="32"/>
        </w:rPr>
        <w:t>﹝20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</w:rPr>
        <w:t>﹞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号）</w:t>
      </w:r>
      <w:r>
        <w:rPr>
          <w:rFonts w:hint="eastAsia" w:ascii="仿宋" w:hAnsi="仿宋" w:eastAsia="仿宋"/>
          <w:sz w:val="32"/>
          <w:szCs w:val="32"/>
        </w:rPr>
        <w:t>文件精神</w:t>
      </w:r>
      <w:r>
        <w:rPr>
          <w:rFonts w:hint="eastAsia" w:ascii="仿宋" w:hAnsi="仿宋" w:eastAsia="仿宋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对自评工作进行研究和部署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，强化项目绩效管理。</w:t>
      </w:r>
    </w:p>
    <w:p>
      <w:pPr>
        <w:numPr>
          <w:ilvl w:val="0"/>
          <w:numId w:val="1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adjustRightInd w:val="0"/>
        <w:snapToGrid w:val="0"/>
        <w:spacing w:line="578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按照预算项目绩效目标，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对照各实施项目的内容逐条逐项自评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部门整体支出绩效数据采集的主要依据有：年度预算报告、决算报表、综合业务数据、单位年终考核等资料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>
      <w:pPr>
        <w:numPr>
          <w:ilvl w:val="0"/>
          <w:numId w:val="2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>
      <w:pPr>
        <w:pStyle w:val="9"/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以习近平新时代中国特色社会主义思想为指导，以落实党的二十大精神为主线，按照党的自我革命战略部署和全面从严治党战略方针，深刻领悟“两个确立”的决定性意义，增强“四个意识”、坚定“四个自信”、做到“两个维护”，认真落实健全全面从严治党体系任务要求，坚持全的要求、严的基调、稳的步伐、笃的定力、治的理念，抓监督、转作风、肃纪律、反腐败，深入推进新时代新征程纪检监察工作高质量发展，为加快建设现代化经济强区、魅力鹿泉、生态宜居宜业宜游新城区提供坚强政治保障。</w:t>
      </w:r>
    </w:p>
    <w:p>
      <w:pPr>
        <w:spacing w:line="560" w:lineRule="exact"/>
        <w:ind w:firstLine="642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1.纪检监察业务费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保障单位人员办案经费，提高案件办结率，案件办结率85%,缩短案件办理时效，保证案件在3个月内办结，降低错案率，提高群众满意度，降低执法行为投诉率，为国家挽回经济损失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万元以上，资金预算执行率53.33%。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2.乡镇纪检监察业务费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保障45名乡镇纪检人员办案经费，提高乡镇纪检人员办案效率，案件办结率85%以上，缩短办案时效至3个月内办结，推动监督执纪工作向纵深发展，全覆盖。资金预算执行率75%。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3.巡察巡视专项经费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napToGrid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sz w:val="32"/>
          <w:szCs w:val="32"/>
          <w:lang w:val="en-US" w:eastAsia="zh-CN"/>
        </w:rPr>
        <w:t>深化政治巡察，充分发挥巡察利剑作用，通过巡察发现问题，形成震慑，推动党中央、省委、市委和区委重大决策部署在基层落地生根，破解了基层巡察监督难题。</w:t>
      </w:r>
      <w:r>
        <w:rPr>
          <w:rFonts w:hint="eastAsia" w:ascii="仿宋_GB2312" w:hAnsi="仿宋_GB2312" w:eastAsia="仿宋_GB2312" w:cs="仿宋_GB2312"/>
          <w:b w:val="0"/>
          <w:bCs w:val="0"/>
          <w:snapToGrid/>
          <w:color w:val="auto"/>
          <w:spacing w:val="0"/>
          <w:kern w:val="0"/>
          <w:sz w:val="32"/>
          <w:szCs w:val="32"/>
          <w:lang w:val="en-US" w:eastAsia="zh-CN"/>
        </w:rPr>
        <w:t>扎实推进巡察全覆盖。组织开展区委第六、七、八轮巡察，对23个区直部门、3个乡镇、3个区管学校、63个行政村共计92个党组织开展常规巡察，对2个乡镇、14个行政村共计16个党组织开展巡察“回头看”，对承担整治群众反映强烈突出问题主要任务的6个牵头部门以及所涉及的其他相关责任部门党委（党组）开展机动巡察，发现问</w:t>
      </w:r>
      <w:r>
        <w:rPr>
          <w:rFonts w:hint="eastAsia" w:ascii="仿宋_GB2312" w:hAnsi="仿宋_GB2312" w:eastAsia="仿宋_GB2312" w:cs="仿宋_GB2312"/>
          <w:b w:val="0"/>
          <w:bCs w:val="0"/>
          <w:snapToGrid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题2353个，</w:t>
      </w:r>
      <w:r>
        <w:rPr>
          <w:rFonts w:hint="eastAsia" w:ascii="仿宋_GB2312" w:hAnsi="仿宋_GB2312" w:eastAsia="仿宋_GB2312" w:cs="仿宋_GB2312"/>
          <w:b w:val="0"/>
          <w:bCs w:val="0"/>
          <w:snapToGrid/>
          <w:color w:val="auto"/>
          <w:spacing w:val="0"/>
          <w:kern w:val="0"/>
          <w:sz w:val="32"/>
          <w:szCs w:val="32"/>
          <w:lang w:val="en-US" w:eastAsia="zh-CN"/>
        </w:rPr>
        <w:t>巡察覆盖率达到85.8%。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snapToGrid/>
          <w:color w:val="auto"/>
          <w:spacing w:val="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lang w:val="en-US" w:eastAsia="zh-CN"/>
        </w:rPr>
        <w:t>全力配合市委提级巡察工作。从巡察机构选派7人次参加市委巡察工作，选派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14名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pacing w:val="0"/>
          <w:kern w:val="0"/>
          <w:sz w:val="32"/>
          <w:szCs w:val="32"/>
          <w:lang w:val="en-US" w:eastAsia="zh-CN"/>
        </w:rPr>
        <w:t>优秀同志组成2个整建制巡察组参加市委第七、八轮提级巡察，为市委巡察和提级巡察提供人才支撑。对接保障</w:t>
      </w:r>
      <w:r>
        <w:rPr>
          <w:rFonts w:hint="eastAsia" w:ascii="仿宋_GB2312" w:hAnsi="仿宋_GB2312" w:eastAsia="仿宋_GB2312" w:cs="仿宋_GB2312"/>
          <w:b w:val="0"/>
          <w:bCs w:val="0"/>
          <w:snapToGrid/>
          <w:color w:val="auto"/>
          <w:spacing w:val="0"/>
          <w:kern w:val="0"/>
          <w:sz w:val="32"/>
          <w:szCs w:val="32"/>
          <w:highlight w:val="none"/>
          <w:lang w:val="en-US" w:eastAsia="zh-CN"/>
        </w:rPr>
        <w:t>市委提级巡察组对市公安局鹿泉分局、区人民法院、区人民检察院、区纪委监委机关、区委组织部的巡察和殡葬领域机动巡察工作。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topLinePunct w:val="0"/>
        <w:autoSpaceDE/>
        <w:autoSpaceDN/>
        <w:bidi w:val="0"/>
        <w:spacing w:line="578" w:lineRule="exact"/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4.办案一体化平台建设</w:t>
      </w:r>
    </w:p>
    <w:p>
      <w:pPr>
        <w:pStyle w:val="2"/>
        <w:numPr>
          <w:ilvl w:val="0"/>
          <w:numId w:val="0"/>
        </w:numPr>
        <w:ind w:firstLine="640" w:firstLineChars="200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贯彻落实中央纪委、国家监委工作部署，以信息化引领纪检监察工作规范化，省纪委研究决定，建设集线索处置、案件查办、措施管理、智慧审理、数字监管等功能于一体的办案工作平台，购买国产台式计算机数量19台，国产红黑打印机数量19台，国产扫描仪数量1台，交换机数量1台，提高纪检监察工作的信息化水平，使纪检监察工作更加规范化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资金预算执行率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99.93%。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  <w:bookmarkStart w:id="0" w:name="_GoBack"/>
      <w:bookmarkEnd w:id="0"/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根据项目执行情况和项目绩效情况：1.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纪检监察业务费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94分，优秀。2.乡镇纪检监察业务费97.5分，优秀。3.巡察巡视专项经费95分，优秀。4.办案一体化平台建设93分，优秀。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>
      <w:pPr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项目绩效评估指标设置不够专业，缺乏量化标准，评估主观性强。</w:t>
      </w:r>
    </w:p>
    <w:p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（二）针对问题提出具体的改进措施或建议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topLinePunct w:val="0"/>
        <w:autoSpaceDE/>
        <w:autoSpaceDN/>
        <w:bidi w:val="0"/>
        <w:spacing w:line="578" w:lineRule="exact"/>
        <w:ind w:firstLine="640" w:firstLineChars="200"/>
        <w:rPr>
          <w:rFonts w:hint="default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措施：1.制定科学合理的绩效评估指标和评估方法，确保绩效评估结果客观公正。2.针对预算执行率不高的项目，年初制定合理的项目预算，项目过程中监控，及时调整。3.加强与财政绩效科的沟通协调，按照绩效评价原则，开展资金安全性、规范性的监督，确保专项资金的使用符合绩效管理要求。</w:t>
      </w:r>
    </w:p>
    <w:p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豆立功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办公室主任、二级主任科员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杨楠    党风政风监督室主任</w:t>
      </w:r>
    </w:p>
    <w:p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王洋    区委廉政教育中心主任</w:t>
      </w:r>
    </w:p>
    <w:p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楷体">
    <w:altName w:val="楷体_GB2312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pict>
        <v:shape id="Quad Arrow 3073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o:preferrelative="t" stroked="f" coordsize="21600,21600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>
                  <w:t>- 1 -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</v:shape>
      </w:pic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1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zgxMzVhZTBlNDUyZWUxNDVhMjNkN2E1NjFlOTE5NDcifQ=="/>
  </w:docVars>
  <w:rsids>
    <w:rsidRoot w:val="0EBD2122"/>
    <w:rsid w:val="000B0260"/>
    <w:rsid w:val="007E4015"/>
    <w:rsid w:val="007E6C1F"/>
    <w:rsid w:val="00956A93"/>
    <w:rsid w:val="009E575C"/>
    <w:rsid w:val="00AF167E"/>
    <w:rsid w:val="00AF566A"/>
    <w:rsid w:val="00B478EA"/>
    <w:rsid w:val="00B6553A"/>
    <w:rsid w:val="00BC6576"/>
    <w:rsid w:val="00CE06BA"/>
    <w:rsid w:val="00F441CC"/>
    <w:rsid w:val="017B30C0"/>
    <w:rsid w:val="01AB5DF6"/>
    <w:rsid w:val="01B104CA"/>
    <w:rsid w:val="02106AB0"/>
    <w:rsid w:val="02B43A28"/>
    <w:rsid w:val="02C51A74"/>
    <w:rsid w:val="032B2879"/>
    <w:rsid w:val="045F7637"/>
    <w:rsid w:val="046F331E"/>
    <w:rsid w:val="05DF1A88"/>
    <w:rsid w:val="0630109B"/>
    <w:rsid w:val="069713E4"/>
    <w:rsid w:val="06A44794"/>
    <w:rsid w:val="077113CC"/>
    <w:rsid w:val="07956271"/>
    <w:rsid w:val="08A92D8C"/>
    <w:rsid w:val="08E35BA2"/>
    <w:rsid w:val="08EE4F0A"/>
    <w:rsid w:val="093875F8"/>
    <w:rsid w:val="09721397"/>
    <w:rsid w:val="0A277219"/>
    <w:rsid w:val="0AC14F7E"/>
    <w:rsid w:val="0AF15CA3"/>
    <w:rsid w:val="0BB63BED"/>
    <w:rsid w:val="0D3A4542"/>
    <w:rsid w:val="0D480B50"/>
    <w:rsid w:val="0E283DD1"/>
    <w:rsid w:val="0E2B53B5"/>
    <w:rsid w:val="0EA23B55"/>
    <w:rsid w:val="0EB97A43"/>
    <w:rsid w:val="0EBD2122"/>
    <w:rsid w:val="0ED00B30"/>
    <w:rsid w:val="0F214EAE"/>
    <w:rsid w:val="0F7179E5"/>
    <w:rsid w:val="0FBE4754"/>
    <w:rsid w:val="1057315A"/>
    <w:rsid w:val="109333C0"/>
    <w:rsid w:val="114866D0"/>
    <w:rsid w:val="11A519E7"/>
    <w:rsid w:val="11B71E6A"/>
    <w:rsid w:val="11C56D1B"/>
    <w:rsid w:val="12D2628C"/>
    <w:rsid w:val="13451BD9"/>
    <w:rsid w:val="14D37DB8"/>
    <w:rsid w:val="15353059"/>
    <w:rsid w:val="19091D99"/>
    <w:rsid w:val="1AAF0063"/>
    <w:rsid w:val="1ACF330A"/>
    <w:rsid w:val="1B221A8F"/>
    <w:rsid w:val="1BE140DE"/>
    <w:rsid w:val="1C1E64AF"/>
    <w:rsid w:val="1DFD4CF9"/>
    <w:rsid w:val="1F220215"/>
    <w:rsid w:val="1F296315"/>
    <w:rsid w:val="203A3726"/>
    <w:rsid w:val="21870379"/>
    <w:rsid w:val="21B70742"/>
    <w:rsid w:val="222F6916"/>
    <w:rsid w:val="229B0D79"/>
    <w:rsid w:val="232531F5"/>
    <w:rsid w:val="2364201F"/>
    <w:rsid w:val="247533D8"/>
    <w:rsid w:val="248C197D"/>
    <w:rsid w:val="24E73020"/>
    <w:rsid w:val="252959AF"/>
    <w:rsid w:val="262074A0"/>
    <w:rsid w:val="26D37563"/>
    <w:rsid w:val="277A6671"/>
    <w:rsid w:val="2801545A"/>
    <w:rsid w:val="2895092F"/>
    <w:rsid w:val="289D5FE9"/>
    <w:rsid w:val="292D35B7"/>
    <w:rsid w:val="295D1F1A"/>
    <w:rsid w:val="298270C0"/>
    <w:rsid w:val="299B4FB9"/>
    <w:rsid w:val="2B367A27"/>
    <w:rsid w:val="2BD006A6"/>
    <w:rsid w:val="2BFE1A97"/>
    <w:rsid w:val="2C540DCB"/>
    <w:rsid w:val="2C9727BE"/>
    <w:rsid w:val="2D65261D"/>
    <w:rsid w:val="2E400BEE"/>
    <w:rsid w:val="2EE23DA1"/>
    <w:rsid w:val="30404316"/>
    <w:rsid w:val="3093617D"/>
    <w:rsid w:val="31951BED"/>
    <w:rsid w:val="31A400CB"/>
    <w:rsid w:val="3204001F"/>
    <w:rsid w:val="3250001A"/>
    <w:rsid w:val="32817910"/>
    <w:rsid w:val="32A45F5E"/>
    <w:rsid w:val="32EC6CC2"/>
    <w:rsid w:val="33017FD7"/>
    <w:rsid w:val="3390162D"/>
    <w:rsid w:val="3394781F"/>
    <w:rsid w:val="33EA09B4"/>
    <w:rsid w:val="33EB6CFF"/>
    <w:rsid w:val="34B62DCC"/>
    <w:rsid w:val="35A12947"/>
    <w:rsid w:val="36BE38ED"/>
    <w:rsid w:val="37387040"/>
    <w:rsid w:val="37BB4835"/>
    <w:rsid w:val="38F41093"/>
    <w:rsid w:val="3928193B"/>
    <w:rsid w:val="39EB5322"/>
    <w:rsid w:val="3B625C0A"/>
    <w:rsid w:val="3BCD3469"/>
    <w:rsid w:val="3CEE1963"/>
    <w:rsid w:val="3D3F2FAB"/>
    <w:rsid w:val="3E794E78"/>
    <w:rsid w:val="3E7D1438"/>
    <w:rsid w:val="3F3E16E8"/>
    <w:rsid w:val="3FF077F6"/>
    <w:rsid w:val="436B78D3"/>
    <w:rsid w:val="451D1EB7"/>
    <w:rsid w:val="45F50C5C"/>
    <w:rsid w:val="468D4D4B"/>
    <w:rsid w:val="47A15D2F"/>
    <w:rsid w:val="49305C97"/>
    <w:rsid w:val="4B061C55"/>
    <w:rsid w:val="4C9C27FE"/>
    <w:rsid w:val="4CE40897"/>
    <w:rsid w:val="4D6C4743"/>
    <w:rsid w:val="4E566091"/>
    <w:rsid w:val="4F843B05"/>
    <w:rsid w:val="501B4D5B"/>
    <w:rsid w:val="50A1659E"/>
    <w:rsid w:val="512260B4"/>
    <w:rsid w:val="51232581"/>
    <w:rsid w:val="52610DBE"/>
    <w:rsid w:val="52BD6ACB"/>
    <w:rsid w:val="52EE3131"/>
    <w:rsid w:val="547C1AD5"/>
    <w:rsid w:val="55537534"/>
    <w:rsid w:val="55AE3CCC"/>
    <w:rsid w:val="55B27940"/>
    <w:rsid w:val="55D81C71"/>
    <w:rsid w:val="55E91362"/>
    <w:rsid w:val="561A74F1"/>
    <w:rsid w:val="576B12C7"/>
    <w:rsid w:val="57F27EB4"/>
    <w:rsid w:val="57F6355F"/>
    <w:rsid w:val="584858D9"/>
    <w:rsid w:val="58CC3432"/>
    <w:rsid w:val="5947398E"/>
    <w:rsid w:val="595E53AE"/>
    <w:rsid w:val="597244E8"/>
    <w:rsid w:val="5A9F5239"/>
    <w:rsid w:val="5AA80549"/>
    <w:rsid w:val="5BDE0D11"/>
    <w:rsid w:val="5DD56503"/>
    <w:rsid w:val="5EB71C30"/>
    <w:rsid w:val="602D580B"/>
    <w:rsid w:val="60B6009B"/>
    <w:rsid w:val="60BB427C"/>
    <w:rsid w:val="61173123"/>
    <w:rsid w:val="613C017D"/>
    <w:rsid w:val="634718C9"/>
    <w:rsid w:val="634B3FC6"/>
    <w:rsid w:val="6368323D"/>
    <w:rsid w:val="63EB3189"/>
    <w:rsid w:val="6500511D"/>
    <w:rsid w:val="65E55821"/>
    <w:rsid w:val="660221F0"/>
    <w:rsid w:val="665276CB"/>
    <w:rsid w:val="66AF0CE5"/>
    <w:rsid w:val="67C36810"/>
    <w:rsid w:val="68832120"/>
    <w:rsid w:val="69440121"/>
    <w:rsid w:val="69761EAA"/>
    <w:rsid w:val="6A944000"/>
    <w:rsid w:val="6AC537CF"/>
    <w:rsid w:val="6D044365"/>
    <w:rsid w:val="6E5B14A6"/>
    <w:rsid w:val="6F660EF5"/>
    <w:rsid w:val="6F7277FE"/>
    <w:rsid w:val="6FED0388"/>
    <w:rsid w:val="70175990"/>
    <w:rsid w:val="70BE17FE"/>
    <w:rsid w:val="711B255E"/>
    <w:rsid w:val="71FF5FA3"/>
    <w:rsid w:val="73457D87"/>
    <w:rsid w:val="735B56D0"/>
    <w:rsid w:val="73EE1255"/>
    <w:rsid w:val="73FA6A09"/>
    <w:rsid w:val="746F1D15"/>
    <w:rsid w:val="74AB530E"/>
    <w:rsid w:val="75736724"/>
    <w:rsid w:val="776A0B4D"/>
    <w:rsid w:val="786E328A"/>
    <w:rsid w:val="78D83037"/>
    <w:rsid w:val="7957407F"/>
    <w:rsid w:val="79810E7A"/>
    <w:rsid w:val="79DA4E7D"/>
    <w:rsid w:val="7B3070C9"/>
    <w:rsid w:val="7BB51E06"/>
    <w:rsid w:val="7BCB3F53"/>
    <w:rsid w:val="7C387F7C"/>
    <w:rsid w:val="7C726ED3"/>
    <w:rsid w:val="7E2861D1"/>
    <w:rsid w:val="7E8A21A9"/>
    <w:rsid w:val="7F413842"/>
    <w:rsid w:val="7FC20984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 Text First Indent 21"/>
    <w:basedOn w:val="3"/>
    <w:next w:val="1"/>
    <w:qFormat/>
    <w:uiPriority w:val="0"/>
    <w:pPr>
      <w:spacing w:line="360" w:lineRule="auto"/>
      <w:ind w:firstLine="420" w:firstLineChars="200"/>
    </w:pPr>
  </w:style>
  <w:style w:type="paragraph" w:customStyle="1" w:styleId="3">
    <w:name w:val="Body Text Indent1"/>
    <w:basedOn w:val="1"/>
    <w:qFormat/>
    <w:uiPriority w:val="0"/>
    <w:pPr>
      <w:spacing w:line="560" w:lineRule="exact"/>
      <w:ind w:firstLine="600"/>
    </w:pPr>
    <w:rPr>
      <w:szCs w:val="24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8">
    <w:name w:val="_Style 1"/>
    <w:unhideWhenUsed/>
    <w:qFormat/>
    <w:uiPriority w:val="1"/>
    <w:pPr>
      <w:widowControl w:val="0"/>
      <w:jc w:val="both"/>
    </w:pPr>
    <w:rPr>
      <w:rFonts w:hint="eastAsia" w:ascii="宋体" w:hAnsi="宋体" w:eastAsia="宋体" w:cs="Times New Roman"/>
      <w:kern w:val="2"/>
      <w:sz w:val="32"/>
      <w:szCs w:val="22"/>
      <w:lang w:val="en-US" w:eastAsia="zh-CN" w:bidi="ar-SA"/>
    </w:rPr>
  </w:style>
  <w:style w:type="paragraph" w:customStyle="1" w:styleId="9">
    <w:name w:val="插入文本样式-插入总体目标文件"/>
    <w:basedOn w:val="1"/>
    <w:qFormat/>
    <w:uiPriority w:val="0"/>
    <w:pPr>
      <w:spacing w:line="500" w:lineRule="exact"/>
      <w:ind w:firstLine="560"/>
    </w:pPr>
    <w:rPr>
      <w:rFonts w:eastAsia="方正仿宋_GBK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2968</Words>
  <Characters>3096</Characters>
  <Lines>4</Lines>
  <Paragraphs>1</Paragraphs>
  <TotalTime>16</TotalTime>
  <ScaleCrop>false</ScaleCrop>
  <LinksUpToDate>false</LinksUpToDate>
  <CharactersWithSpaces>3131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Administrator</cp:lastModifiedBy>
  <cp:lastPrinted>2024-03-06T07:40:00Z</cp:lastPrinted>
  <dcterms:modified xsi:type="dcterms:W3CDTF">2025-05-14T07:15:19Z</dcterms:modified>
  <dc:title>附件3：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  <property fmtid="{D5CDD505-2E9C-101B-9397-08002B2CF9AE}" pid="3" name="ICV">
    <vt:lpwstr>96934721B1514D3FBAA28020338CE855_12</vt:lpwstr>
  </property>
</Properties>
</file>