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sz w:val="32"/>
          <w:szCs w:val="32"/>
        </w:rPr>
      </w:pPr>
      <w:r>
        <w:rPr>
          <w:rFonts w:hint="eastAsia" w:ascii="黑体" w:hAnsi="黑体" w:eastAsia="黑体"/>
          <w:sz w:val="32"/>
          <w:szCs w:val="32"/>
        </w:rPr>
        <w:t>附件3</w:t>
      </w:r>
    </w:p>
    <w:p>
      <w:pPr>
        <w:spacing w:line="560" w:lineRule="exact"/>
        <w:jc w:val="center"/>
        <w:rPr>
          <w:rFonts w:hint="eastAsia" w:ascii="宋体" w:hAnsi="宋体" w:cs="宋体"/>
          <w:b/>
          <w:bCs/>
          <w:sz w:val="44"/>
          <w:szCs w:val="44"/>
        </w:rPr>
      </w:pPr>
    </w:p>
    <w:p>
      <w:pPr>
        <w:spacing w:line="560" w:lineRule="exact"/>
        <w:jc w:val="center"/>
        <w:rPr>
          <w:rFonts w:hint="eastAsia" w:ascii="宋体" w:hAnsi="宋体" w:cs="宋体"/>
          <w:b/>
          <w:bCs/>
          <w:sz w:val="44"/>
          <w:szCs w:val="44"/>
        </w:rPr>
      </w:pPr>
      <w:r>
        <w:rPr>
          <w:rFonts w:hint="eastAsia" w:ascii="宋体" w:hAnsi="宋体" w:cs="宋体"/>
          <w:b/>
          <w:bCs/>
          <w:sz w:val="44"/>
          <w:szCs w:val="44"/>
        </w:rPr>
        <w:t>石家庄市鹿泉区文化广电体育和旅游局</w:t>
      </w:r>
    </w:p>
    <w:p>
      <w:pPr>
        <w:spacing w:line="560" w:lineRule="exact"/>
        <w:jc w:val="center"/>
        <w:rPr>
          <w:rFonts w:hint="eastAsia" w:ascii="宋体" w:hAnsi="宋体" w:cs="宋体"/>
          <w:b/>
          <w:bCs/>
          <w:sz w:val="44"/>
          <w:szCs w:val="44"/>
        </w:rPr>
      </w:pPr>
      <w:r>
        <w:rPr>
          <w:rFonts w:hint="eastAsia" w:ascii="宋体" w:hAnsi="宋体" w:cs="宋体"/>
          <w:b/>
          <w:bCs/>
          <w:sz w:val="44"/>
          <w:szCs w:val="44"/>
        </w:rPr>
        <w:t>2024年度整体支出绩效自评报告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贯彻落实石家庄市鹿泉区人民政府《关于全面实施预算绩效管理的实施意见》（鹿发〔2019〕8号）文件精神，遵循“科学性、规范性、客观性和公正性”的原则，对</w:t>
      </w:r>
      <w:r>
        <w:rPr>
          <w:rFonts w:hint="eastAsia" w:ascii="仿宋_GB2312" w:hAnsi="仿宋_GB2312" w:eastAsia="仿宋_GB2312" w:cs="仿宋_GB2312"/>
          <w:sz w:val="32"/>
          <w:szCs w:val="32"/>
        </w:rPr>
        <w:t>石家庄市鹿泉区文化广电体育和旅游局</w:t>
      </w:r>
      <w:r>
        <w:rPr>
          <w:rFonts w:hint="eastAsia" w:ascii="仿宋" w:hAnsi="仿宋" w:eastAsia="仿宋"/>
          <w:sz w:val="32"/>
          <w:szCs w:val="32"/>
        </w:rPr>
        <w:t>202</w:t>
      </w:r>
      <w:r>
        <w:rPr>
          <w:rFonts w:ascii="仿宋" w:hAnsi="仿宋" w:eastAsia="仿宋"/>
          <w:sz w:val="32"/>
          <w:szCs w:val="32"/>
        </w:rPr>
        <w:t>4</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hint="eastAsia"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（一）部门概况</w:t>
      </w:r>
    </w:p>
    <w:p>
      <w:pPr>
        <w:adjustRightInd w:val="0"/>
        <w:snapToGrid w:val="0"/>
        <w:spacing w:line="360" w:lineRule="auto"/>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石家庄市鹿泉区文化广电体育和旅游局（简称区文化广电体育和旅游局）为区政府工作部门，机构规格正科级。贯彻执行中央和省、市、区委关于文化、宣传创作、广播电视、体育和旅游方针政策和决策部署，坚持和加强党对文化、广播电视、体育和旅游工作的集中统一领导。主要职责是：</w:t>
      </w:r>
    </w:p>
    <w:p>
      <w:pPr>
        <w:adjustRightInd w:val="0"/>
        <w:snapToGrid w:val="0"/>
        <w:spacing w:line="360" w:lineRule="auto"/>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1、贯彻执行中央党和国家文化、广播电视、网络视听节目服务管理、体育和旅游工作方针政策和法律法规。研究拟订全区文化、广播电视、体育和旅游政策措施。</w:t>
      </w:r>
    </w:p>
    <w:p>
      <w:pPr>
        <w:adjustRightInd w:val="0"/>
        <w:snapToGrid w:val="0"/>
        <w:spacing w:line="360" w:lineRule="auto"/>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2、拟订全区文化事业、文化产业、广播电视领域、体育业和旅游业发展规划并组织实施，推进文化、广播电视、体育和旅游融合发展，推进文化、广播电视、体育和旅游体制机制改革。</w:t>
      </w:r>
    </w:p>
    <w:p>
      <w:pPr>
        <w:adjustRightInd w:val="0"/>
        <w:snapToGrid w:val="0"/>
        <w:spacing w:line="360" w:lineRule="auto"/>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管理和组织全区性重大文化和旅游活动，组织实施全区广播电视公共服务重大公益工程和公益活动。监管全区重点文化。体育和旅游设施建设，组织鹿泉文化、体育和旅游整体形象推广，促进文化产业、体育产业和旅游产业对外合作和国际市场推广；负责组织推进全域旅游工作。</w:t>
      </w:r>
    </w:p>
    <w:p>
      <w:pPr>
        <w:adjustRightInd w:val="0"/>
        <w:snapToGrid w:val="0"/>
        <w:spacing w:line="360" w:lineRule="auto"/>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4、指导、管理全区文艺事业。指导艺术创作生产，推动全区各门类艺术、各艺术品种发展。指导全区电视剧行业发展和电视剧创作生产。</w:t>
      </w:r>
    </w:p>
    <w:p>
      <w:pPr>
        <w:adjustRightInd w:val="0"/>
        <w:snapToGrid w:val="0"/>
        <w:spacing w:line="360" w:lineRule="auto"/>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负责全区公共文化、广播电视、体育和旅游事业发展。推动全区文化、广播电视和旅游公共服务体系建设，协调区域性体育服务体系，推动多元化体育服务体系建设，深入实施文化惠民工程，统筹推进全区文化、广播电视、体育和旅游服务标准化、均等化。</w:t>
      </w:r>
    </w:p>
    <w:p>
      <w:pPr>
        <w:adjustRightInd w:val="0"/>
        <w:snapToGrid w:val="0"/>
        <w:spacing w:line="360" w:lineRule="auto"/>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推动全区文化、广播电视、体育和旅游科技创新发展，推进文化和旅游行业信息化、标准化建设；负责对全区广播电视节目传输覆盖、监听、监看、检测的监管，会同有关部门做好对网络视听节目和公共视听载体播放的视听节目的监管工作，指导、监管全区广播电视广告播放。推进全区应急广播体系建设，监管协调调度全区广播电视安全播出。</w:t>
      </w:r>
    </w:p>
    <w:p>
      <w:pPr>
        <w:adjustRightInd w:val="0"/>
        <w:snapToGrid w:val="0"/>
        <w:spacing w:line="360" w:lineRule="auto"/>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7、负责对全区各类广播电视机构进行业务指导和监管，会同有关部门对全区网络视听节目服务机构进行管理，推进广播电视与新媒体新技术新业态融合发展，推进广电网与电信网、互联网三网融合。</w:t>
      </w:r>
    </w:p>
    <w:p>
      <w:pPr>
        <w:adjustRightInd w:val="0"/>
        <w:snapToGrid w:val="0"/>
        <w:spacing w:line="360" w:lineRule="auto"/>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8、负责全区非物质文化遗产保护，推动非物质文化遗产的保护、传承、普及、弘扬和振兴。</w:t>
      </w:r>
    </w:p>
    <w:p>
      <w:pPr>
        <w:adjustRightInd w:val="0"/>
        <w:snapToGrid w:val="0"/>
        <w:spacing w:line="360" w:lineRule="auto"/>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9、统筹规划全区文化产业、广播电视产业、体育产业和旅游产业。组织实施文化和旅游资源普查、挖掘、保护和开发利用工作，促进文化产业、广播电视产业、体育产业和旅游产业发展。</w:t>
      </w:r>
    </w:p>
    <w:p>
      <w:pPr>
        <w:adjustRightInd w:val="0"/>
        <w:snapToGrid w:val="0"/>
        <w:spacing w:line="360" w:lineRule="auto"/>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10、指导全区文化、广播电视、体育和旅游市场发展。对文化、广播电视、体育和旅游市场进行行业监管，推进全区文化、广播电视和旅游行业信用体系建设，依法规范文化、广播电视、体育和旅游市场。</w:t>
      </w:r>
    </w:p>
    <w:p>
      <w:pPr>
        <w:adjustRightInd w:val="0"/>
        <w:snapToGrid w:val="0"/>
        <w:spacing w:line="360" w:lineRule="auto"/>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11、负责文化、文物、新闻出版局（版权）、广播电视、电影、体育、旅游等市场综合执法；负责督查督办全区性、跨区域性大案要案，维护市场秩序。</w:t>
      </w:r>
    </w:p>
    <w:p>
      <w:pPr>
        <w:adjustRightInd w:val="0"/>
        <w:snapToGrid w:val="0"/>
        <w:spacing w:line="360" w:lineRule="auto"/>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12、负责文化遗产的管理和保护，指导和管理文物、博物馆事业，组织指导文物的保护抢救、考古发掘和开发利用工作。</w:t>
      </w:r>
    </w:p>
    <w:p>
      <w:pPr>
        <w:adjustRightInd w:val="0"/>
        <w:snapToGrid w:val="0"/>
        <w:spacing w:line="360" w:lineRule="auto"/>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13、承担全区文化、广播电视、体育和旅游行业安全综合协调和监督管理工作，负责全区文化、广播电视、体育和旅游行业突发应急事件的处理工作。</w:t>
      </w:r>
    </w:p>
    <w:p>
      <w:pPr>
        <w:adjustRightInd w:val="0"/>
        <w:snapToGrid w:val="0"/>
        <w:spacing w:line="360" w:lineRule="auto"/>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14、指导、管理全区文化、广播电视和旅游对外及对港澳台交流、合作和宣传、推广工作，组织大型文化、广播电视和旅游对外及对港澳台交流活动。根据授权开展对外体育合作与交流。</w:t>
      </w:r>
    </w:p>
    <w:p>
      <w:pPr>
        <w:adjustRightInd w:val="0"/>
        <w:snapToGrid w:val="0"/>
        <w:spacing w:line="360" w:lineRule="auto"/>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15、负责统筹规划全区群众体育发展，推行全民健身计划，开展群众性体育活动，实施国家体育锻炼标准，开展国民体质监测，负责公共体育设施建设及监督管理工作。</w:t>
      </w:r>
    </w:p>
    <w:p>
      <w:pPr>
        <w:adjustRightInd w:val="0"/>
        <w:snapToGrid w:val="0"/>
        <w:spacing w:line="360" w:lineRule="auto"/>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16、负责统筹规划全区竞技体育发展，确定全区青少年体育项目的设置和布局，指导全区青少年业余训练机构开展业余训练，建设区级青少年竞赛体系，组织协调由区级承办的重要竞技体育赛事，组织开展全区青少年反兴奋剂工作。</w:t>
      </w:r>
    </w:p>
    <w:p>
      <w:pPr>
        <w:adjustRightInd w:val="0"/>
        <w:snapToGrid w:val="0"/>
        <w:spacing w:line="360" w:lineRule="auto"/>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17、指导体育社团工作。</w:t>
      </w:r>
    </w:p>
    <w:p>
      <w:pPr>
        <w:adjustRightInd w:val="0"/>
        <w:snapToGrid w:val="0"/>
        <w:spacing w:line="360" w:lineRule="auto"/>
        <w:ind w:firstLine="640" w:firstLineChars="200"/>
        <w:jc w:val="left"/>
        <w:rPr>
          <w:rFonts w:hint="eastAsia" w:ascii="仿宋_GB2312" w:hAnsi="仿宋_GB2312" w:eastAsia="仿宋_GB2312" w:cs="仿宋_GB2312"/>
          <w:bCs/>
          <w:spacing w:val="-10"/>
          <w:sz w:val="32"/>
        </w:rPr>
      </w:pPr>
      <w:r>
        <w:rPr>
          <w:rFonts w:hint="eastAsia" w:ascii="仿宋_GB2312" w:hAnsi="仿宋_GB2312" w:eastAsia="仿宋_GB2312" w:cs="仿宋_GB2312"/>
          <w:sz w:val="32"/>
          <w:szCs w:val="32"/>
        </w:rPr>
        <w:t>18、完成区委、区政府交办的其他任务。</w:t>
      </w:r>
    </w:p>
    <w:p>
      <w:pPr>
        <w:pStyle w:val="2"/>
        <w:kinsoku w:val="0"/>
        <w:overflowPunct w:val="0"/>
        <w:autoSpaceDE w:val="0"/>
        <w:autoSpaceDN w:val="0"/>
        <w:adjustRightInd w:val="0"/>
        <w:spacing w:line="578" w:lineRule="exact"/>
        <w:ind w:left="0"/>
        <w:jc w:val="left"/>
        <w:rPr>
          <w:rFonts w:ascii="仿宋_GB2312" w:eastAsia="仿宋_GB2312" w:cs="仿宋_GB2312"/>
          <w:bCs/>
          <w:kern w:val="0"/>
          <w:szCs w:val="32"/>
        </w:rPr>
      </w:pPr>
      <w:r>
        <w:rPr>
          <w:rFonts w:hint="eastAsia" w:ascii="仿宋_GB2312" w:eastAsia="仿宋_GB2312" w:cs="仿宋_GB2312"/>
          <w:bCs/>
          <w:kern w:val="0"/>
          <w:szCs w:val="32"/>
        </w:rPr>
        <w:t>机构设置：</w:t>
      </w:r>
    </w:p>
    <w:tbl>
      <w:tblPr>
        <w:tblStyle w:val="7"/>
        <w:tblpPr w:leftFromText="180" w:rightFromText="180" w:vertAnchor="text" w:horzAnchor="page" w:tblpX="1299" w:tblpY="337"/>
        <w:tblOverlap w:val="never"/>
        <w:tblW w:w="95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73"/>
        <w:gridCol w:w="4335"/>
        <w:gridCol w:w="2145"/>
        <w:gridCol w:w="242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121" w:hRule="atLeast"/>
        </w:trPr>
        <w:tc>
          <w:tcPr>
            <w:tcW w:w="673" w:type="dxa"/>
          </w:tcPr>
          <w:p>
            <w:pPr>
              <w:pStyle w:val="9"/>
              <w:autoSpaceDE w:val="0"/>
              <w:spacing w:line="578" w:lineRule="exact"/>
              <w:rPr>
                <w:rFonts w:hint="eastAsia" w:ascii="仿宋_GB2312" w:eastAsia="仿宋_GB2312"/>
                <w:b/>
                <w:sz w:val="28"/>
              </w:rPr>
            </w:pPr>
            <w:r>
              <w:rPr>
                <w:rFonts w:hint="eastAsia" w:ascii="仿宋_GB2312" w:eastAsia="仿宋_GB2312"/>
                <w:b/>
                <w:sz w:val="28"/>
              </w:rPr>
              <w:t>序号</w:t>
            </w:r>
          </w:p>
        </w:tc>
        <w:tc>
          <w:tcPr>
            <w:tcW w:w="4335" w:type="dxa"/>
          </w:tcPr>
          <w:p>
            <w:pPr>
              <w:pStyle w:val="9"/>
              <w:autoSpaceDE w:val="0"/>
              <w:spacing w:line="578" w:lineRule="exact"/>
              <w:jc w:val="center"/>
              <w:rPr>
                <w:rFonts w:hint="eastAsia" w:ascii="仿宋_GB2312" w:eastAsia="仿宋_GB2312"/>
                <w:b/>
                <w:sz w:val="28"/>
              </w:rPr>
            </w:pPr>
            <w:r>
              <w:rPr>
                <w:rFonts w:hint="eastAsia" w:ascii="仿宋_GB2312" w:eastAsia="仿宋_GB2312"/>
                <w:b/>
                <w:sz w:val="28"/>
              </w:rPr>
              <w:t>单位名称</w:t>
            </w:r>
          </w:p>
        </w:tc>
        <w:tc>
          <w:tcPr>
            <w:tcW w:w="2145" w:type="dxa"/>
          </w:tcPr>
          <w:p>
            <w:pPr>
              <w:pStyle w:val="9"/>
              <w:autoSpaceDE w:val="0"/>
              <w:spacing w:line="578" w:lineRule="exact"/>
              <w:jc w:val="center"/>
              <w:rPr>
                <w:rFonts w:hint="eastAsia" w:ascii="仿宋_GB2312" w:eastAsia="仿宋_GB2312"/>
                <w:b/>
                <w:sz w:val="28"/>
              </w:rPr>
            </w:pPr>
            <w:r>
              <w:rPr>
                <w:rFonts w:hint="eastAsia" w:ascii="仿宋_GB2312" w:eastAsia="仿宋_GB2312"/>
                <w:b/>
                <w:sz w:val="28"/>
              </w:rPr>
              <w:t>单位基本性质</w:t>
            </w:r>
          </w:p>
        </w:tc>
        <w:tc>
          <w:tcPr>
            <w:tcW w:w="2427" w:type="dxa"/>
          </w:tcPr>
          <w:p>
            <w:pPr>
              <w:pStyle w:val="9"/>
              <w:autoSpaceDE w:val="0"/>
              <w:spacing w:line="578" w:lineRule="exact"/>
              <w:jc w:val="center"/>
              <w:rPr>
                <w:rFonts w:hint="eastAsia" w:ascii="仿宋_GB2312" w:eastAsia="仿宋_GB2312"/>
                <w:b/>
                <w:sz w:val="28"/>
              </w:rPr>
            </w:pPr>
            <w:r>
              <w:rPr>
                <w:rFonts w:hint="eastAsia" w:ascii="仿宋_GB2312" w:eastAsia="仿宋_GB2312"/>
                <w:b/>
                <w:sz w:val="28"/>
              </w:rPr>
              <w:t>经费形式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91" w:hRule="atLeast"/>
        </w:trPr>
        <w:tc>
          <w:tcPr>
            <w:tcW w:w="673" w:type="dxa"/>
          </w:tcPr>
          <w:p>
            <w:pPr>
              <w:pStyle w:val="9"/>
              <w:autoSpaceDE w:val="0"/>
              <w:spacing w:line="578" w:lineRule="exact"/>
              <w:jc w:val="center"/>
              <w:rPr>
                <w:rFonts w:hint="eastAsia" w:ascii="仿宋"/>
              </w:rPr>
            </w:pPr>
            <w:r>
              <w:rPr>
                <w:rFonts w:ascii="仿宋"/>
                <w:w w:val="97"/>
              </w:rPr>
              <w:t>1</w:t>
            </w:r>
          </w:p>
        </w:tc>
        <w:tc>
          <w:tcPr>
            <w:tcW w:w="4335" w:type="dxa"/>
          </w:tcPr>
          <w:p>
            <w:pPr>
              <w:pStyle w:val="9"/>
              <w:autoSpaceDE w:val="0"/>
              <w:spacing w:line="578" w:lineRule="exact"/>
              <w:jc w:val="center"/>
              <w:rPr>
                <w:rFonts w:hint="eastAsia" w:ascii="仿宋" w:eastAsia="仿宋"/>
              </w:rPr>
            </w:pPr>
            <w:r>
              <w:rPr>
                <w:rFonts w:hint="eastAsia" w:ascii="仿宋" w:eastAsia="仿宋"/>
              </w:rPr>
              <w:t>石家庄市鹿泉区文化广电体育和旅游局（本级）</w:t>
            </w:r>
          </w:p>
        </w:tc>
        <w:tc>
          <w:tcPr>
            <w:tcW w:w="2145" w:type="dxa"/>
          </w:tcPr>
          <w:p>
            <w:pPr>
              <w:pStyle w:val="9"/>
              <w:autoSpaceDE w:val="0"/>
              <w:spacing w:line="578" w:lineRule="exact"/>
              <w:jc w:val="center"/>
              <w:rPr>
                <w:rFonts w:hint="eastAsia" w:ascii="仿宋" w:eastAsia="仿宋"/>
              </w:rPr>
            </w:pPr>
            <w:r>
              <w:rPr>
                <w:rFonts w:hint="eastAsia" w:ascii="仿宋" w:eastAsia="仿宋"/>
              </w:rPr>
              <w:t>行政单位</w:t>
            </w:r>
          </w:p>
        </w:tc>
        <w:tc>
          <w:tcPr>
            <w:tcW w:w="2427" w:type="dxa"/>
          </w:tcPr>
          <w:p>
            <w:pPr>
              <w:pStyle w:val="9"/>
              <w:autoSpaceDE w:val="0"/>
              <w:spacing w:line="578" w:lineRule="exact"/>
              <w:jc w:val="center"/>
              <w:rPr>
                <w:rFonts w:hint="eastAsia" w:ascii="仿宋" w:eastAsia="仿宋"/>
              </w:rPr>
            </w:pPr>
            <w:r>
              <w:rPr>
                <w:rFonts w:hint="eastAsia" w:ascii="仿宋" w:eastAsia="仿宋"/>
              </w:rPr>
              <w:t>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95" w:hRule="atLeast"/>
        </w:trPr>
        <w:tc>
          <w:tcPr>
            <w:tcW w:w="673" w:type="dxa"/>
          </w:tcPr>
          <w:p>
            <w:pPr>
              <w:pStyle w:val="9"/>
              <w:autoSpaceDE w:val="0"/>
              <w:spacing w:line="578" w:lineRule="exact"/>
              <w:jc w:val="center"/>
              <w:rPr>
                <w:rFonts w:hint="eastAsia" w:ascii="仿宋"/>
              </w:rPr>
            </w:pPr>
            <w:r>
              <w:rPr>
                <w:rFonts w:ascii="仿宋"/>
                <w:w w:val="97"/>
              </w:rPr>
              <w:t>2</w:t>
            </w:r>
          </w:p>
        </w:tc>
        <w:tc>
          <w:tcPr>
            <w:tcW w:w="4335" w:type="dxa"/>
          </w:tcPr>
          <w:p>
            <w:pPr>
              <w:pStyle w:val="9"/>
              <w:autoSpaceDE w:val="0"/>
              <w:spacing w:line="578" w:lineRule="exact"/>
              <w:jc w:val="center"/>
              <w:rPr>
                <w:rFonts w:hint="eastAsia" w:ascii="仿宋" w:eastAsia="仿宋"/>
              </w:rPr>
            </w:pPr>
            <w:r>
              <w:rPr>
                <w:rFonts w:hint="eastAsia" w:ascii="仿宋" w:eastAsia="仿宋"/>
              </w:rPr>
              <w:t>石家庄市鹿泉区文化执法大队</w:t>
            </w:r>
          </w:p>
        </w:tc>
        <w:tc>
          <w:tcPr>
            <w:tcW w:w="2145" w:type="dxa"/>
          </w:tcPr>
          <w:p>
            <w:pPr>
              <w:pStyle w:val="9"/>
              <w:autoSpaceDE w:val="0"/>
              <w:spacing w:line="578" w:lineRule="exact"/>
              <w:jc w:val="center"/>
              <w:rPr>
                <w:rFonts w:hint="eastAsia" w:ascii="仿宋" w:eastAsia="仿宋"/>
              </w:rPr>
            </w:pPr>
            <w:r>
              <w:rPr>
                <w:rFonts w:hint="eastAsia" w:ascii="仿宋" w:eastAsia="仿宋"/>
              </w:rPr>
              <w:t>财政补助事业单位</w:t>
            </w:r>
          </w:p>
        </w:tc>
        <w:tc>
          <w:tcPr>
            <w:tcW w:w="2427" w:type="dxa"/>
          </w:tcPr>
          <w:p>
            <w:pPr>
              <w:pStyle w:val="9"/>
              <w:autoSpaceDE w:val="0"/>
              <w:spacing w:line="578" w:lineRule="exact"/>
              <w:jc w:val="center"/>
              <w:rPr>
                <w:rFonts w:hint="eastAsia" w:ascii="仿宋" w:eastAsia="仿宋"/>
              </w:rPr>
            </w:pPr>
            <w:r>
              <w:rPr>
                <w:rFonts w:hint="eastAsia" w:ascii="仿宋" w:eastAsia="仿宋"/>
              </w:rPr>
              <w:t>财政性资金基本保证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95" w:hRule="atLeast"/>
        </w:trPr>
        <w:tc>
          <w:tcPr>
            <w:tcW w:w="673" w:type="dxa"/>
          </w:tcPr>
          <w:p>
            <w:pPr>
              <w:pStyle w:val="9"/>
              <w:autoSpaceDE w:val="0"/>
              <w:spacing w:line="578" w:lineRule="exact"/>
              <w:jc w:val="center"/>
              <w:rPr>
                <w:rFonts w:hint="eastAsia" w:ascii="仿宋"/>
              </w:rPr>
            </w:pPr>
            <w:r>
              <w:rPr>
                <w:rFonts w:ascii="仿宋"/>
                <w:w w:val="97"/>
              </w:rPr>
              <w:t>3</w:t>
            </w:r>
          </w:p>
        </w:tc>
        <w:tc>
          <w:tcPr>
            <w:tcW w:w="4335" w:type="dxa"/>
          </w:tcPr>
          <w:p>
            <w:pPr>
              <w:pStyle w:val="9"/>
              <w:autoSpaceDE w:val="0"/>
              <w:spacing w:line="578" w:lineRule="exact"/>
              <w:jc w:val="center"/>
              <w:rPr>
                <w:rFonts w:hint="eastAsia" w:ascii="仿宋" w:eastAsia="仿宋"/>
              </w:rPr>
            </w:pPr>
            <w:r>
              <w:rPr>
                <w:rFonts w:hint="eastAsia" w:ascii="仿宋" w:eastAsia="仿宋"/>
              </w:rPr>
              <w:t>石家庄市鹿泉区图书馆</w:t>
            </w:r>
          </w:p>
        </w:tc>
        <w:tc>
          <w:tcPr>
            <w:tcW w:w="2145" w:type="dxa"/>
          </w:tcPr>
          <w:p>
            <w:pPr>
              <w:pStyle w:val="9"/>
              <w:autoSpaceDE w:val="0"/>
              <w:spacing w:line="578" w:lineRule="exact"/>
              <w:jc w:val="center"/>
              <w:rPr>
                <w:rFonts w:hint="eastAsia" w:ascii="仿宋" w:eastAsia="仿宋"/>
              </w:rPr>
            </w:pPr>
            <w:r>
              <w:rPr>
                <w:rFonts w:hint="eastAsia" w:ascii="仿宋" w:eastAsia="仿宋"/>
              </w:rPr>
              <w:t>财政补助事业单位</w:t>
            </w:r>
          </w:p>
        </w:tc>
        <w:tc>
          <w:tcPr>
            <w:tcW w:w="2427" w:type="dxa"/>
          </w:tcPr>
          <w:p>
            <w:pPr>
              <w:pStyle w:val="9"/>
              <w:autoSpaceDE w:val="0"/>
              <w:spacing w:line="578" w:lineRule="exact"/>
              <w:jc w:val="center"/>
              <w:rPr>
                <w:rFonts w:hint="eastAsia" w:ascii="仿宋" w:eastAsia="仿宋"/>
              </w:rPr>
            </w:pPr>
            <w:r>
              <w:rPr>
                <w:rFonts w:hint="eastAsia" w:ascii="仿宋" w:eastAsia="仿宋"/>
              </w:rPr>
              <w:t>财政性资金基本保证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96" w:hRule="atLeast"/>
        </w:trPr>
        <w:tc>
          <w:tcPr>
            <w:tcW w:w="673" w:type="dxa"/>
          </w:tcPr>
          <w:p>
            <w:pPr>
              <w:pStyle w:val="9"/>
              <w:autoSpaceDE w:val="0"/>
              <w:spacing w:line="578" w:lineRule="exact"/>
              <w:jc w:val="center"/>
              <w:rPr>
                <w:rFonts w:hint="eastAsia" w:ascii="仿宋"/>
              </w:rPr>
            </w:pPr>
            <w:r>
              <w:rPr>
                <w:rFonts w:ascii="仿宋"/>
                <w:w w:val="97"/>
              </w:rPr>
              <w:t>4</w:t>
            </w:r>
          </w:p>
        </w:tc>
        <w:tc>
          <w:tcPr>
            <w:tcW w:w="4335" w:type="dxa"/>
          </w:tcPr>
          <w:p>
            <w:pPr>
              <w:pStyle w:val="9"/>
              <w:autoSpaceDE w:val="0"/>
              <w:spacing w:line="578" w:lineRule="exact"/>
              <w:jc w:val="center"/>
              <w:rPr>
                <w:rFonts w:hint="eastAsia" w:ascii="仿宋" w:eastAsia="仿宋"/>
              </w:rPr>
            </w:pPr>
            <w:r>
              <w:rPr>
                <w:rFonts w:hint="eastAsia" w:ascii="仿宋" w:eastAsia="仿宋"/>
              </w:rPr>
              <w:t>石家庄市鹿泉区文物保护管理所</w:t>
            </w:r>
          </w:p>
        </w:tc>
        <w:tc>
          <w:tcPr>
            <w:tcW w:w="2145" w:type="dxa"/>
          </w:tcPr>
          <w:p>
            <w:pPr>
              <w:pStyle w:val="9"/>
              <w:autoSpaceDE w:val="0"/>
              <w:spacing w:line="578" w:lineRule="exact"/>
              <w:jc w:val="center"/>
              <w:rPr>
                <w:rFonts w:hint="eastAsia" w:ascii="仿宋" w:eastAsia="仿宋"/>
              </w:rPr>
            </w:pPr>
            <w:r>
              <w:rPr>
                <w:rFonts w:hint="eastAsia" w:ascii="仿宋" w:eastAsia="仿宋"/>
              </w:rPr>
              <w:t>财政补助事业单位</w:t>
            </w:r>
          </w:p>
        </w:tc>
        <w:tc>
          <w:tcPr>
            <w:tcW w:w="2427" w:type="dxa"/>
          </w:tcPr>
          <w:p>
            <w:pPr>
              <w:pStyle w:val="9"/>
              <w:autoSpaceDE w:val="0"/>
              <w:spacing w:line="578" w:lineRule="exact"/>
              <w:jc w:val="center"/>
              <w:rPr>
                <w:rFonts w:hint="eastAsia" w:ascii="仿宋" w:eastAsia="仿宋"/>
              </w:rPr>
            </w:pPr>
            <w:r>
              <w:rPr>
                <w:rFonts w:hint="eastAsia" w:ascii="仿宋" w:eastAsia="仿宋"/>
              </w:rPr>
              <w:t>财政性资金基本保证</w:t>
            </w:r>
          </w:p>
        </w:tc>
      </w:tr>
      <w:tr>
        <w:tblPrEx>
          <w:tblLayout w:type="fixed"/>
          <w:tblCellMar>
            <w:top w:w="0" w:type="dxa"/>
            <w:left w:w="0" w:type="dxa"/>
            <w:bottom w:w="0" w:type="dxa"/>
            <w:right w:w="0" w:type="dxa"/>
          </w:tblCellMar>
        </w:tblPrEx>
        <w:trPr>
          <w:trHeight w:val="595" w:hRule="atLeast"/>
        </w:trPr>
        <w:tc>
          <w:tcPr>
            <w:tcW w:w="673" w:type="dxa"/>
          </w:tcPr>
          <w:p>
            <w:pPr>
              <w:pStyle w:val="9"/>
              <w:autoSpaceDE w:val="0"/>
              <w:spacing w:line="578" w:lineRule="exact"/>
              <w:jc w:val="center"/>
              <w:rPr>
                <w:rFonts w:hint="eastAsia" w:ascii="仿宋"/>
              </w:rPr>
            </w:pPr>
            <w:r>
              <w:rPr>
                <w:rFonts w:ascii="仿宋"/>
                <w:w w:val="97"/>
              </w:rPr>
              <w:t>5</w:t>
            </w:r>
          </w:p>
        </w:tc>
        <w:tc>
          <w:tcPr>
            <w:tcW w:w="4335" w:type="dxa"/>
          </w:tcPr>
          <w:p>
            <w:pPr>
              <w:pStyle w:val="9"/>
              <w:autoSpaceDE w:val="0"/>
              <w:spacing w:line="578" w:lineRule="exact"/>
              <w:jc w:val="center"/>
              <w:rPr>
                <w:rFonts w:hint="eastAsia" w:ascii="仿宋" w:eastAsia="仿宋"/>
              </w:rPr>
            </w:pPr>
            <w:r>
              <w:rPr>
                <w:rFonts w:hint="eastAsia" w:ascii="仿宋" w:eastAsia="仿宋"/>
              </w:rPr>
              <w:t>石家庄市鹿泉区文化馆</w:t>
            </w:r>
          </w:p>
        </w:tc>
        <w:tc>
          <w:tcPr>
            <w:tcW w:w="2145" w:type="dxa"/>
          </w:tcPr>
          <w:p>
            <w:pPr>
              <w:pStyle w:val="9"/>
              <w:autoSpaceDE w:val="0"/>
              <w:spacing w:line="578" w:lineRule="exact"/>
              <w:jc w:val="center"/>
              <w:rPr>
                <w:rFonts w:hint="eastAsia" w:ascii="仿宋" w:eastAsia="仿宋"/>
              </w:rPr>
            </w:pPr>
            <w:r>
              <w:rPr>
                <w:rFonts w:hint="eastAsia" w:ascii="仿宋" w:eastAsia="仿宋"/>
              </w:rPr>
              <w:t>财政补助事业单位</w:t>
            </w:r>
          </w:p>
        </w:tc>
        <w:tc>
          <w:tcPr>
            <w:tcW w:w="2427" w:type="dxa"/>
          </w:tcPr>
          <w:p>
            <w:pPr>
              <w:pStyle w:val="9"/>
              <w:autoSpaceDE w:val="0"/>
              <w:spacing w:line="578" w:lineRule="exact"/>
              <w:jc w:val="center"/>
              <w:rPr>
                <w:rFonts w:hint="eastAsia" w:ascii="仿宋" w:eastAsia="仿宋"/>
              </w:rPr>
            </w:pPr>
            <w:r>
              <w:rPr>
                <w:rFonts w:hint="eastAsia" w:ascii="仿宋" w:eastAsia="仿宋"/>
              </w:rPr>
              <w:t>财政性资金基本保证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96" w:hRule="atLeast"/>
        </w:trPr>
        <w:tc>
          <w:tcPr>
            <w:tcW w:w="673" w:type="dxa"/>
          </w:tcPr>
          <w:p>
            <w:pPr>
              <w:pStyle w:val="9"/>
              <w:autoSpaceDE w:val="0"/>
              <w:spacing w:line="578" w:lineRule="exact"/>
              <w:jc w:val="center"/>
              <w:rPr>
                <w:rFonts w:hint="eastAsia" w:ascii="仿宋"/>
              </w:rPr>
            </w:pPr>
            <w:r>
              <w:rPr>
                <w:rFonts w:ascii="仿宋"/>
                <w:w w:val="97"/>
              </w:rPr>
              <w:t>6</w:t>
            </w:r>
          </w:p>
        </w:tc>
        <w:tc>
          <w:tcPr>
            <w:tcW w:w="4335" w:type="dxa"/>
          </w:tcPr>
          <w:p>
            <w:pPr>
              <w:pStyle w:val="9"/>
              <w:autoSpaceDE w:val="0"/>
              <w:spacing w:line="578" w:lineRule="exact"/>
              <w:jc w:val="center"/>
              <w:rPr>
                <w:rFonts w:hint="eastAsia" w:ascii="仿宋" w:eastAsia="仿宋"/>
              </w:rPr>
            </w:pPr>
            <w:r>
              <w:rPr>
                <w:rFonts w:hint="eastAsia" w:ascii="仿宋" w:eastAsia="仿宋"/>
              </w:rPr>
              <w:t>石家庄市鹿泉区体育场</w:t>
            </w:r>
          </w:p>
        </w:tc>
        <w:tc>
          <w:tcPr>
            <w:tcW w:w="2145" w:type="dxa"/>
          </w:tcPr>
          <w:p>
            <w:pPr>
              <w:pStyle w:val="9"/>
              <w:autoSpaceDE w:val="0"/>
              <w:spacing w:line="578" w:lineRule="exact"/>
              <w:jc w:val="center"/>
              <w:rPr>
                <w:rFonts w:hint="eastAsia" w:ascii="仿宋" w:eastAsia="仿宋"/>
              </w:rPr>
            </w:pPr>
            <w:r>
              <w:rPr>
                <w:rFonts w:hint="eastAsia" w:ascii="仿宋" w:eastAsia="仿宋"/>
              </w:rPr>
              <w:t>财政补助事业单位</w:t>
            </w:r>
          </w:p>
        </w:tc>
        <w:tc>
          <w:tcPr>
            <w:tcW w:w="2427" w:type="dxa"/>
          </w:tcPr>
          <w:p>
            <w:pPr>
              <w:pStyle w:val="9"/>
              <w:autoSpaceDE w:val="0"/>
              <w:spacing w:line="578" w:lineRule="exact"/>
              <w:jc w:val="center"/>
              <w:rPr>
                <w:rFonts w:hint="eastAsia" w:ascii="仿宋" w:eastAsia="仿宋"/>
              </w:rPr>
            </w:pPr>
            <w:r>
              <w:rPr>
                <w:rFonts w:hint="eastAsia" w:ascii="仿宋" w:eastAsia="仿宋"/>
              </w:rPr>
              <w:t>财政性资金基本保证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96" w:hRule="atLeast"/>
        </w:trPr>
        <w:tc>
          <w:tcPr>
            <w:tcW w:w="673" w:type="dxa"/>
          </w:tcPr>
          <w:p>
            <w:pPr>
              <w:pStyle w:val="9"/>
              <w:autoSpaceDE w:val="0"/>
              <w:spacing w:line="578" w:lineRule="exact"/>
              <w:jc w:val="center"/>
              <w:rPr>
                <w:rFonts w:hint="eastAsia" w:ascii="仿宋"/>
              </w:rPr>
            </w:pPr>
            <w:r>
              <w:rPr>
                <w:rFonts w:ascii="仿宋"/>
                <w:w w:val="97"/>
              </w:rPr>
              <w:t>7</w:t>
            </w:r>
          </w:p>
        </w:tc>
        <w:tc>
          <w:tcPr>
            <w:tcW w:w="4335" w:type="dxa"/>
          </w:tcPr>
          <w:p>
            <w:pPr>
              <w:pStyle w:val="9"/>
              <w:autoSpaceDE w:val="0"/>
              <w:spacing w:line="578" w:lineRule="exact"/>
              <w:jc w:val="center"/>
              <w:rPr>
                <w:rFonts w:hint="eastAsia" w:ascii="仿宋" w:eastAsia="仿宋"/>
              </w:rPr>
            </w:pPr>
            <w:r>
              <w:rPr>
                <w:rFonts w:hint="eastAsia" w:ascii="仿宋" w:eastAsia="仿宋"/>
              </w:rPr>
              <w:t>石家庄市鹿泉区少年儿童业余体校</w:t>
            </w:r>
          </w:p>
        </w:tc>
        <w:tc>
          <w:tcPr>
            <w:tcW w:w="2145" w:type="dxa"/>
          </w:tcPr>
          <w:p>
            <w:pPr>
              <w:pStyle w:val="9"/>
              <w:autoSpaceDE w:val="0"/>
              <w:spacing w:line="578" w:lineRule="exact"/>
              <w:jc w:val="center"/>
              <w:rPr>
                <w:rFonts w:hint="eastAsia" w:ascii="仿宋" w:eastAsia="仿宋"/>
              </w:rPr>
            </w:pPr>
            <w:r>
              <w:rPr>
                <w:rFonts w:hint="eastAsia" w:ascii="仿宋" w:eastAsia="仿宋"/>
              </w:rPr>
              <w:t>财政补助事业单位</w:t>
            </w:r>
          </w:p>
        </w:tc>
        <w:tc>
          <w:tcPr>
            <w:tcW w:w="2427" w:type="dxa"/>
          </w:tcPr>
          <w:p>
            <w:pPr>
              <w:pStyle w:val="9"/>
              <w:autoSpaceDE w:val="0"/>
              <w:spacing w:line="578" w:lineRule="exact"/>
              <w:jc w:val="center"/>
              <w:rPr>
                <w:rFonts w:hint="eastAsia" w:ascii="仿宋" w:eastAsia="仿宋"/>
              </w:rPr>
            </w:pPr>
            <w:r>
              <w:rPr>
                <w:rFonts w:hint="eastAsia" w:ascii="仿宋" w:eastAsia="仿宋"/>
              </w:rPr>
              <w:t>财政性资金基本保证</w:t>
            </w:r>
          </w:p>
        </w:tc>
      </w:tr>
    </w:tbl>
    <w:p>
      <w:pPr>
        <w:adjustRightInd w:val="0"/>
        <w:snapToGrid w:val="0"/>
        <w:spacing w:line="560" w:lineRule="exact"/>
        <w:ind w:firstLine="640" w:firstLineChars="200"/>
        <w:rPr>
          <w:rFonts w:hint="eastAsia" w:ascii="仿宋" w:hAnsi="仿宋" w:eastAsia="仿宋"/>
          <w:sz w:val="32"/>
          <w:szCs w:val="32"/>
        </w:rPr>
      </w:pPr>
    </w:p>
    <w:p>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（二）部门收支预决算情况</w:t>
      </w:r>
    </w:p>
    <w:p>
      <w:pPr>
        <w:pStyle w:val="10"/>
        <w:ind w:firstLine="640" w:firstLineChars="200"/>
        <w:rPr>
          <w:rFonts w:hint="eastAsia" w:ascii="仿宋_GB2312" w:hAnsi="仿宋_GB2312" w:cs="仿宋_GB2312"/>
        </w:rPr>
      </w:pPr>
      <w:r>
        <w:rPr>
          <w:rFonts w:hint="eastAsia" w:ascii="仿宋_GB2312" w:hAnsi="仿宋_GB2312" w:cs="仿宋_GB2312"/>
        </w:rPr>
        <w:t>本部门202</w:t>
      </w:r>
      <w:r>
        <w:rPr>
          <w:rFonts w:hint="eastAsia" w:ascii="仿宋_GB2312" w:hAnsi="仿宋_GB2312" w:cs="仿宋_GB2312"/>
          <w:lang w:val="en-US" w:eastAsia="zh-CN"/>
        </w:rPr>
        <w:t>4</w:t>
      </w:r>
      <w:r>
        <w:rPr>
          <w:rFonts w:hint="eastAsia" w:ascii="仿宋_GB2312" w:hAnsi="仿宋_GB2312" w:cs="仿宋_GB2312"/>
        </w:rPr>
        <w:t>年度收、支总计（含结转和结余）</w:t>
      </w:r>
      <w:r>
        <w:rPr>
          <w:rFonts w:hint="eastAsia" w:ascii="仿宋_GB2312" w:hAnsi="仿宋_GB2312" w:cs="仿宋_GB2312"/>
          <w:lang w:val="en-US" w:eastAsia="zh-CN"/>
        </w:rPr>
        <w:t>3420.11万元，</w:t>
      </w:r>
      <w:r>
        <w:rPr>
          <w:rFonts w:hint="eastAsia" w:ascii="仿宋_GB2312" w:hAnsi="仿宋_GB2312" w:cs="仿宋_GB2312"/>
        </w:rPr>
        <w:t>与202</w:t>
      </w:r>
      <w:r>
        <w:rPr>
          <w:rFonts w:hint="eastAsia" w:ascii="仿宋_GB2312" w:hAnsi="仿宋_GB2312" w:cs="仿宋_GB2312"/>
          <w:lang w:val="en-US" w:eastAsia="zh-CN"/>
        </w:rPr>
        <w:t>3</w:t>
      </w:r>
      <w:r>
        <w:rPr>
          <w:rFonts w:hint="eastAsia" w:ascii="仿宋_GB2312" w:hAnsi="仿宋_GB2312" w:cs="仿宋_GB2312"/>
        </w:rPr>
        <w:t>年度决算相比，收支各</w:t>
      </w:r>
      <w:r>
        <w:rPr>
          <w:rFonts w:hint="eastAsia" w:ascii="仿宋_GB2312" w:hAnsi="仿宋_GB2312" w:cs="仿宋_GB2312"/>
          <w:lang w:val="en-US" w:eastAsia="zh-CN"/>
        </w:rPr>
        <w:t>减少6436.12</w:t>
      </w:r>
      <w:r>
        <w:rPr>
          <w:rFonts w:hint="eastAsia" w:ascii="仿宋_GB2312" w:hAnsi="仿宋_GB2312" w:cs="仿宋_GB2312"/>
        </w:rPr>
        <w:t>万元，</w:t>
      </w:r>
      <w:r>
        <w:rPr>
          <w:rFonts w:hint="eastAsia" w:ascii="仿宋_GB2312" w:hAnsi="仿宋_GB2312" w:cs="仿宋_GB2312"/>
          <w:lang w:val="en-US" w:eastAsia="zh-CN"/>
        </w:rPr>
        <w:t>减少65.33</w:t>
      </w:r>
      <w:r>
        <w:rPr>
          <w:rFonts w:hint="eastAsia" w:ascii="仿宋_GB2312" w:hAnsi="仿宋_GB2312" w:cs="仿宋_GB2312"/>
        </w:rPr>
        <w:t>%，主要原因是项目资金</w:t>
      </w:r>
      <w:r>
        <w:rPr>
          <w:rFonts w:hint="eastAsia" w:ascii="仿宋_GB2312" w:hAnsi="仿宋_GB2312" w:cs="仿宋_GB2312"/>
          <w:lang w:val="en-US" w:eastAsia="zh-CN"/>
        </w:rPr>
        <w:t>支出减少</w:t>
      </w:r>
      <w:r>
        <w:rPr>
          <w:rFonts w:hint="eastAsia" w:ascii="仿宋_GB2312" w:hAnsi="仿宋_GB2312" w:cs="仿宋_GB2312"/>
        </w:rPr>
        <w:t>。</w:t>
      </w:r>
    </w:p>
    <w:p>
      <w:pPr>
        <w:pStyle w:val="10"/>
        <w:ind w:firstLine="640" w:firstLineChars="200"/>
        <w:rPr>
          <w:rFonts w:hint="eastAsia"/>
        </w:rPr>
      </w:pPr>
      <w:r>
        <w:rPr>
          <w:rFonts w:hint="eastAsia" w:ascii="仿宋_GB2312" w:hAnsi="仿宋_GB2312" w:cs="仿宋_GB2312"/>
        </w:rPr>
        <w:t>本部门202</w:t>
      </w:r>
      <w:r>
        <w:rPr>
          <w:rFonts w:hint="eastAsia" w:ascii="仿宋_GB2312" w:hAnsi="仿宋_GB2312" w:cs="仿宋_GB2312"/>
          <w:lang w:val="en-US" w:eastAsia="zh-CN"/>
        </w:rPr>
        <w:t>4</w:t>
      </w:r>
      <w:r>
        <w:rPr>
          <w:rFonts w:hint="eastAsia" w:ascii="仿宋_GB2312" w:hAnsi="仿宋_GB2312" w:cs="仿宋_GB2312"/>
        </w:rPr>
        <w:t>年度形成的财政拨款收入为一般公共预算财政收入、政府性基金财政收入，其中一般公共预算财政拨款收入</w:t>
      </w:r>
      <w:r>
        <w:rPr>
          <w:rFonts w:hint="eastAsia" w:ascii="仿宋_GB2312" w:hAnsi="仿宋_GB2312" w:cs="仿宋_GB2312"/>
          <w:lang w:val="en-US" w:eastAsia="zh-CN"/>
        </w:rPr>
        <w:t>2682.37万元</w:t>
      </w:r>
      <w:r>
        <w:rPr>
          <w:rFonts w:hint="eastAsia" w:ascii="仿宋_GB2312" w:hAnsi="仿宋_GB2312" w:cs="仿宋_GB2312"/>
        </w:rPr>
        <w:t>，完成年初预算的</w:t>
      </w:r>
      <w:r>
        <w:rPr>
          <w:rFonts w:hint="eastAsia" w:ascii="仿宋_GB2312" w:hAnsi="仿宋_GB2312" w:cs="仿宋_GB2312"/>
          <w:lang w:val="en-US" w:eastAsia="zh-CN"/>
        </w:rPr>
        <w:t>92.71</w:t>
      </w:r>
      <w:r>
        <w:rPr>
          <w:rFonts w:hint="eastAsia" w:ascii="仿宋_GB2312" w:hAnsi="仿宋_GB2312" w:cs="仿宋_GB2312"/>
        </w:rPr>
        <w:t>%,比年初预算</w:t>
      </w:r>
      <w:r>
        <w:rPr>
          <w:rFonts w:hint="eastAsia" w:ascii="仿宋_GB2312" w:hAnsi="仿宋_GB2312" w:cs="仿宋_GB2312"/>
          <w:lang w:val="en-US" w:eastAsia="zh-CN"/>
        </w:rPr>
        <w:t>减少211.06</w:t>
      </w:r>
      <w:r>
        <w:rPr>
          <w:rFonts w:hint="eastAsia" w:ascii="仿宋_GB2312" w:hAnsi="仿宋_GB2312" w:cs="仿宋_GB2312"/>
        </w:rPr>
        <w:t>万元，主要原因是</w:t>
      </w:r>
      <w:r>
        <w:rPr>
          <w:rFonts w:hint="eastAsia" w:ascii="仿宋_GB2312" w:hAnsi="仿宋_GB2312" w:cs="仿宋_GB2312"/>
          <w:lang w:val="en-US" w:eastAsia="zh-CN"/>
        </w:rPr>
        <w:t>项目资金支出减少</w:t>
      </w:r>
      <w:r>
        <w:rPr>
          <w:rFonts w:hint="eastAsia" w:ascii="仿宋_GB2312" w:hAnsi="仿宋_GB2312" w:cs="仿宋_GB2312"/>
        </w:rPr>
        <w:t>；政府性基金收入</w:t>
      </w:r>
      <w:r>
        <w:rPr>
          <w:rFonts w:hint="eastAsia" w:ascii="仿宋_GB2312" w:hAnsi="仿宋_GB2312" w:cs="仿宋_GB2312"/>
          <w:lang w:val="en-US" w:eastAsia="zh-CN"/>
        </w:rPr>
        <w:t>732.90</w:t>
      </w:r>
      <w:r>
        <w:rPr>
          <w:rFonts w:hint="eastAsia" w:ascii="仿宋_GB2312" w:hAnsi="仿宋_GB2312" w:cs="仿宋_GB2312"/>
        </w:rPr>
        <w:t>万元，完成年初预算的</w:t>
      </w:r>
      <w:r>
        <w:rPr>
          <w:rFonts w:hint="eastAsia" w:ascii="仿宋_GB2312" w:hAnsi="仿宋_GB2312" w:cs="仿宋_GB2312"/>
          <w:lang w:val="en-US" w:eastAsia="zh-CN"/>
        </w:rPr>
        <w:t>58.16</w:t>
      </w:r>
      <w:r>
        <w:rPr>
          <w:rFonts w:hint="eastAsia" w:ascii="仿宋_GB2312" w:hAnsi="仿宋_GB2312" w:cs="仿宋_GB2312"/>
        </w:rPr>
        <w:t>%,比年初预算减少</w:t>
      </w:r>
      <w:r>
        <w:rPr>
          <w:rFonts w:hint="eastAsia" w:ascii="仿宋_GB2312" w:hAnsi="仿宋_GB2312" w:cs="仿宋_GB2312"/>
          <w:lang w:val="en-US" w:eastAsia="zh-CN"/>
        </w:rPr>
        <w:t>527.17</w:t>
      </w:r>
      <w:r>
        <w:rPr>
          <w:rFonts w:hint="eastAsia" w:ascii="仿宋_GB2312" w:hAnsi="仿宋_GB2312" w:cs="仿宋_GB2312"/>
        </w:rPr>
        <w:t>万元，主要原因是全民健身中心工程</w:t>
      </w:r>
      <w:r>
        <w:rPr>
          <w:rFonts w:hint="eastAsia" w:ascii="仿宋_GB2312" w:hAnsi="仿宋_GB2312" w:cs="仿宋_GB2312"/>
          <w:lang w:val="en-US" w:eastAsia="zh-CN"/>
        </w:rPr>
        <w:t>资金</w:t>
      </w:r>
      <w:r>
        <w:rPr>
          <w:rFonts w:hint="eastAsia" w:ascii="仿宋_GB2312" w:hAnsi="仿宋_GB2312" w:cs="仿宋_GB2312"/>
        </w:rPr>
        <w:t>按进度支付。</w:t>
      </w:r>
    </w:p>
    <w:p>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pStyle w:val="10"/>
        <w:ind w:firstLine="640" w:firstLineChars="200"/>
        <w:rPr>
          <w:rFonts w:hint="eastAsia" w:ascii="仿宋_GB2312" w:hAnsi="仿宋_GB2312" w:cs="仿宋_GB2312"/>
        </w:rPr>
      </w:pPr>
      <w:r>
        <w:rPr>
          <w:rFonts w:hint="eastAsia" w:ascii="仿宋_GB2312" w:hAnsi="仿宋_GB2312" w:cs="仿宋_GB2312"/>
        </w:rPr>
        <w:t>1.着力为民增福祉，促进群众体育和竞技体育全面发展。</w:t>
      </w:r>
    </w:p>
    <w:p>
      <w:pPr>
        <w:pStyle w:val="10"/>
        <w:ind w:firstLine="640" w:firstLineChars="200"/>
        <w:rPr>
          <w:rFonts w:hint="eastAsia" w:ascii="仿宋_GB2312" w:hAnsi="仿宋_GB2312" w:cs="仿宋_GB2312"/>
        </w:rPr>
      </w:pPr>
      <w:r>
        <w:rPr>
          <w:rFonts w:hint="eastAsia" w:ascii="仿宋_GB2312" w:hAnsi="仿宋_GB2312" w:cs="仿宋_GB2312"/>
        </w:rPr>
        <w:t>绩效目标：促进群众体育和竞技体育全面发展，促进全民健身运动的可持续发展，推动鹿泉体育事业更上一层楼。</w:t>
      </w:r>
    </w:p>
    <w:p>
      <w:pPr>
        <w:pStyle w:val="10"/>
        <w:ind w:firstLine="640" w:firstLineChars="200"/>
        <w:rPr>
          <w:rFonts w:hint="eastAsia" w:ascii="仿宋_GB2312" w:hAnsi="仿宋_GB2312" w:cs="仿宋_GB2312"/>
        </w:rPr>
      </w:pPr>
      <w:r>
        <w:rPr>
          <w:rFonts w:hint="eastAsia" w:ascii="仿宋_GB2312" w:hAnsi="仿宋_GB2312" w:cs="仿宋_GB2312"/>
        </w:rPr>
        <w:t>绩效指标：（1）谋划建设球类健身场地5处，更新、新建30套健身器材，进一步提升公共服务水平。（2）继续开展以群众参与为主的体育活动及冰雪赛事培训活动40场次以上，进一步打造鹿泉品牌运动赛事“泉民热练”，促进全民健身运动的可持续发展。（3）举办区域类更高水平的体育品牌赛事活动，将“体育+”理念深度发展，不断增加赛事活动影响力。（4）加快推动鹿泉区铜冶镇全民健身中心项目建设工作，满足群众的日常健身需求，进一步缩小城乡体育运动设施差距。</w:t>
      </w:r>
    </w:p>
    <w:p>
      <w:pPr>
        <w:pStyle w:val="10"/>
        <w:ind w:firstLine="640" w:firstLineChars="200"/>
        <w:rPr>
          <w:rFonts w:hint="eastAsia" w:ascii="仿宋_GB2312" w:hAnsi="仿宋_GB2312" w:cs="仿宋_GB2312"/>
        </w:rPr>
      </w:pPr>
      <w:r>
        <w:rPr>
          <w:rFonts w:hint="eastAsia" w:ascii="仿宋_GB2312" w:hAnsi="仿宋_GB2312" w:cs="仿宋_GB2312"/>
        </w:rPr>
        <w:t>2.着力开展文化惠民，增强文化自信。</w:t>
      </w:r>
    </w:p>
    <w:p>
      <w:pPr>
        <w:pStyle w:val="10"/>
        <w:ind w:firstLine="640" w:firstLineChars="200"/>
        <w:rPr>
          <w:rFonts w:hint="eastAsia" w:ascii="仿宋_GB2312" w:hAnsi="仿宋_GB2312" w:cs="仿宋_GB2312"/>
        </w:rPr>
      </w:pPr>
      <w:r>
        <w:rPr>
          <w:rFonts w:hint="eastAsia" w:ascii="仿宋_GB2312" w:hAnsi="仿宋_GB2312" w:cs="仿宋_GB2312"/>
        </w:rPr>
        <w:t>绩效目标：深入实施文化惠民工程，推动鹿泉非遗品牌的打造，谋划建设全新高标准图书馆、文化馆、文博馆，进一步完善加强公共文化服务数字化、智慧化建设。</w:t>
      </w:r>
    </w:p>
    <w:p>
      <w:pPr>
        <w:pStyle w:val="10"/>
        <w:ind w:firstLine="640" w:firstLineChars="200"/>
        <w:rPr>
          <w:rFonts w:hint="eastAsia" w:ascii="仿宋_GB2312" w:hAnsi="仿宋_GB2312" w:cs="仿宋_GB2312"/>
        </w:rPr>
      </w:pPr>
      <w:r>
        <w:rPr>
          <w:rFonts w:hint="eastAsia" w:ascii="仿宋_GB2312" w:hAnsi="仿宋_GB2312" w:cs="仿宋_GB2312"/>
        </w:rPr>
        <w:t>绩效指标：（1）继续坚持中国特色社会主义文化发展道路，深入实施文化惠民工程，指导文艺工作者以人民为中心创作更多增强人民精神力量的优秀作品，持续开展“七进”、“草根大舞台”、“丝弦进基层”、“非遗演出”等演出培训活动100场次，进一步繁荣发展文化事业，满足人民日益增长的精神文化需求。（2）以健全现代化公共文化服务体系为目标，督导全区各乡镇（区）公共文化服务达标提质，进一步提升鹿泉城市品位，激发鹿泉发展新活力。（3）全力推进城市书房建设，建设书香鹿泉，建设3个城市书房。</w:t>
      </w:r>
    </w:p>
    <w:p>
      <w:pPr>
        <w:pStyle w:val="10"/>
        <w:ind w:firstLine="640" w:firstLineChars="200"/>
        <w:rPr>
          <w:rFonts w:hint="eastAsia" w:ascii="仿宋_GB2312" w:hAnsi="仿宋_GB2312" w:cs="仿宋_GB2312"/>
        </w:rPr>
      </w:pPr>
      <w:r>
        <w:rPr>
          <w:rFonts w:hint="eastAsia" w:ascii="仿宋_GB2312" w:hAnsi="仿宋_GB2312" w:cs="仿宋_GB2312"/>
        </w:rPr>
        <w:t>3.着力推动全域旅游协调发展。</w:t>
      </w:r>
    </w:p>
    <w:p>
      <w:pPr>
        <w:pStyle w:val="10"/>
        <w:ind w:firstLine="640" w:firstLineChars="200"/>
        <w:rPr>
          <w:rFonts w:hint="eastAsia" w:ascii="仿宋_GB2312" w:hAnsi="仿宋_GB2312" w:cs="仿宋_GB2312"/>
        </w:rPr>
      </w:pPr>
      <w:r>
        <w:rPr>
          <w:rFonts w:hint="eastAsia" w:ascii="仿宋_GB2312" w:hAnsi="仿宋_GB2312" w:cs="仿宋_GB2312"/>
        </w:rPr>
        <w:t>绩效目标：树立文旅多业态融合发展理念，多渠道争取省、市支持，推动鹿泉区基础设施建设，刺激消费拉动经济增长，提升宣传推介力度，加大资源宣传整合，增强品牌意识，持续扩大影响力，叫响、叫亮鹿泉品牌。</w:t>
      </w:r>
    </w:p>
    <w:p>
      <w:pPr>
        <w:pStyle w:val="10"/>
        <w:ind w:firstLine="640" w:firstLineChars="200"/>
        <w:rPr>
          <w:rFonts w:hint="eastAsia" w:ascii="仿宋_GB2312" w:hAnsi="仿宋_GB2312" w:cs="仿宋_GB2312"/>
        </w:rPr>
      </w:pPr>
      <w:r>
        <w:rPr>
          <w:rFonts w:hint="eastAsia" w:ascii="仿宋_GB2312" w:hAnsi="仿宋_GB2312" w:cs="仿宋_GB2312"/>
        </w:rPr>
        <w:t>绩效指标：（1）加大旅游资源的挖掘整理，推进精品旅游项目游线的组织推介，提升全区游客接待量，2024年游客接力争完成2100万人次。（2）会同第三方创建指导单位完成国家全域旅游示范区创建，完成相关资料的整理工作。（3）加快推进龙泉古镇、西部长青小三亚、稻香村文化街等续建项目开发建设。（4）推动资源整合发展，登记、理清资源发展底数，围绕历史文化、山水资源特色，加大重点片区资源整合，持续推进抱犊寨、西部长青、龙泉湖组团片区发展，抓好项目招引落地，以重点项目开发，带动组团发展，促进全域协调发展。</w:t>
      </w:r>
    </w:p>
    <w:p>
      <w:pPr>
        <w:pStyle w:val="10"/>
        <w:ind w:firstLine="640" w:firstLineChars="200"/>
        <w:rPr>
          <w:rFonts w:hint="eastAsia" w:ascii="仿宋_GB2312" w:hAnsi="仿宋_GB2312" w:cs="仿宋_GB2312"/>
        </w:rPr>
      </w:pPr>
      <w:r>
        <w:rPr>
          <w:rFonts w:hint="eastAsia" w:ascii="仿宋_GB2312" w:hAnsi="仿宋_GB2312" w:cs="仿宋_GB2312"/>
        </w:rPr>
        <w:t>4.抓好安全生产工作，全面维护文旅市场和谐稳定</w:t>
      </w:r>
    </w:p>
    <w:p>
      <w:pPr>
        <w:pStyle w:val="10"/>
        <w:ind w:firstLine="640" w:firstLineChars="200"/>
        <w:rPr>
          <w:rFonts w:hint="eastAsia" w:ascii="仿宋_GB2312" w:hAnsi="仿宋_GB2312" w:cs="仿宋_GB2312"/>
        </w:rPr>
      </w:pPr>
      <w:r>
        <w:rPr>
          <w:rFonts w:hint="eastAsia" w:ascii="仿宋_GB2312" w:hAnsi="仿宋_GB2312" w:cs="仿宋_GB2312"/>
        </w:rPr>
        <w:t>绩效目标：提高安全生产管理水平，确保文化旅游行业能够长期健康有序发展。</w:t>
      </w:r>
    </w:p>
    <w:p>
      <w:pPr>
        <w:pStyle w:val="10"/>
        <w:ind w:firstLine="640" w:firstLineChars="200"/>
        <w:rPr>
          <w:rFonts w:hint="eastAsia" w:ascii="仿宋" w:hAnsi="仿宋" w:eastAsia="仿宋"/>
          <w:sz w:val="32"/>
          <w:szCs w:val="32"/>
        </w:rPr>
      </w:pPr>
      <w:r>
        <w:rPr>
          <w:rFonts w:hint="eastAsia" w:ascii="仿宋_GB2312" w:hAnsi="仿宋_GB2312" w:cs="仿宋_GB2312"/>
        </w:rPr>
        <w:t>绩效指标：（1）提高安全生产管理水平，把安全生产责任制落到实处。将预防安全事故作为日常性工作来抓，加强监管排查，紧盯全区文化和旅游行业安全检查发现的问题，抓好整改落实，彻底消除事故隐患，严防发生各类安全事故。（2）加强监督检查，确保隐患排查到位。按照“全覆盖、零容忍”的总要求，在重要节假日开展安全生产隐患排查工作，始终保持安全生产警觉性和敏锐性。（3）加强安全生产责任意识落实，强化安全生产宣传培训。完善安全生产监督检查长效机制，提高安全生产管理水平，加强安全生产责任意识落实。</w:t>
      </w:r>
    </w:p>
    <w:p>
      <w:pPr>
        <w:adjustRightInd w:val="0"/>
        <w:snapToGrid w:val="0"/>
        <w:spacing w:line="560" w:lineRule="exact"/>
        <w:ind w:firstLine="640" w:firstLineChars="200"/>
        <w:rPr>
          <w:rFonts w:hint="eastAsia" w:ascii="黑体" w:hAnsi="黑体" w:eastAsia="黑体"/>
          <w:sz w:val="32"/>
          <w:szCs w:val="32"/>
        </w:rPr>
      </w:pPr>
      <w:r>
        <w:rPr>
          <w:rFonts w:hint="eastAsia" w:ascii="黑体" w:hAnsi="黑体" w:eastAsia="黑体"/>
          <w:sz w:val="32"/>
          <w:szCs w:val="32"/>
        </w:rPr>
        <w:t>二、自评工作开展情况</w:t>
      </w:r>
    </w:p>
    <w:p>
      <w:pPr>
        <w:spacing w:line="560" w:lineRule="exact"/>
        <w:rPr>
          <w:rFonts w:hint="eastAsia"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spacing w:line="560" w:lineRule="exact"/>
        <w:rPr>
          <w:rFonts w:hint="eastAsia" w:ascii="仿宋" w:hAnsi="仿宋" w:eastAsia="仿宋"/>
          <w:sz w:val="32"/>
          <w:szCs w:val="32"/>
        </w:rPr>
      </w:pPr>
      <w:r>
        <w:rPr>
          <w:rFonts w:hint="eastAsia" w:ascii="仿宋" w:hAnsi="仿宋" w:eastAsia="仿宋"/>
          <w:sz w:val="32"/>
          <w:szCs w:val="32"/>
        </w:rPr>
        <w:t xml:space="preserve">     </w:t>
      </w:r>
      <w:r>
        <w:rPr>
          <w:rFonts w:hint="eastAsia" w:ascii="仿宋_GB2312" w:hAnsi="仿宋_GB2312" w:eastAsia="仿宋_GB2312" w:cs="仿宋_GB2312"/>
          <w:sz w:val="32"/>
          <w:szCs w:val="32"/>
        </w:rPr>
        <w:t>区文化广电体育和旅游局高度重视绩效评估工作，成立了以晋日欣局长为组长、各股室负责人及相关工作人员为成员的绩效工作自评小组。</w:t>
      </w:r>
      <w:r>
        <w:rPr>
          <w:rFonts w:hint="eastAsia" w:ascii="仿宋" w:hAnsi="仿宋" w:eastAsia="仿宋" w:cs="仿宋"/>
          <w:sz w:val="32"/>
          <w:szCs w:val="32"/>
        </w:rPr>
        <w:t>根据职责分工，绩效评价工作小组组织各业务股室抓紧开展资金绩效自评工作，安排有关业务、财务人员，按照自身职责和评价项目特点确定自评工作程序、工作方法等，并本着客观、公正、公开的原则，所有项目的绩效自评均设计了合理、明晰、可考核的、关键性产出指标和效果指标，保证自评结果真实可靠。</w:t>
      </w:r>
    </w:p>
    <w:p>
      <w:pPr>
        <w:numPr>
          <w:ilvl w:val="0"/>
          <w:numId w:val="1"/>
        </w:numPr>
        <w:spacing w:line="560" w:lineRule="exact"/>
        <w:rPr>
          <w:rFonts w:hint="eastAsia" w:ascii="楷体" w:hAnsi="楷体" w:eastAsia="楷体" w:cs="楷体_GB2312"/>
          <w:bCs/>
          <w:sz w:val="32"/>
          <w:szCs w:val="32"/>
        </w:rPr>
      </w:pPr>
      <w:r>
        <w:rPr>
          <w:rFonts w:hint="eastAsia" w:ascii="楷体" w:hAnsi="楷体" w:eastAsia="楷体" w:cs="楷体_GB2312"/>
          <w:bCs/>
          <w:sz w:val="32"/>
          <w:szCs w:val="32"/>
        </w:rPr>
        <w:t>自评的方法和过程</w:t>
      </w:r>
    </w:p>
    <w:p>
      <w:pPr>
        <w:autoSpaceDE w:val="0"/>
        <w:spacing w:line="578" w:lineRule="exact"/>
        <w:ind w:firstLine="640"/>
        <w:rPr>
          <w:rFonts w:ascii="仿宋_GB2312" w:hAnsi="Times New Roman" w:eastAsia="仿宋_GB2312" w:cs="仿宋_GB2312"/>
          <w:sz w:val="32"/>
          <w:szCs w:val="32"/>
        </w:rPr>
      </w:pPr>
      <w:r>
        <w:rPr>
          <w:rFonts w:hint="eastAsia" w:ascii="仿宋_GB2312" w:hAnsi="Times New Roman" w:eastAsia="仿宋_GB2312" w:cs="仿宋_GB2312"/>
          <w:sz w:val="32"/>
          <w:szCs w:val="32"/>
        </w:rPr>
        <w:t>2024年度预算项目绩效自评采用对比法、因素分析法、审核法，主要由项目实施股室对各项目进行综合评价，包括项目预算资金的投入、执行及项目年度预期目标、产出指标、效益指标的预期指标值与实际完成值的评定，以打分的形式评价预算项目年度绩效指标完成情况。采取定量分析与定性分析相结合，运用因素分析法、比较法、现场核查法、访谈等基本方法开展评价工作。</w:t>
      </w:r>
    </w:p>
    <w:p>
      <w:pPr>
        <w:autoSpaceDE w:val="0"/>
        <w:spacing w:line="578" w:lineRule="exact"/>
        <w:ind w:firstLine="640"/>
        <w:rPr>
          <w:rFonts w:ascii="仿宋_GB2312" w:hAnsi="Times New Roman" w:eastAsia="仿宋_GB2312" w:cs="仿宋_GB2312"/>
          <w:sz w:val="32"/>
          <w:szCs w:val="32"/>
        </w:rPr>
      </w:pPr>
      <w:r>
        <w:rPr>
          <w:rFonts w:hint="eastAsia" w:ascii="仿宋_GB2312" w:hAnsi="Times New Roman" w:eastAsia="仿宋_GB2312" w:cs="仿宋_GB2312"/>
          <w:sz w:val="32"/>
          <w:szCs w:val="32"/>
        </w:rPr>
        <w:t>（1）因素分析法。通过列举分析影响绩效目标实现、实施效果的内外因素，评价绩效目标实现程度。</w:t>
      </w:r>
    </w:p>
    <w:p>
      <w:pPr>
        <w:autoSpaceDE w:val="0"/>
        <w:spacing w:line="578" w:lineRule="exact"/>
        <w:ind w:firstLine="640"/>
        <w:rPr>
          <w:rFonts w:ascii="仿宋_GB2312" w:hAnsi="Times New Roman" w:eastAsia="仿宋_GB2312" w:cs="仿宋_GB2312"/>
          <w:sz w:val="32"/>
          <w:szCs w:val="32"/>
        </w:rPr>
      </w:pPr>
      <w:r>
        <w:rPr>
          <w:rFonts w:hint="eastAsia" w:ascii="仿宋_GB2312" w:hAnsi="Times New Roman" w:eastAsia="仿宋_GB2312" w:cs="仿宋_GB2312"/>
          <w:sz w:val="32"/>
          <w:szCs w:val="32"/>
        </w:rPr>
        <w:t>（2）比较法。通过对项目当期实际产生的项目效益结果与预期目标进行定性分析、定量分析，分析完成（或未完成）目标的因素，从而评价财政支出绩效。</w:t>
      </w:r>
    </w:p>
    <w:p>
      <w:pPr>
        <w:autoSpaceDE w:val="0"/>
        <w:spacing w:line="578" w:lineRule="exact"/>
        <w:ind w:firstLine="640"/>
        <w:rPr>
          <w:rFonts w:ascii="仿宋_GB2312" w:hAnsi="Times New Roman" w:eastAsia="仿宋_GB2312" w:cs="仿宋_GB2312"/>
          <w:sz w:val="32"/>
          <w:szCs w:val="32"/>
        </w:rPr>
      </w:pPr>
      <w:r>
        <w:rPr>
          <w:rFonts w:hint="eastAsia" w:ascii="仿宋_GB2312" w:hAnsi="Times New Roman" w:eastAsia="仿宋_GB2312" w:cs="仿宋_GB2312"/>
          <w:sz w:val="32"/>
          <w:szCs w:val="32"/>
        </w:rPr>
        <w:t>（3）现场核查法。现场对项目进行核实，实事求是检查其财务情况和绩效表现等相关资料。</w:t>
      </w:r>
    </w:p>
    <w:p>
      <w:pPr>
        <w:autoSpaceDE w:val="0"/>
        <w:spacing w:line="578" w:lineRule="exact"/>
        <w:ind w:firstLine="640"/>
        <w:rPr>
          <w:rFonts w:ascii="仿宋_GB2312" w:hAnsi="Times New Roman" w:eastAsia="仿宋_GB2312" w:cs="仿宋_GB2312"/>
          <w:sz w:val="32"/>
          <w:szCs w:val="32"/>
        </w:rPr>
      </w:pPr>
      <w:r>
        <w:rPr>
          <w:rFonts w:hint="eastAsia" w:ascii="仿宋_GB2312" w:hAnsi="Times New Roman" w:eastAsia="仿宋_GB2312" w:cs="仿宋_GB2312"/>
          <w:sz w:val="32"/>
          <w:szCs w:val="32"/>
        </w:rPr>
        <w:t>（4）访谈。通过与相关人员进行面谈，针对项目的不同特点和关键问题，直接听取项目管理者、实施人员的意见。</w:t>
      </w:r>
    </w:p>
    <w:p>
      <w:pPr>
        <w:autoSpaceDE w:val="0"/>
        <w:spacing w:line="578" w:lineRule="exact"/>
        <w:ind w:firstLine="640"/>
        <w:rPr>
          <w:rFonts w:ascii="仿宋_GB2312" w:hAnsi="Times New Roman" w:eastAsia="仿宋_GB2312" w:cs="仿宋_GB2312"/>
          <w:sz w:val="32"/>
          <w:szCs w:val="32"/>
        </w:rPr>
      </w:pPr>
      <w:r>
        <w:rPr>
          <w:rFonts w:hint="eastAsia" w:ascii="仿宋_GB2312" w:hAnsi="Times New Roman" w:eastAsia="仿宋_GB2312" w:cs="仿宋_GB2312"/>
          <w:sz w:val="32"/>
          <w:szCs w:val="32"/>
        </w:rPr>
        <w:t>本次绩效评价自评价工作分为三个阶段：</w:t>
      </w:r>
    </w:p>
    <w:p>
      <w:pPr>
        <w:autoSpaceDE w:val="0"/>
        <w:spacing w:line="578" w:lineRule="exact"/>
        <w:ind w:firstLine="640"/>
        <w:rPr>
          <w:rFonts w:ascii="仿宋_GB2312" w:hAnsi="Times New Roman" w:eastAsia="仿宋_GB2312" w:cs="仿宋_GB2312"/>
          <w:sz w:val="32"/>
          <w:szCs w:val="32"/>
        </w:rPr>
      </w:pPr>
      <w:r>
        <w:rPr>
          <w:rFonts w:hint="eastAsia" w:ascii="仿宋_GB2312" w:hAnsi="Times New Roman" w:eastAsia="仿宋_GB2312" w:cs="仿宋_GB2312"/>
          <w:sz w:val="32"/>
          <w:szCs w:val="32"/>
        </w:rPr>
        <w:t>第一阶段：成立绩效评价工作小组，制定项目绩效评价具体实施方案。收集评价资料，要求业务股室准备好绩效评价所需的佐证材料，其中评价指标应有对应的佐证材料相关指标的实现情况。</w:t>
      </w:r>
    </w:p>
    <w:p>
      <w:pPr>
        <w:autoSpaceDE w:val="0"/>
        <w:spacing w:line="578" w:lineRule="exact"/>
        <w:ind w:firstLine="640"/>
        <w:rPr>
          <w:rFonts w:ascii="仿宋_GB2312" w:hAnsi="Times New Roman" w:eastAsia="仿宋_GB2312" w:cs="仿宋_GB2312"/>
          <w:sz w:val="32"/>
          <w:szCs w:val="32"/>
        </w:rPr>
      </w:pPr>
      <w:r>
        <w:rPr>
          <w:rFonts w:hint="eastAsia" w:ascii="仿宋_GB2312" w:hAnsi="Times New Roman" w:eastAsia="仿宋_GB2312" w:cs="仿宋_GB2312"/>
          <w:sz w:val="32"/>
          <w:szCs w:val="32"/>
        </w:rPr>
        <w:t>第二阶段：通过因素分析法、比较法、现场核查法、访谈，进行绩效自评。通过对相关资料的原件、数据来源及计算方法等，进一步核实自评材料及佐证材料的客观性、真实性、准确性，确保相关内容真实可靠，满足评价报告的需要；通过仔细查阅实施、管理等各项过程材料，补充评审评价深度的不足，进一步把握评价项目及预算执行的规范性。</w:t>
      </w:r>
    </w:p>
    <w:p>
      <w:pPr>
        <w:autoSpaceDE w:val="0"/>
        <w:spacing w:line="578" w:lineRule="exact"/>
        <w:ind w:firstLine="640"/>
        <w:rPr>
          <w:rFonts w:ascii="仿宋_GB2312" w:hAnsi="Times New Roman" w:eastAsia="仿宋_GB2312" w:cs="仿宋_GB2312"/>
          <w:sz w:val="32"/>
          <w:szCs w:val="32"/>
        </w:rPr>
      </w:pPr>
      <w:r>
        <w:rPr>
          <w:rFonts w:hint="eastAsia" w:ascii="仿宋_GB2312" w:hAnsi="Times New Roman" w:eastAsia="仿宋_GB2312" w:cs="仿宋_GB2312"/>
          <w:sz w:val="32"/>
          <w:szCs w:val="32"/>
        </w:rPr>
        <w:t>第三阶段：由绩效评价工作小组对项目进行抽样核查，总结评价结论，最终形成自评报告，报区财政局。</w:t>
      </w:r>
    </w:p>
    <w:p>
      <w:pPr>
        <w:spacing w:line="560" w:lineRule="exact"/>
        <w:rPr>
          <w:rFonts w:hint="eastAsia"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2"/>
        </w:numPr>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总体绩效目标实现情况</w:t>
      </w:r>
    </w:p>
    <w:p>
      <w:pPr>
        <w:autoSpaceDE w:val="0"/>
        <w:spacing w:line="578" w:lineRule="exact"/>
        <w:ind w:firstLine="640"/>
        <w:rPr>
          <w:rFonts w:hint="eastAsia" w:ascii="仿宋" w:hAnsi="仿宋" w:eastAsia="仿宋" w:cs="楷体_GB2312"/>
          <w:b/>
          <w:bCs/>
          <w:sz w:val="32"/>
          <w:szCs w:val="32"/>
        </w:rPr>
      </w:pPr>
      <w:r>
        <w:rPr>
          <w:rFonts w:hint="eastAsia" w:ascii="仿宋_GB2312" w:hAnsi="Times New Roman" w:eastAsia="仿宋_GB2312" w:cs="仿宋_GB2312"/>
          <w:sz w:val="32"/>
          <w:szCs w:val="32"/>
        </w:rPr>
        <w:t>2024年以来，区文化广电体育和旅游局全系统坚持以习近平新时代中国特色社会主义思想为指导，认真学习领会习近平总书记关于文化和旅游工作的重要论述和指示批示精神,深入贯彻落实党的二十大精神，认真落实区委、区政府相关会议工作要求，对标新形势、新任务、新要求，以从严治党为保障，以惠民利民为根本，着力推进文化事业繁荣、体育竞技活跃、文旅产业发展，进一步为加快建设现代化经济强区、魅力鹿泉提供了坚强的文化滋养和精神支撑。</w:t>
      </w:r>
      <w:r>
        <w:rPr>
          <w:rFonts w:hint="eastAsia" w:ascii="仿宋" w:hAnsi="仿宋" w:eastAsia="仿宋" w:cs="楷体_GB2312"/>
          <w:b/>
          <w:bCs/>
          <w:sz w:val="32"/>
          <w:szCs w:val="32"/>
        </w:rPr>
        <w:t xml:space="preserve">    </w:t>
      </w:r>
    </w:p>
    <w:p>
      <w:pPr>
        <w:spacing w:line="560" w:lineRule="exact"/>
        <w:ind w:firstLine="640" w:firstLineChars="200"/>
        <w:rPr>
          <w:rFonts w:hint="eastAsia" w:ascii="楷体" w:hAnsi="楷体" w:eastAsia="楷体"/>
          <w:bCs/>
          <w:sz w:val="32"/>
          <w:szCs w:val="32"/>
        </w:rPr>
      </w:pPr>
      <w:r>
        <w:rPr>
          <w:rFonts w:hint="eastAsia" w:ascii="楷体" w:hAnsi="楷体" w:eastAsia="楷体" w:cs="楷体_GB2312"/>
          <w:bCs/>
          <w:sz w:val="32"/>
          <w:szCs w:val="32"/>
        </w:rPr>
        <w:t>（二）分项绩效目标实现情况及指标分析</w:t>
      </w:r>
    </w:p>
    <w:p>
      <w:pPr>
        <w:autoSpaceDE w:val="0"/>
        <w:spacing w:line="578" w:lineRule="exact"/>
        <w:ind w:firstLine="640"/>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1.着力为民增福祉，促进群众体育和竞技体育全面发展。</w:t>
      </w:r>
    </w:p>
    <w:p>
      <w:pPr>
        <w:autoSpaceDE w:val="0"/>
        <w:spacing w:line="578" w:lineRule="exact"/>
        <w:ind w:firstLine="640"/>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1）完善基础设施建设。继续完善球类场地和全民健身设施建设，不断满足群众健身需求，2024年新建健身器材35处，健身器材全部分发至全区13个乡镇，涉及村、社区达35处，其中包含3处二代智能健身器材，分别安装至三个行政村，方便群众就近进行体育锻炼。除民生实事35处健身器材和5处球场外，我局2024年在北故邑、南许营，新建两处多功能运动场地。在体育公园（全民健身中心）和体育主题公园（海山公园）用省级体育彩票公益金分别新建了智能健身器材、力量型健身器材、羽毛球场地、乒乓球场地和儿童游乐设施，满足广大群众多元化的健身需求。</w:t>
      </w:r>
    </w:p>
    <w:p>
      <w:pPr>
        <w:autoSpaceDE w:val="0"/>
        <w:spacing w:line="578" w:lineRule="exact"/>
        <w:ind w:firstLine="640"/>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2）加快发展群众体育。群众体育工作以广泛开展全民健身运动、增强群众健身意识、提高全民身体素质为目标，努力开创群众体育工作新格局，举办“三人制”篮球、“五人制”足球、健身操展演等系列体育惠民活动共计60余场次。</w:t>
      </w:r>
    </w:p>
    <w:p>
      <w:pPr>
        <w:autoSpaceDE w:val="0"/>
        <w:spacing w:line="578" w:lineRule="exact"/>
        <w:ind w:firstLine="640"/>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3）品牌赛事带动体育事业发展。进一步提高品牌赛事知名度，强化“体育+”融合效益，以品牌赛事的成功举办带动区域消费和城市知名度。圆满举办迎春长跑赛，比赛赛程17公里，吸引了来自河北、北京、山西、山东等省市2000名选手报名参加;继续举办多省市乒乓球邀请赛，33支代表队132名乒乓球爱好者参加赛事;举办鹿泉第三届公路自行车赛和体育消费季活动，800余名选手参赛，多个体育品牌展销，为推动全民健身运动和旅游产业发展注入新的活力提升鹿泉知名度。11月3日举办的“君乐宝2024石家庄·鹿泉半程马拉松”，来自全国近5000名选手齐聚鹿泉，在奔跑中享受运动乐趣，感受城市活力。我局充分发掘文旅潜力，推动文体旅深度融合，成功将“鹿泉半程马拉松”变成了本地品牌赛事，不仅为体育爱好者提供了展示自我的平台，也为当地经济的繁荣发展贡献了重要力量，将文旅产业和商业发展带向了新高度。</w:t>
      </w:r>
    </w:p>
    <w:p>
      <w:pPr>
        <w:autoSpaceDE w:val="0"/>
        <w:spacing w:line="578" w:lineRule="exact"/>
        <w:ind w:firstLine="640"/>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2.着力开展文化惠民，增强文化自信。</w:t>
      </w:r>
    </w:p>
    <w:p>
      <w:pPr>
        <w:spacing w:line="600" w:lineRule="exact"/>
        <w:ind w:firstLine="640" w:firstLineChars="200"/>
        <w:jc w:val="left"/>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1）深入开展群众文化活动。深入推进文艺演出、展览讲座等流动文化“六进”活动，保障周有群文活动、月有文艺展演、季有大型群众项目、年有节庆活动的“四有”工作机制，“彩色周末”、“消夏晚会”、“四季村晚”等文化活动丰富供给，文艺演出深入到我区乡镇、社区、厂矿、部队、敬老院等地，节目涵盖戏曲、歌舞、器乐等多种艺术形式，让群众在家门口就能享受到高质量的文化盛宴；成功举办书画作品展览8场，展出本地及邀请书画家的精品力作，吸引数千名观众参观，促进了艺术交流与鉴赏；组织开展鹿泉区第三批区级非遗代表性传承人认定工作，公布9名区级代表性传承人，组织开展河北鹿泉非遗文创暨旅游商品设计大赛活动、“非遗过大年”活动3场、“非遗进景区”活动8场、“非遗进校园活动”2场等。</w:t>
      </w:r>
    </w:p>
    <w:p>
      <w:pPr>
        <w:autoSpaceDE w:val="0"/>
        <w:spacing w:line="578" w:lineRule="exact"/>
        <w:ind w:firstLine="640"/>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2）公共设施建设持续升级。一是完善设施建设，围绕民生工程落实，推进城市书房建设。2024年开放了包括龙泉书院、全民健身中心、西山林语、铜冶在内的4所城市书房，共组织线上文化展览20余场，线下文化展览6场，主办阅读推广系列活动20余场，城市书房讲座活动共惠及读者300余人，单日最大访客量达500人次，进一步提升了城市文化品味。二是加快构建覆盖城乡、便捷高效的公共文化服务体系，完善公共文化场馆、乡镇综合文化站、村级综合文化服务中心常态化免费开放和运行管理工作，按照“三馆一站”免费开放资金发放要求，及时将免费开放资金拨付给各乡镇，</w:t>
      </w:r>
      <w:r>
        <w:rPr>
          <w:rFonts w:hint="eastAsia" w:ascii="仿宋_GB2312" w:hAnsi="Times New Roman" w:eastAsia="仿宋_GB2312" w:cs="仿宋_GB2312"/>
          <w:sz w:val="32"/>
          <w:szCs w:val="32"/>
          <w:lang w:eastAsia="zh-CN"/>
        </w:rPr>
        <w:t>截至</w:t>
      </w:r>
      <w:r>
        <w:rPr>
          <w:rFonts w:hint="eastAsia" w:ascii="仿宋_GB2312" w:hAnsi="Times New Roman" w:eastAsia="仿宋_GB2312" w:cs="仿宋_GB2312"/>
          <w:sz w:val="32"/>
          <w:szCs w:val="32"/>
        </w:rPr>
        <w:t>目前共计拨付52万元，用于各文化站组织公益性群众文化活动，举办公益性讲座和展览宣传，对村、社区文化骨干辅导，业务活动用房小型修缮及零星业务设备更新等，为乡镇开展文化活动注入动力。</w:t>
      </w:r>
    </w:p>
    <w:p>
      <w:pPr>
        <w:autoSpaceDE w:val="0"/>
        <w:spacing w:line="578" w:lineRule="exact"/>
        <w:ind w:firstLine="640"/>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（3）持续加强传承保护力度。</w:t>
      </w:r>
      <w:bookmarkStart w:id="0" w:name="_Hlk196491598"/>
      <w:r>
        <w:rPr>
          <w:rFonts w:hint="eastAsia" w:ascii="仿宋_GB2312" w:hAnsi="Times New Roman" w:eastAsia="仿宋_GB2312" w:cs="仿宋_GB2312"/>
          <w:sz w:val="32"/>
          <w:szCs w:val="32"/>
        </w:rPr>
        <w:t>一是做好第四次全国文物普查工作。根据上级要求，结合我区实际，制定了鹿泉区普查实施方案和宣传方案，广泛发动社会各界支持、参与文物普查，以村为基本单元保质保量完成普查工作。二是做好文物保护以及宣传普及工作。省级文物保护单位金河寺大殿金河寺大殿已修缮完工，待省局进行验收。编制了省保单位膏粱桥、高庄汉墓、金河寺大殿、韩庄龙泉寺经幢的安防设计方案，正在审核中。积极配合河北省考古研究院在北故邑窦王城遗址的考古发掘工作，掌握最新资料。三是为了更好宣传鹿泉悠久的历史和灿烂的碑石文化，弘扬中华优秀传统文化，增强文化自信，举办了“第四届鹿泉碑石拓片精品展”活动并将拓片印制成册。</w:t>
      </w:r>
      <w:bookmarkEnd w:id="0"/>
    </w:p>
    <w:p>
      <w:pPr>
        <w:autoSpaceDE w:val="0"/>
        <w:spacing w:line="578" w:lineRule="exact"/>
        <w:ind w:firstLine="640"/>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3.着力推动全域旅游协调发展。</w:t>
      </w:r>
    </w:p>
    <w:p>
      <w:pPr>
        <w:autoSpaceDE w:val="0"/>
        <w:spacing w:line="578" w:lineRule="exact"/>
        <w:ind w:firstLine="640"/>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（1）稳步推进文旅产业提升工作。</w:t>
      </w:r>
      <w:r>
        <w:rPr>
          <w:rFonts w:hint="eastAsia" w:ascii="仿宋_GB2312" w:hAnsi="Times New Roman" w:eastAsia="仿宋_GB2312" w:cs="仿宋_GB2312"/>
          <w:sz w:val="32"/>
          <w:szCs w:val="32"/>
          <w:lang w:eastAsia="zh-CN"/>
        </w:rPr>
        <w:t>截至</w:t>
      </w:r>
      <w:r>
        <w:rPr>
          <w:rFonts w:hint="eastAsia" w:ascii="仿宋_GB2312" w:hAnsi="Times New Roman" w:eastAsia="仿宋_GB2312" w:cs="仿宋_GB2312"/>
          <w:sz w:val="32"/>
          <w:szCs w:val="32"/>
        </w:rPr>
        <w:t>2024年12月底接待游客2150万人次，已经超额完成接待游客2100万人次目标，全力推动区委区政府关于文旅产业提升相关安排部署的落地落实。一是谋划精品路线。围绕吃住行、游购娱，整合全区资源，打造了涵盖“二日游、三日游”5条精品旅游线路，进行集中发布推介，树立鹿泉特色旅游品牌形象。二是组织专题推介。组织抱犊寨、君乐宝优致牧场、龙泉古镇等景区景点及酒店到京津冀六省市进行专题推介，并组织六省市旅行社同仁到我区开展实地踩线考察，现已与30多家旅行社达成引流合作意向，目前已引流8200多人。三是组建旅游联盟。引入河北国旅鹿泉营业部，增加了引客到鹿渠道。按照市场化运作模试，由石家庄市山水韵文化旅游发展有限公司与全区各重点景区、12个酒店、5家餐饮点就团队引入达成合作意向，进一步细化旅游线路价格、规范接待服务标准等，旅游联盟的初步框架已形成。</w:t>
      </w:r>
    </w:p>
    <w:p>
      <w:pPr>
        <w:autoSpaceDE w:val="0"/>
        <w:spacing w:line="578" w:lineRule="exact"/>
        <w:ind w:firstLine="640"/>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2）积极开展河北旅游名县创建工作。一是积极开展3A级景区和示范点创建评定工作。指导龙泉古镇景区先后获评河北省智慧旅游沉浸式体验新空间培育单位，入选《2024年河北省周末休闲旅游创新业态优秀案例》。指导北国奥莱、岸下村开展国家3A级景区创建工作，目前3A级景区创建工作已完成验收，正在公示。二是大力推进精品旅游项目提升和产品开发。加快抱犊寨景区提档升级，完成投资约5000万元的索道更新项目申报，实施旅游厕所、登山路路灯安设、垃圾箱更换、山路维护、环境整治等工程，累计投资约200万元，进一步提升景区服务接待能力。同时，积极推动西部长青小三亚、稻香村文化街建设，引入历时6个月的“奇遇三星堆VR沉浸探索展”，打造鹿泉文旅新爆点，为全域旅游发展增加新动能。三是聚力推动我区旅游民宿高质量发展。按照区委</w:t>
      </w:r>
      <w:r>
        <w:rPr>
          <w:rFonts w:hint="eastAsia" w:ascii="仿宋_GB2312" w:hAnsi="Times New Roman" w:eastAsia="仿宋_GB2312" w:cs="仿宋_GB2312"/>
          <w:sz w:val="32"/>
          <w:szCs w:val="32"/>
          <w:lang w:eastAsia="zh-CN"/>
        </w:rPr>
        <w:t>常委会会议</w:t>
      </w:r>
      <w:r>
        <w:rPr>
          <w:rFonts w:hint="eastAsia" w:ascii="仿宋_GB2312" w:hAnsi="Times New Roman" w:eastAsia="仿宋_GB2312" w:cs="仿宋_GB2312"/>
          <w:sz w:val="32"/>
          <w:szCs w:val="32"/>
        </w:rPr>
        <w:t>要求，根据省市文件精神，负责起草了《关于促进旅游民宿高质量发展的实施意见》，现正征求意见，将进一步推动对旅游民宿的规范引导，支持民宿行业自律，持续开展省级、市级精品民宿培育单位的创建申报工作，现有省级精品民宿培育单位8家，市级精品民宿培育单位18家，今年对照省市标准再次申报3家民宿。</w:t>
      </w:r>
    </w:p>
    <w:p>
      <w:pPr>
        <w:autoSpaceDE w:val="0"/>
        <w:spacing w:line="578" w:lineRule="exact"/>
        <w:ind w:firstLine="640"/>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3）优化旅游服务供给。一是推进旅游基础服务设施提升。今年更新维护山前大道、京赞线等区内主干道路交通指示牌10块，启动了实施西部长青东环旅游路和石井乡环山路建设工程，推动旅游大环线构建。二是以重点项目为抓手，完成3座书香鹿泉.城市书房的建设，加快全民健身中心外接电工程建设，三是加快智慧旅游发展，依托物联网、5G、大数据等技术，上线鹿泉区文旅监测平台，实现产业监测、指挥调度、文旅服务的网络化、智慧化，打造了鹿泉智慧文旅新生态。初步推出“E鹿悦游”小程序，积极发布旅游资讯，动态更新景区、酒店、美食、餐饮、特产等旅游要素信息，深化拓展“一码游”旅游应用服务，为游客提供智慧化、个性化、一体化的旅游服务。</w:t>
      </w:r>
    </w:p>
    <w:p>
      <w:pPr>
        <w:autoSpaceDE w:val="0"/>
        <w:spacing w:line="578" w:lineRule="exact"/>
        <w:ind w:firstLine="640"/>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4.抓好安全生产工作，全面维护文旅市场和谐稳定。</w:t>
      </w:r>
    </w:p>
    <w:p>
      <w:pPr>
        <w:autoSpaceDE w:val="0"/>
        <w:spacing w:line="578" w:lineRule="exact"/>
        <w:ind w:firstLine="640"/>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严格落实“党政同责、一岗双责、齐抓共管、失职追责</w:t>
      </w:r>
      <w:bookmarkStart w:id="1" w:name="_GoBack"/>
      <w:bookmarkEnd w:id="1"/>
      <w:r>
        <w:rPr>
          <w:rFonts w:hint="eastAsia" w:ascii="仿宋_GB2312" w:hAnsi="Times New Roman" w:eastAsia="仿宋_GB2312" w:cs="仿宋_GB2312"/>
          <w:sz w:val="32"/>
          <w:szCs w:val="32"/>
        </w:rPr>
        <w:t>”安全生产责任制，成立安全生产工作领导小组，对文体旅游经营单位开展常态化检查。全面检查文体旅行业各类场所，重点对人员密集、安全风险较高的歌舞娱乐场所、互联网上网服务营业场所、旅游景区、星级宾馆等进行拉网式检查，全面排查安全生产各类隐患和薄弱环节。对排查发现的各类隐患和问题，责令经营单位立即整改，不能现场整改的，提出明确的整改要求和整改措施，要求其限期整改，并对整改结果进行回头看。在节假日期间制定专项方案并联合执法队每天对文旅市场安全生产、假日秩序等工作进行督导检查，特别在重大节假日前，还联合多部门开展联合检查，确保了我区文旅市场平稳有序。</w:t>
      </w:r>
    </w:p>
    <w:p>
      <w:pPr>
        <w:spacing w:line="560" w:lineRule="exact"/>
        <w:ind w:firstLine="640" w:firstLineChars="200"/>
        <w:rPr>
          <w:rFonts w:hint="eastAsia"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根据部门职责定位和各项工作履职情况进行综合评价，给出总得分，满分100分，得出综合绩效评价等级。部门整体支出综合绩效评价分为4个等级：得分</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85分为优秀；75</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得分＜85分为良好；60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得分＜75分为一般；得分＜60分为较差。</w:t>
      </w:r>
    </w:p>
    <w:p>
      <w:pPr>
        <w:pStyle w:val="11"/>
        <w:autoSpaceDE w:val="0"/>
        <w:spacing w:before="0" w:line="578" w:lineRule="exact"/>
        <w:ind w:firstLine="640" w:firstLineChars="200"/>
        <w:rPr>
          <w:rFonts w:ascii="仿宋_GB2312" w:hAnsi="Times New Roman" w:eastAsia="仿宋_GB2312" w:cs="仿宋_GB2312"/>
          <w:sz w:val="32"/>
          <w:szCs w:val="32"/>
        </w:rPr>
      </w:pPr>
      <w:r>
        <w:rPr>
          <w:rFonts w:hint="eastAsia" w:ascii="仿宋_GB2312" w:hAnsi="Times New Roman" w:eastAsia="仿宋_GB2312" w:cs="仿宋_GB2312"/>
          <w:sz w:val="32"/>
          <w:szCs w:val="32"/>
        </w:rPr>
        <w:t>截至2024年底，我部门共自评</w:t>
      </w:r>
      <w:r>
        <w:rPr>
          <w:rFonts w:hint="eastAsia" w:ascii="仿宋_GB2312" w:hAnsi="Times New Roman" w:eastAsia="仿宋_GB2312" w:cs="仿宋_GB2312"/>
          <w:sz w:val="32"/>
          <w:szCs w:val="32"/>
          <w:lang w:val="en-US" w:eastAsia="zh-CN"/>
        </w:rPr>
        <w:t>79</w:t>
      </w:r>
      <w:r>
        <w:rPr>
          <w:rFonts w:hint="eastAsia" w:ascii="仿宋_GB2312" w:hAnsi="Times New Roman" w:eastAsia="仿宋_GB2312" w:cs="仿宋_GB2312"/>
          <w:sz w:val="32"/>
          <w:szCs w:val="32"/>
        </w:rPr>
        <w:t>个项目，其中，</w:t>
      </w:r>
      <w:r>
        <w:rPr>
          <w:rFonts w:hint="eastAsia" w:ascii="仿宋_GB2312" w:hAnsi="Times New Roman" w:eastAsia="仿宋_GB2312" w:cs="仿宋_GB2312"/>
          <w:sz w:val="32"/>
          <w:szCs w:val="32"/>
          <w:lang w:val="en-US" w:eastAsia="zh-CN"/>
        </w:rPr>
        <w:t>79</w:t>
      </w:r>
      <w:r>
        <w:rPr>
          <w:rFonts w:hint="eastAsia" w:ascii="仿宋_GB2312" w:hAnsi="Times New Roman" w:eastAsia="仿宋_GB2312" w:cs="仿宋_GB2312"/>
          <w:sz w:val="32"/>
          <w:szCs w:val="32"/>
        </w:rPr>
        <w:t>个项目评分优秀，评价结论：同类项目予以支持。</w:t>
      </w:r>
    </w:p>
    <w:p>
      <w:pPr>
        <w:spacing w:line="560" w:lineRule="exact"/>
        <w:ind w:firstLine="640" w:firstLineChars="200"/>
        <w:rPr>
          <w:rFonts w:hint="eastAsia"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adjustRightInd w:val="0"/>
        <w:snapToGrid w:val="0"/>
        <w:spacing w:line="578" w:lineRule="exact"/>
        <w:ind w:firstLine="640"/>
        <w:rPr>
          <w:rFonts w:ascii="仿宋_GB2312" w:hAnsi="Times New Roman" w:eastAsia="仿宋_GB2312" w:cs="仿宋_GB2312"/>
          <w:sz w:val="32"/>
          <w:szCs w:val="32"/>
        </w:rPr>
      </w:pPr>
      <w:r>
        <w:rPr>
          <w:rFonts w:hint="eastAsia" w:ascii="仿宋_GB2312" w:hAnsi="Times New Roman" w:eastAsia="仿宋_GB2312" w:cs="仿宋_GB2312"/>
          <w:sz w:val="32"/>
          <w:szCs w:val="32"/>
        </w:rPr>
        <w:t>1．绩效管理意识较弱。部门监控绩效目标的实现程度较弱，项目的绩效状况和绩效目标的实现体现不够全面，项目股室整体绩效管理理念还有待进一步提升。</w:t>
      </w:r>
    </w:p>
    <w:p>
      <w:pPr>
        <w:spacing w:line="578" w:lineRule="exact"/>
        <w:ind w:firstLine="640" w:firstLineChars="200"/>
        <w:jc w:val="left"/>
        <w:rPr>
          <w:rFonts w:ascii="仿宋_GB2312" w:hAnsi="Times New Roman" w:eastAsia="仿宋_GB2312" w:cs="仿宋_GB2312"/>
          <w:sz w:val="32"/>
          <w:szCs w:val="32"/>
        </w:rPr>
      </w:pPr>
      <w:r>
        <w:rPr>
          <w:rFonts w:hint="eastAsia" w:ascii="仿宋_GB2312" w:hAnsi="Times New Roman" w:eastAsia="仿宋_GB2312" w:cs="仿宋_GB2312"/>
          <w:sz w:val="32"/>
          <w:szCs w:val="32"/>
        </w:rPr>
        <w:t>2．个别项目询价程序把控不严，相应的依据资料不齐全。</w:t>
      </w:r>
    </w:p>
    <w:p>
      <w:pPr>
        <w:spacing w:line="578" w:lineRule="exact"/>
        <w:ind w:firstLine="640" w:firstLineChars="200"/>
        <w:jc w:val="left"/>
        <w:rPr>
          <w:rFonts w:ascii="仿宋_GB2312" w:hAnsi="Times New Roman" w:eastAsia="仿宋_GB2312" w:cs="仿宋_GB2312"/>
          <w:sz w:val="32"/>
          <w:szCs w:val="32"/>
        </w:rPr>
      </w:pPr>
      <w:r>
        <w:rPr>
          <w:rFonts w:hint="eastAsia" w:ascii="仿宋_GB2312" w:hAnsi="Times New Roman" w:eastAsia="仿宋_GB2312" w:cs="仿宋_GB2312"/>
          <w:sz w:val="32"/>
          <w:szCs w:val="32"/>
        </w:rPr>
        <w:t>3．个别项目支出进度较慢，执行过程中存在难点和问题。</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（二）针对问题提出具体的改进措施或建议</w:t>
      </w:r>
    </w:p>
    <w:p>
      <w:pPr>
        <w:spacing w:line="578" w:lineRule="exact"/>
        <w:ind w:firstLine="640" w:firstLineChars="200"/>
        <w:jc w:val="left"/>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1.强化绩效管理意识。结合项目的具体情况，围绕资金使用、资金配置、项目管理等方面，客观分析预测项目的产出和效果，把握投入、过程到产出、效果的逻辑性，科学编制绩效指标体系，设定清晰、完整、可衡量的绩效指标，以充分体现和真实反映项目的绩效状况和绩效目标的实现程度，提高项目执行率，提高资金支付效率。</w:t>
      </w:r>
    </w:p>
    <w:p>
      <w:pPr>
        <w:spacing w:line="578" w:lineRule="exact"/>
        <w:ind w:firstLine="640" w:firstLineChars="200"/>
        <w:jc w:val="left"/>
        <w:rPr>
          <w:rFonts w:ascii="仿宋_GB2312" w:hAnsi="Times New Roman" w:eastAsia="仿宋_GB2312" w:cs="仿宋_GB2312"/>
          <w:sz w:val="32"/>
          <w:szCs w:val="32"/>
        </w:rPr>
      </w:pPr>
      <w:r>
        <w:rPr>
          <w:rFonts w:hint="eastAsia" w:ascii="仿宋_GB2312" w:hAnsi="Times New Roman" w:eastAsia="仿宋_GB2312" w:cs="仿宋_GB2312"/>
          <w:sz w:val="32"/>
          <w:szCs w:val="32"/>
        </w:rPr>
        <w:t>2.规范询价流程、依规选取恰当的采购方式，加强政府采购询价过程管理。</w:t>
      </w:r>
    </w:p>
    <w:p>
      <w:pPr>
        <w:spacing w:line="578" w:lineRule="exact"/>
        <w:ind w:firstLine="640" w:firstLineChars="200"/>
        <w:jc w:val="left"/>
        <w:rPr>
          <w:rFonts w:ascii="仿宋_GB2312" w:hAnsi="Times New Roman" w:eastAsia="仿宋_GB2312" w:cs="仿宋_GB2312"/>
          <w:sz w:val="32"/>
          <w:szCs w:val="32"/>
        </w:rPr>
      </w:pPr>
      <w:r>
        <w:rPr>
          <w:rFonts w:hint="eastAsia" w:ascii="仿宋_GB2312" w:hAnsi="Times New Roman" w:eastAsia="仿宋_GB2312" w:cs="仿宋_GB2312"/>
          <w:sz w:val="32"/>
          <w:szCs w:val="32"/>
        </w:rPr>
        <w:t>3.科学、合理制定项目支出计划。在项目执行过程中，对照支出计划，详细研究项目的实际执行情况和进度。对于未达到支出进度的项目，认真分析执行过程中存在的难点和问题，协调相关部门提出解决方案和办法。</w:t>
      </w:r>
    </w:p>
    <w:p>
      <w:pPr>
        <w:adjustRightInd w:val="0"/>
        <w:snapToGrid w:val="0"/>
        <w:spacing w:line="560" w:lineRule="exact"/>
        <w:ind w:firstLine="640" w:firstLineChars="200"/>
        <w:rPr>
          <w:rFonts w:hint="eastAsia" w:ascii="黑体" w:hAnsi="黑体" w:eastAsia="黑体"/>
          <w:sz w:val="32"/>
          <w:szCs w:val="32"/>
        </w:rPr>
      </w:pPr>
      <w:r>
        <w:rPr>
          <w:rFonts w:hint="eastAsia" w:ascii="黑体" w:hAnsi="黑体" w:eastAsia="黑体"/>
          <w:sz w:val="32"/>
          <w:szCs w:val="32"/>
        </w:rPr>
        <w:t>六、评价工作组人员名单及签字（姓名、工作单位、职务、职称）</w:t>
      </w:r>
    </w:p>
    <w:p>
      <w:pPr>
        <w:autoSpaceDE w:val="0"/>
        <w:autoSpaceDN w:val="0"/>
        <w:adjustRightInd w:val="0"/>
        <w:snapToGrid w:val="0"/>
        <w:spacing w:line="578"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组长：晋日欣   鹿泉区文化广电体育和旅游局党组书记、局长</w:t>
      </w:r>
    </w:p>
    <w:p>
      <w:pPr>
        <w:autoSpaceDE w:val="0"/>
        <w:autoSpaceDN w:val="0"/>
        <w:adjustRightInd w:val="0"/>
        <w:snapToGrid w:val="0"/>
        <w:spacing w:line="578"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成员：王红 鹿泉区文化广电体育和旅游局副局长</w:t>
      </w:r>
    </w:p>
    <w:p>
      <w:pPr>
        <w:autoSpaceDE w:val="0"/>
        <w:autoSpaceDN w:val="0"/>
        <w:adjustRightInd w:val="0"/>
        <w:snapToGrid w:val="0"/>
        <w:spacing w:line="578" w:lineRule="exact"/>
        <w:ind w:firstLine="1600" w:firstLineChars="5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李志艳 鹿泉区文化广电体育和旅游局副局长</w:t>
      </w:r>
    </w:p>
    <w:p>
      <w:pPr>
        <w:ind w:firstLine="1600" w:firstLineChars="5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胡顺平 </w:t>
      </w:r>
      <w:r>
        <w:rPr>
          <w:rFonts w:hint="eastAsia" w:ascii="仿宋_GB2312" w:hAnsi="仿宋_GB2312" w:eastAsia="仿宋_GB2312" w:cs="仿宋_GB2312"/>
          <w:sz w:val="32"/>
          <w:szCs w:val="32"/>
          <w:lang w:val="en-US" w:eastAsia="zh-CN"/>
        </w:rPr>
        <w:t>党组成员、</w:t>
      </w:r>
      <w:r>
        <w:rPr>
          <w:rFonts w:hint="eastAsia" w:ascii="仿宋_GB2312" w:hAnsi="仿宋_GB2312" w:eastAsia="仿宋_GB2312" w:cs="仿宋_GB2312"/>
          <w:sz w:val="32"/>
          <w:szCs w:val="32"/>
        </w:rPr>
        <w:t>旅游规划股股长</w:t>
      </w:r>
    </w:p>
    <w:p>
      <w:pPr>
        <w:autoSpaceDE w:val="0"/>
        <w:autoSpaceDN w:val="0"/>
        <w:adjustRightInd w:val="0"/>
        <w:snapToGrid w:val="0"/>
        <w:spacing w:line="578" w:lineRule="exact"/>
        <w:ind w:firstLine="1600" w:firstLineChars="5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牛国兰 党组成员</w:t>
      </w:r>
    </w:p>
    <w:p>
      <w:pPr>
        <w:ind w:firstLine="1600" w:firstLineChars="5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刘月桥 财务分管负责人</w:t>
      </w:r>
    </w:p>
    <w:p>
      <w:pPr>
        <w:pStyle w:val="3"/>
        <w:ind w:firstLine="1600" w:firstLineChars="500"/>
        <w:rPr>
          <w:rFonts w:ascii="仿宋_GB2312" w:hAnsi="仿宋_GB2312" w:eastAsia="仿宋_GB2312" w:cs="仿宋_GB2312"/>
          <w:sz w:val="32"/>
          <w:szCs w:val="32"/>
        </w:rPr>
      </w:pPr>
      <w:r>
        <w:rPr>
          <w:rFonts w:hint="eastAsia" w:ascii="仿宋_GB2312" w:hAnsi="仿宋_GB2312" w:eastAsia="仿宋_GB2312" w:cs="仿宋_GB2312"/>
          <w:sz w:val="32"/>
          <w:szCs w:val="32"/>
        </w:rPr>
        <w:t>孟然   宣传推广股负责人</w:t>
      </w:r>
    </w:p>
    <w:p>
      <w:pPr>
        <w:pStyle w:val="3"/>
        <w:ind w:firstLine="1600" w:firstLineChars="5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李军龙 政策法规股负责人</w:t>
      </w:r>
    </w:p>
    <w:p>
      <w:pPr>
        <w:pStyle w:val="3"/>
        <w:ind w:firstLine="1600" w:firstLineChars="5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赵圣梅 文化广电股负责人</w:t>
      </w:r>
    </w:p>
    <w:p>
      <w:pPr>
        <w:ind w:firstLine="1600" w:firstLineChars="5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康付英 体育事业股负责人</w:t>
      </w:r>
    </w:p>
    <w:p>
      <w:pPr>
        <w:pStyle w:val="3"/>
        <w:ind w:firstLine="1600" w:firstLineChars="500"/>
        <w:rPr>
          <w:rFonts w:hint="eastAsia" w:ascii="仿宋" w:hAnsi="仿宋" w:eastAsia="仿宋"/>
        </w:rPr>
      </w:pPr>
      <w:r>
        <w:rPr>
          <w:rFonts w:hint="eastAsia" w:ascii="仿宋_GB2312" w:hAnsi="仿宋_GB2312" w:eastAsia="仿宋_GB2312" w:cs="仿宋_GB2312"/>
          <w:sz w:val="32"/>
          <w:szCs w:val="32"/>
        </w:rPr>
        <w:t>黄菲   市场管理股负责人</w:t>
      </w:r>
    </w:p>
    <w:p>
      <w:pPr>
        <w:spacing w:line="578" w:lineRule="exact"/>
        <w:ind w:firstLine="640" w:firstLineChars="200"/>
        <w:jc w:val="left"/>
        <w:rPr>
          <w:rFonts w:hint="eastAsia" w:ascii="仿宋_GB2312" w:hAnsi="Times New Roman" w:eastAsia="仿宋_GB2312" w:cs="仿宋_GB2312"/>
          <w:sz w:val="32"/>
          <w:szCs w:val="32"/>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0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Quad Arrow 3073" o:spid="_x0000_s3073"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zRkYmQ4Y2I3YzlkODVjYTM3N2MwNDFhZmYzNzk5M2MifQ=="/>
  </w:docVars>
  <w:rsids>
    <w:rsidRoot w:val="0EBD2122"/>
    <w:rsid w:val="0002472A"/>
    <w:rsid w:val="00030BF5"/>
    <w:rsid w:val="000572C6"/>
    <w:rsid w:val="00080E3D"/>
    <w:rsid w:val="00095587"/>
    <w:rsid w:val="000967A8"/>
    <w:rsid w:val="000A0359"/>
    <w:rsid w:val="000B0260"/>
    <w:rsid w:val="000C2BBA"/>
    <w:rsid w:val="00111881"/>
    <w:rsid w:val="00144C38"/>
    <w:rsid w:val="00165982"/>
    <w:rsid w:val="001856FE"/>
    <w:rsid w:val="001B713F"/>
    <w:rsid w:val="001F0737"/>
    <w:rsid w:val="0022594B"/>
    <w:rsid w:val="00347029"/>
    <w:rsid w:val="00353FAF"/>
    <w:rsid w:val="00376610"/>
    <w:rsid w:val="003B7D89"/>
    <w:rsid w:val="00413B7F"/>
    <w:rsid w:val="004F2CE3"/>
    <w:rsid w:val="00521017"/>
    <w:rsid w:val="006A6A29"/>
    <w:rsid w:val="006E3008"/>
    <w:rsid w:val="00775D6A"/>
    <w:rsid w:val="007A722D"/>
    <w:rsid w:val="007E6C1F"/>
    <w:rsid w:val="008304D3"/>
    <w:rsid w:val="00897453"/>
    <w:rsid w:val="008E16F4"/>
    <w:rsid w:val="008E3731"/>
    <w:rsid w:val="00924B49"/>
    <w:rsid w:val="009524C3"/>
    <w:rsid w:val="0095603C"/>
    <w:rsid w:val="00956A93"/>
    <w:rsid w:val="009D592A"/>
    <w:rsid w:val="009E575C"/>
    <w:rsid w:val="009F674E"/>
    <w:rsid w:val="00AB1443"/>
    <w:rsid w:val="00AC6050"/>
    <w:rsid w:val="00AF167E"/>
    <w:rsid w:val="00AF566A"/>
    <w:rsid w:val="00B27252"/>
    <w:rsid w:val="00B478EA"/>
    <w:rsid w:val="00B56439"/>
    <w:rsid w:val="00B6553A"/>
    <w:rsid w:val="00B73BE3"/>
    <w:rsid w:val="00B8279D"/>
    <w:rsid w:val="00BC6576"/>
    <w:rsid w:val="00BF5243"/>
    <w:rsid w:val="00C27EAA"/>
    <w:rsid w:val="00C46D0D"/>
    <w:rsid w:val="00C640EC"/>
    <w:rsid w:val="00C66976"/>
    <w:rsid w:val="00C92227"/>
    <w:rsid w:val="00CE06BA"/>
    <w:rsid w:val="00D33DDA"/>
    <w:rsid w:val="00D356A0"/>
    <w:rsid w:val="00D67667"/>
    <w:rsid w:val="00E05774"/>
    <w:rsid w:val="00E26A06"/>
    <w:rsid w:val="00E37341"/>
    <w:rsid w:val="00E747CF"/>
    <w:rsid w:val="00E957B0"/>
    <w:rsid w:val="00EC4186"/>
    <w:rsid w:val="00EE68CD"/>
    <w:rsid w:val="00F36ACA"/>
    <w:rsid w:val="00F441CC"/>
    <w:rsid w:val="00F47F4B"/>
    <w:rsid w:val="01B104CA"/>
    <w:rsid w:val="02106AB0"/>
    <w:rsid w:val="02B43A28"/>
    <w:rsid w:val="046F331E"/>
    <w:rsid w:val="07956271"/>
    <w:rsid w:val="09721397"/>
    <w:rsid w:val="0A73546E"/>
    <w:rsid w:val="0BB63BED"/>
    <w:rsid w:val="0C7E412C"/>
    <w:rsid w:val="0EB97A43"/>
    <w:rsid w:val="0EBD2122"/>
    <w:rsid w:val="0EBD7710"/>
    <w:rsid w:val="0F214EAE"/>
    <w:rsid w:val="10215E47"/>
    <w:rsid w:val="116A2EC4"/>
    <w:rsid w:val="11B71E6A"/>
    <w:rsid w:val="167E532C"/>
    <w:rsid w:val="18A92950"/>
    <w:rsid w:val="190071D5"/>
    <w:rsid w:val="1AAF0063"/>
    <w:rsid w:val="1BE140DE"/>
    <w:rsid w:val="221C5907"/>
    <w:rsid w:val="248C197D"/>
    <w:rsid w:val="252959AF"/>
    <w:rsid w:val="25DE62D3"/>
    <w:rsid w:val="268A7D15"/>
    <w:rsid w:val="277A6671"/>
    <w:rsid w:val="292D35B7"/>
    <w:rsid w:val="32817910"/>
    <w:rsid w:val="33EB6CFF"/>
    <w:rsid w:val="35A12947"/>
    <w:rsid w:val="35E137E8"/>
    <w:rsid w:val="35F172AD"/>
    <w:rsid w:val="37387040"/>
    <w:rsid w:val="39885D54"/>
    <w:rsid w:val="3B625C0A"/>
    <w:rsid w:val="3CEE1963"/>
    <w:rsid w:val="3E020A5E"/>
    <w:rsid w:val="436B78D3"/>
    <w:rsid w:val="4C9C27FE"/>
    <w:rsid w:val="512260B4"/>
    <w:rsid w:val="51DD297C"/>
    <w:rsid w:val="52BD6ACB"/>
    <w:rsid w:val="55537534"/>
    <w:rsid w:val="561A74F1"/>
    <w:rsid w:val="597244E8"/>
    <w:rsid w:val="5EB71C30"/>
    <w:rsid w:val="66AF0CE5"/>
    <w:rsid w:val="6AC537CF"/>
    <w:rsid w:val="6E5B14A6"/>
    <w:rsid w:val="711B255E"/>
    <w:rsid w:val="71FB553B"/>
    <w:rsid w:val="737304C2"/>
    <w:rsid w:val="7A5703C1"/>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paragraph" w:styleId="2">
    <w:name w:val="heading 1"/>
    <w:basedOn w:val="1"/>
    <w:next w:val="1"/>
    <w:link w:val="8"/>
    <w:qFormat/>
    <w:uiPriority w:val="0"/>
    <w:pPr>
      <w:spacing w:after="160" w:line="278" w:lineRule="auto"/>
      <w:ind w:left="126"/>
      <w:outlineLvl w:val="0"/>
    </w:pPr>
    <w:rPr>
      <w:b/>
      <w:sz w:val="32"/>
    </w:rPr>
  </w:style>
  <w:style w:type="character" w:default="1" w:styleId="6">
    <w:name w:val="Default Paragraph Font"/>
    <w:unhideWhenUsed/>
    <w:qFormat/>
    <w:uiPriority w:val="1"/>
  </w:style>
  <w:style w:type="table" w:default="1" w:styleId="7">
    <w:name w:val="Normal Table"/>
    <w:unhideWhenUsed/>
    <w:qFormat/>
    <w:uiPriority w:val="99"/>
    <w:tblPr>
      <w:tblLayout w:type="fixed"/>
      <w:tblCellMar>
        <w:top w:w="0" w:type="dxa"/>
        <w:left w:w="108" w:type="dxa"/>
        <w:bottom w:w="0" w:type="dxa"/>
        <w:right w:w="108" w:type="dxa"/>
      </w:tblCellMar>
    </w:tblPr>
  </w:style>
  <w:style w:type="paragraph" w:styleId="3">
    <w:name w:val="Body Text"/>
    <w:basedOn w:val="1"/>
    <w:next w:val="1"/>
    <w:link w:val="12"/>
    <w:qFormat/>
    <w:uiPriority w:val="0"/>
    <w:pPr>
      <w:spacing w:after="160" w:line="278" w:lineRule="auto"/>
    </w:pPr>
    <w:rPr>
      <w:rFonts w:cs="Times New Roman"/>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character" w:customStyle="1" w:styleId="8">
    <w:name w:val="标题 1 字符"/>
    <w:basedOn w:val="6"/>
    <w:link w:val="2"/>
    <w:qFormat/>
    <w:uiPriority w:val="0"/>
    <w:rPr>
      <w:rFonts w:ascii="Calibri" w:hAnsi="Calibri" w:cs="黑体"/>
      <w:b/>
      <w:kern w:val="2"/>
      <w:sz w:val="32"/>
      <w:szCs w:val="22"/>
    </w:rPr>
  </w:style>
  <w:style w:type="paragraph" w:customStyle="1" w:styleId="9">
    <w:name w:val="Table Paragraph"/>
    <w:basedOn w:val="1"/>
    <w:qFormat/>
    <w:uiPriority w:val="1"/>
    <w:pPr>
      <w:spacing w:after="160" w:line="278" w:lineRule="auto"/>
    </w:pPr>
    <w:rPr>
      <w:rFonts w:ascii="宋体" w:hAnsi="宋体" w:cs="宋体"/>
    </w:rPr>
  </w:style>
  <w:style w:type="paragraph" w:customStyle="1" w:styleId="10">
    <w:name w:val="无间隔1"/>
    <w:basedOn w:val="1"/>
    <w:qFormat/>
    <w:uiPriority w:val="0"/>
    <w:pPr>
      <w:spacing w:after="160" w:line="278" w:lineRule="auto"/>
    </w:pPr>
    <w:rPr>
      <w:rFonts w:ascii="宋体" w:hAnsi="宋体" w:eastAsia="仿宋_GB2312"/>
      <w:sz w:val="32"/>
      <w:szCs w:val="32"/>
    </w:rPr>
  </w:style>
  <w:style w:type="paragraph" w:customStyle="1" w:styleId="11">
    <w:name w:val="UserStyle_0"/>
    <w:basedOn w:val="1"/>
    <w:next w:val="1"/>
    <w:qFormat/>
    <w:uiPriority w:val="0"/>
    <w:pPr>
      <w:spacing w:before="120" w:after="160" w:line="278" w:lineRule="auto"/>
      <w:textAlignment w:val="baseline"/>
    </w:pPr>
    <w:rPr>
      <w:rFonts w:ascii="Cambria" w:hAnsi="Cambria"/>
      <w:sz w:val="24"/>
      <w:szCs w:val="24"/>
    </w:rPr>
  </w:style>
  <w:style w:type="character" w:customStyle="1" w:styleId="12">
    <w:name w:val="正文文本 字符"/>
    <w:basedOn w:val="6"/>
    <w:link w:val="3"/>
    <w:qFormat/>
    <w:uiPriority w:val="0"/>
    <w:rPr>
      <w:rFonts w:ascii="Calibri" w:hAnsi="Calibri"/>
      <w:kern w:val="2"/>
      <w:sz w:val="21"/>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16</Pages>
  <Words>1340</Words>
  <Characters>7641</Characters>
  <Lines>63</Lines>
  <Paragraphs>17</Paragraphs>
  <ScaleCrop>false</ScaleCrop>
  <LinksUpToDate>false</LinksUpToDate>
  <CharactersWithSpaces>8964</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2024-03-06T07:40:00Z</cp:lastPrinted>
  <dcterms:modified xsi:type="dcterms:W3CDTF">2025-05-13T02:28:38Z</dcterms:modified>
  <dc:title>附件3：</dc:title>
  <cp:revision>53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y fmtid="{D5CDD505-2E9C-101B-9397-08002B2CF9AE}" pid="3" name="ICV">
    <vt:lpwstr>96934721B1514D3FBAA28020338CE855_12</vt:lpwstr>
  </property>
</Properties>
</file>