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bookmarkStart w:id="0" w:name="_GoBack"/>
      <w:bookmarkEnd w:id="0"/>
      <w:r>
        <w:drawing>
          <wp:anchor distT="0" distB="0" distL="114300" distR="114300" simplePos="0" relativeHeight="251659264" behindDoc="1" locked="0" layoutInCell="1" allowOverlap="1">
            <wp:simplePos x="0" y="0"/>
            <wp:positionH relativeFrom="margin">
              <wp:posOffset>-2845435</wp:posOffset>
            </wp:positionH>
            <wp:positionV relativeFrom="margin">
              <wp:posOffset>291465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4"/>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5"/>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6"/>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7">
                      <a:extLst>
                        <a:ext uri="{96DAC541-7B7A-43D3-8B79-37D633B846F1}">
                          <asvg:svgBlip xmlns:asvg="http://schemas.microsoft.com/office/drawing/2016/SVG/main" r:embed="rId18"/>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314</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：石家庄市鹿泉区民政局（汇总）</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jc w:val="both"/>
        <w:rPr>
          <w:rFonts w:ascii="黑体" w:hAnsi="黑体" w:eastAsia="黑体" w:cs="黑体"/>
          <w:sz w:val="56"/>
          <w:szCs w:val="72"/>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1280" w:firstLineChars="4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1280" w:firstLineChars="4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2880" w:firstLineChars="400"/>
        <w:rPr>
          <w:rFonts w:ascii="Times New Roman" w:hAnsi="Times New Roman" w:eastAsia="黑体" w:cs="Times New Roman"/>
          <w:sz w:val="72"/>
          <w:szCs w:val="7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p>
    <w:p>
      <w:pPr>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pPr>
        <w:pageBreakBefore w:val="0"/>
        <w:widowControl/>
        <w:kinsoku/>
        <w:wordWrap/>
        <w:overflowPunct/>
        <w:topLinePunct w:val="0"/>
        <w:autoSpaceDE/>
        <w:autoSpaceDN/>
        <w:bidi w:val="0"/>
        <w:adjustRightInd/>
        <w:snapToGrid/>
        <w:spacing w:after="160" w:line="580" w:lineRule="exact"/>
        <w:ind w:firstLine="360" w:firstLineChars="200"/>
        <w:rPr>
          <w:rFonts w:ascii="Times New Roman" w:hAnsi="Times New Roman" w:eastAsia="仿宋_GB2312" w:cs="Times New Roman"/>
          <w:sz w:val="32"/>
          <w:szCs w:val="32"/>
        </w:rPr>
      </w:pPr>
      <w:r>
        <w:rPr>
          <w:rFonts w:hint="default" w:ascii="Arial" w:hAnsi="Arial" w:eastAsia="Arial" w:cs="Arial"/>
          <w:i w:val="0"/>
          <w:iCs w:val="0"/>
          <w:caps w:val="0"/>
          <w:color w:val="000000"/>
          <w:spacing w:val="0"/>
          <w:sz w:val="18"/>
          <w:szCs w:val="18"/>
          <w:highlight w:val="none"/>
          <w:shd w:val="clear" w:fill="FFFFFF"/>
        </w:rPr>
        <w:t> </w:t>
      </w:r>
      <w:r>
        <w:rPr>
          <w:rFonts w:hint="eastAsia" w:ascii="Arial" w:hAnsi="Arial" w:eastAsia="宋体" w:cs="Arial"/>
          <w:i w:val="0"/>
          <w:iCs w:val="0"/>
          <w:caps w:val="0"/>
          <w:color w:val="000000"/>
          <w:spacing w:val="0"/>
          <w:sz w:val="18"/>
          <w:szCs w:val="18"/>
          <w:highlight w:val="none"/>
          <w:shd w:val="clear" w:fill="FFFFFF"/>
          <w:lang w:val="en-US" w:eastAsia="zh-CN"/>
        </w:rPr>
        <w:t xml:space="preserve">  </w:t>
      </w:r>
      <w:r>
        <w:rPr>
          <w:rFonts w:hint="eastAsia" w:ascii="Times New Roman" w:hAnsi="Times New Roman" w:eastAsia="仿宋_GB2312" w:cs="Times New Roman"/>
          <w:sz w:val="32"/>
          <w:szCs w:val="32"/>
        </w:rPr>
        <w:t>主要部门职能</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rPr>
        <w:t>1.贯彻执行</w:t>
      </w:r>
      <w:r>
        <w:rPr>
          <w:rFonts w:hint="eastAsia" w:ascii="仿宋" w:hAnsi="仿宋" w:eastAsia="仿宋" w:cs="Times New Roman"/>
          <w:sz w:val="32"/>
          <w:szCs w:val="32"/>
          <w:lang w:val="en-US" w:eastAsia="zh-CN"/>
        </w:rPr>
        <w:t>国家、省、市民政事业发展</w:t>
      </w:r>
      <w:r>
        <w:rPr>
          <w:rFonts w:hint="eastAsia" w:ascii="仿宋" w:hAnsi="仿宋" w:eastAsia="仿宋" w:cs="Times New Roman"/>
          <w:sz w:val="32"/>
          <w:szCs w:val="32"/>
        </w:rPr>
        <w:t>法律法规</w:t>
      </w: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规章、政策、规划</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拟订民政事业发展规划并组织实施。</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2.</w:t>
      </w:r>
      <w:r>
        <w:rPr>
          <w:rFonts w:hint="eastAsia" w:ascii="仿宋" w:hAnsi="仿宋" w:eastAsia="仿宋" w:cs="Times New Roman"/>
          <w:sz w:val="32"/>
          <w:szCs w:val="32"/>
          <w:lang w:val="en-US" w:eastAsia="zh-CN"/>
        </w:rPr>
        <w:t>拟订社会团体、社会服务机构等社会组织监督管理办法并组织实施，依法对全区社会组织进行管理和监督检查。负责区社会组织党委日常工作。</w:t>
      </w:r>
    </w:p>
    <w:p>
      <w:pPr>
        <w:pageBreakBefore w:val="0"/>
        <w:widowControl/>
        <w:kinsoku/>
        <w:wordWrap/>
        <w:overflowPunct/>
        <w:topLinePunct w:val="0"/>
        <w:autoSpaceDE/>
        <w:autoSpaceDN/>
        <w:bidi w:val="0"/>
        <w:adjustRightInd/>
        <w:snapToGrid/>
        <w:spacing w:after="160" w:line="58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3.</w:t>
      </w:r>
      <w:r>
        <w:rPr>
          <w:rFonts w:hint="eastAsia" w:ascii="仿宋" w:hAnsi="仿宋" w:eastAsia="仿宋" w:cs="Times New Roman"/>
          <w:sz w:val="32"/>
          <w:szCs w:val="32"/>
          <w:lang w:val="en-US" w:eastAsia="zh-CN"/>
        </w:rPr>
        <w:t>贯彻执行社会救助有关政策和标准，统筹社会救助体系建设，负责城乡居民最低生活保障、特困人员救助供养、临时救助、生活无着流浪乞讨人员救助工作</w:t>
      </w:r>
      <w:r>
        <w:rPr>
          <w:rFonts w:hint="eastAsia" w:ascii="仿宋" w:hAnsi="仿宋" w:eastAsia="仿宋" w:cs="Times New Roman"/>
          <w:sz w:val="32"/>
          <w:szCs w:val="32"/>
        </w:rPr>
        <w:t>。</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4.</w:t>
      </w:r>
      <w:r>
        <w:rPr>
          <w:rFonts w:hint="eastAsia" w:ascii="仿宋" w:hAnsi="仿宋" w:eastAsia="仿宋" w:cs="Times New Roman"/>
          <w:sz w:val="32"/>
          <w:szCs w:val="32"/>
          <w:lang w:val="en-US" w:eastAsia="zh-CN"/>
        </w:rPr>
        <w:t>拟订全区社区建设政策及基层群众自治管理办法；指导城乡社区治理体系和能力建设；提出加强和改进基层政权建设的建议，推动基层民主政治建设。</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5.</w:t>
      </w:r>
      <w:r>
        <w:rPr>
          <w:rFonts w:hint="eastAsia" w:ascii="仿宋" w:hAnsi="仿宋" w:eastAsia="仿宋" w:cs="Times New Roman"/>
          <w:sz w:val="32"/>
          <w:szCs w:val="32"/>
          <w:lang w:val="en-US" w:eastAsia="zh-CN"/>
        </w:rPr>
        <w:t>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6</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负责婚姻登记管理工作，推进婚俗改革。</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7</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贯彻执行殡葬管理法律法规政策，拟订全区殡葬服务规范并组织实施，推进殡葬改革，指导殡葬服务机构做好相关工作。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8</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统筹推进、督促指导、监督管理全区养老服务工作。拟订全区养老服务体系建设规划、政策、标准并组织实施，承担老年人福利和特殊困难老年人救助工作。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9</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会同相关部门做好残疾人权益保护相关工作，统筹推进残疾人福利制度建设和康复辅助器具产业发展。</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10</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拟订全区儿童福利、儿童救助相关政策标准并组织实施。负责儿童收养登记管理工作，负责农村留守儿童关爱保护和困境儿童保障工作。</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11</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负责促进全区慈善事业发展，拟订慈善信托、慈善组织活动管理办法，组织开展慈善捐助工作，负责社会公益性慈善捐赠监管工作，指导慈善精准扶贫帮扶工作，负责福利彩票管理工作。</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12.拟订全区社会工作发展规划、志愿服务规范和标准并组织实施，会同有关部门推进社会工作人才队伍和志愿者队伍建设。</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Arial" w:hAnsi="Arial" w:eastAsia="Arial" w:cs="Arial"/>
          <w:i w:val="0"/>
          <w:iCs w:val="0"/>
          <w:caps w:val="0"/>
          <w:color w:val="000000"/>
          <w:spacing w:val="0"/>
          <w:sz w:val="18"/>
          <w:szCs w:val="18"/>
          <w:highlight w:val="none"/>
        </w:rPr>
      </w:pPr>
      <w:r>
        <w:rPr>
          <w:rFonts w:hint="eastAsia" w:ascii="仿宋" w:hAnsi="仿宋" w:eastAsia="仿宋" w:cs="Times New Roman"/>
          <w:sz w:val="32"/>
          <w:szCs w:val="32"/>
          <w:lang w:val="en-US" w:eastAsia="zh-CN"/>
        </w:rPr>
        <w:t>13.负责民政系统综合执法工作；按上级部署指导乡（镇、区）做好民政执法工作。</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6</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318"/>
        <w:gridCol w:w="2612"/>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318"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612"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318" w:type="dxa"/>
            <w:vAlign w:val="top"/>
          </w:tcPr>
          <w:p>
            <w:pPr>
              <w:spacing w:line="560" w:lineRule="exact"/>
              <w:rPr>
                <w:rFonts w:ascii="仿宋_GB2312" w:hAnsi="Calibri" w:eastAsia="仿宋_GB2312" w:cs="仿宋_GB2312"/>
                <w:color w:val="auto"/>
                <w:kern w:val="0"/>
                <w:sz w:val="28"/>
                <w:szCs w:val="28"/>
                <w:lang w:val="en-US" w:eastAsia="zh-CN" w:bidi="ar-SA"/>
              </w:rPr>
            </w:pPr>
            <w:r>
              <w:rPr>
                <w:rFonts w:hint="eastAsia" w:ascii="仿宋_GB2312" w:hAnsi="Calibri" w:eastAsia="仿宋_GB2312" w:cs="ArialUnicodeMS"/>
                <w:kern w:val="0"/>
                <w:sz w:val="28"/>
                <w:szCs w:val="28"/>
              </w:rPr>
              <w:t>鹿泉区民政局(本级)</w:t>
            </w:r>
          </w:p>
        </w:tc>
        <w:tc>
          <w:tcPr>
            <w:tcW w:w="2612" w:type="dxa"/>
            <w:vAlign w:val="top"/>
          </w:tcPr>
          <w:p>
            <w:pPr>
              <w:spacing w:line="560" w:lineRule="exact"/>
              <w:jc w:val="center"/>
              <w:rPr>
                <w:rFonts w:hint="eastAsia" w:ascii="仿宋_GB2312" w:hAnsi="Calibri" w:eastAsia="仿宋_GB2312" w:cs="Times New Roman"/>
                <w:color w:val="auto"/>
                <w:kern w:val="0"/>
                <w:sz w:val="28"/>
                <w:szCs w:val="28"/>
                <w:lang w:val="en-US" w:eastAsia="zh-CN" w:bidi="ar-SA"/>
              </w:rPr>
            </w:pPr>
            <w:r>
              <w:rPr>
                <w:rFonts w:hint="eastAsia" w:ascii="仿宋_GB2312" w:eastAsia="仿宋_GB2312" w:cs="Times New Roman"/>
                <w:kern w:val="0"/>
                <w:sz w:val="28"/>
                <w:szCs w:val="28"/>
                <w:lang w:eastAsia="zh-CN"/>
              </w:rPr>
              <w:t>行政单位</w:t>
            </w:r>
          </w:p>
        </w:tc>
        <w:tc>
          <w:tcPr>
            <w:tcW w:w="2665" w:type="dxa"/>
            <w:vAlign w:val="top"/>
          </w:tcPr>
          <w:p>
            <w:pPr>
              <w:spacing w:line="560" w:lineRule="exact"/>
              <w:jc w:val="center"/>
              <w:rPr>
                <w:rFonts w:ascii="仿宋_GB2312" w:hAnsi="Calibri" w:eastAsia="仿宋_GB2312" w:cs="Times New Roman"/>
                <w:color w:val="auto"/>
                <w:kern w:val="0"/>
                <w:sz w:val="28"/>
                <w:szCs w:val="28"/>
                <w:lang w:val="en-US" w:eastAsia="zh-CN" w:bidi="ar-SA"/>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318" w:type="dxa"/>
            <w:vAlign w:val="top"/>
          </w:tcPr>
          <w:p>
            <w:pPr>
              <w:spacing w:line="560" w:lineRule="exact"/>
              <w:rPr>
                <w:rFonts w:ascii="仿宋_GB2312" w:hAnsi="Calibri" w:eastAsia="仿宋_GB2312" w:cs="Times New Roman"/>
                <w:color w:val="auto"/>
                <w:kern w:val="0"/>
                <w:sz w:val="28"/>
                <w:szCs w:val="28"/>
                <w:lang w:val="en-US" w:eastAsia="zh-CN" w:bidi="ar-SA"/>
              </w:rPr>
            </w:pPr>
            <w:r>
              <w:rPr>
                <w:rFonts w:hint="eastAsia" w:ascii="仿宋_GB2312" w:hAnsi="Calibri" w:eastAsia="仿宋_GB2312" w:cs="ArialUnicodeMS"/>
                <w:kern w:val="0"/>
                <w:sz w:val="28"/>
                <w:szCs w:val="28"/>
              </w:rPr>
              <w:t>鹿泉区殡仪馆</w:t>
            </w:r>
          </w:p>
        </w:tc>
        <w:tc>
          <w:tcPr>
            <w:tcW w:w="2612" w:type="dxa"/>
            <w:vAlign w:val="top"/>
          </w:tcPr>
          <w:p>
            <w:pPr>
              <w:spacing w:line="560" w:lineRule="exact"/>
              <w:jc w:val="center"/>
              <w:rPr>
                <w:rFonts w:ascii="仿宋_GB2312" w:hAnsi="Calibri" w:eastAsia="仿宋_GB2312" w:cs="Times New Roman"/>
                <w:color w:val="auto"/>
                <w:kern w:val="0"/>
                <w:sz w:val="28"/>
                <w:szCs w:val="28"/>
                <w:lang w:val="en-US" w:eastAsia="zh-CN" w:bidi="ar-SA"/>
              </w:rPr>
            </w:pPr>
            <w:r>
              <w:rPr>
                <w:rFonts w:hint="eastAsia" w:ascii="仿宋_GB2312" w:eastAsia="仿宋_GB2312" w:cs="仿宋_GB2312"/>
                <w:kern w:val="0"/>
                <w:sz w:val="28"/>
                <w:szCs w:val="28"/>
              </w:rPr>
              <w:t>财政补助事业单位</w:t>
            </w:r>
          </w:p>
        </w:tc>
        <w:tc>
          <w:tcPr>
            <w:tcW w:w="2665" w:type="dxa"/>
            <w:vAlign w:val="top"/>
          </w:tcPr>
          <w:p>
            <w:pPr>
              <w:spacing w:line="560" w:lineRule="exact"/>
              <w:jc w:val="center"/>
              <w:rPr>
                <w:rFonts w:ascii="仿宋_GB2312" w:hAnsi="Calibri" w:eastAsia="仿宋_GB2312" w:cs="Times New Roman"/>
                <w:color w:val="auto"/>
                <w:kern w:val="0"/>
                <w:sz w:val="28"/>
                <w:szCs w:val="28"/>
                <w:lang w:val="en-US" w:eastAsia="zh-CN" w:bidi="ar-SA"/>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3</w:t>
            </w:r>
          </w:p>
        </w:tc>
        <w:tc>
          <w:tcPr>
            <w:tcW w:w="3318" w:type="dxa"/>
            <w:vAlign w:val="top"/>
          </w:tcPr>
          <w:p>
            <w:pPr>
              <w:spacing w:line="560" w:lineRule="exact"/>
              <w:rPr>
                <w:rFonts w:ascii="仿宋_GB2312" w:hAnsi="Calibri" w:eastAsia="仿宋_GB2312" w:cs="Times New Roman"/>
                <w:color w:val="auto"/>
                <w:kern w:val="0"/>
                <w:sz w:val="28"/>
                <w:szCs w:val="28"/>
                <w:lang w:val="en-US" w:eastAsia="zh-CN" w:bidi="ar-SA"/>
              </w:rPr>
            </w:pPr>
            <w:r>
              <w:rPr>
                <w:rFonts w:hint="eastAsia" w:ascii="仿宋_GB2312" w:hAnsi="Calibri" w:eastAsia="仿宋_GB2312" w:cs="ArialUnicodeMS"/>
                <w:kern w:val="0"/>
                <w:sz w:val="28"/>
                <w:szCs w:val="28"/>
              </w:rPr>
              <w:t>鹿泉区民政事业服务中心</w:t>
            </w:r>
          </w:p>
        </w:tc>
        <w:tc>
          <w:tcPr>
            <w:tcW w:w="2612" w:type="dxa"/>
            <w:vAlign w:val="top"/>
          </w:tcPr>
          <w:p>
            <w:pPr>
              <w:spacing w:line="560" w:lineRule="exact"/>
              <w:jc w:val="center"/>
              <w:rPr>
                <w:rFonts w:ascii="仿宋_GB2312" w:hAnsi="Calibri" w:eastAsia="仿宋_GB2312" w:cs="Times New Roman"/>
                <w:color w:val="auto"/>
                <w:kern w:val="0"/>
                <w:sz w:val="28"/>
                <w:szCs w:val="28"/>
                <w:lang w:val="en-US" w:eastAsia="zh-CN" w:bidi="ar-SA"/>
              </w:rPr>
            </w:pPr>
            <w:r>
              <w:rPr>
                <w:rFonts w:hint="eastAsia" w:ascii="仿宋_GB2312" w:eastAsia="仿宋_GB2312" w:cs="仿宋_GB2312"/>
                <w:kern w:val="0"/>
                <w:sz w:val="28"/>
                <w:szCs w:val="28"/>
              </w:rPr>
              <w:t>财政补助事业单位</w:t>
            </w:r>
          </w:p>
        </w:tc>
        <w:tc>
          <w:tcPr>
            <w:tcW w:w="2665" w:type="dxa"/>
            <w:vAlign w:val="top"/>
          </w:tcPr>
          <w:p>
            <w:pPr>
              <w:spacing w:line="560" w:lineRule="exact"/>
              <w:jc w:val="center"/>
              <w:rPr>
                <w:rFonts w:ascii="仿宋_GB2312" w:hAnsi="Calibri" w:eastAsia="仿宋_GB2312" w:cs="Times New Roman"/>
                <w:color w:val="auto"/>
                <w:kern w:val="0"/>
                <w:sz w:val="28"/>
                <w:szCs w:val="28"/>
                <w:lang w:val="en-US" w:eastAsia="zh-CN" w:bidi="ar-SA"/>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4</w:t>
            </w:r>
          </w:p>
        </w:tc>
        <w:tc>
          <w:tcPr>
            <w:tcW w:w="3318" w:type="dxa"/>
            <w:vAlign w:val="top"/>
          </w:tcPr>
          <w:p>
            <w:pPr>
              <w:spacing w:line="560" w:lineRule="exact"/>
              <w:jc w:val="left"/>
              <w:rPr>
                <w:rFonts w:hint="eastAsia" w:ascii="仿宋_GB2312" w:hAnsi="Calibri" w:eastAsia="仿宋_GB2312" w:cs="Times New Roman"/>
                <w:color w:val="auto"/>
                <w:kern w:val="0"/>
                <w:sz w:val="28"/>
                <w:szCs w:val="28"/>
                <w:lang w:val="en-US" w:eastAsia="zh-CN" w:bidi="ar-SA"/>
              </w:rPr>
            </w:pPr>
            <w:r>
              <w:rPr>
                <w:rFonts w:hint="eastAsia" w:ascii="仿宋_GB2312" w:hAnsi="Calibri" w:eastAsia="仿宋_GB2312" w:cs="ArialUnicodeMS"/>
                <w:kern w:val="0"/>
                <w:sz w:val="28"/>
                <w:szCs w:val="28"/>
                <w:highlight w:val="none"/>
                <w:lang w:eastAsia="zh-CN"/>
              </w:rPr>
              <w:t>鹿泉区儿童福利院</w:t>
            </w:r>
          </w:p>
        </w:tc>
        <w:tc>
          <w:tcPr>
            <w:tcW w:w="2612" w:type="dxa"/>
            <w:vAlign w:val="top"/>
          </w:tcPr>
          <w:p>
            <w:pPr>
              <w:spacing w:line="560" w:lineRule="exact"/>
              <w:jc w:val="center"/>
              <w:rPr>
                <w:rFonts w:ascii="仿宋_GB2312" w:hAnsi="Calibri" w:eastAsia="仿宋_GB2312" w:cs="Times New Roman"/>
                <w:color w:val="auto"/>
                <w:kern w:val="0"/>
                <w:sz w:val="28"/>
                <w:szCs w:val="28"/>
                <w:lang w:val="en-US" w:eastAsia="zh-CN" w:bidi="ar-SA"/>
              </w:rPr>
            </w:pPr>
            <w:r>
              <w:rPr>
                <w:rFonts w:hint="eastAsia" w:ascii="仿宋_GB2312" w:eastAsia="仿宋_GB2312" w:cs="仿宋_GB2312"/>
                <w:kern w:val="0"/>
                <w:sz w:val="28"/>
                <w:szCs w:val="28"/>
              </w:rPr>
              <w:t>财政补助事业单位</w:t>
            </w:r>
          </w:p>
        </w:tc>
        <w:tc>
          <w:tcPr>
            <w:tcW w:w="2665" w:type="dxa"/>
            <w:vAlign w:val="top"/>
          </w:tcPr>
          <w:p>
            <w:pPr>
              <w:spacing w:line="560" w:lineRule="exact"/>
              <w:jc w:val="center"/>
              <w:rPr>
                <w:rFonts w:ascii="仿宋_GB2312" w:hAnsi="Calibri" w:eastAsia="仿宋_GB2312" w:cs="Times New Roman"/>
                <w:color w:val="auto"/>
                <w:kern w:val="0"/>
                <w:sz w:val="28"/>
                <w:szCs w:val="28"/>
                <w:lang w:val="en-US" w:eastAsia="zh-CN" w:bidi="ar-SA"/>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val="en-US" w:eastAsia="zh-CN"/>
              </w:rPr>
              <w:t>5</w:t>
            </w:r>
          </w:p>
        </w:tc>
        <w:tc>
          <w:tcPr>
            <w:tcW w:w="3318" w:type="dxa"/>
            <w:vAlign w:val="top"/>
          </w:tcPr>
          <w:p>
            <w:pPr>
              <w:spacing w:line="560" w:lineRule="exact"/>
              <w:jc w:val="left"/>
              <w:rPr>
                <w:rFonts w:hint="eastAsia" w:ascii="仿宋_GB2312" w:hAnsi="Calibri" w:eastAsia="仿宋_GB2312" w:cs="Times New Roman"/>
                <w:color w:val="auto"/>
                <w:kern w:val="0"/>
                <w:sz w:val="28"/>
                <w:szCs w:val="28"/>
                <w:lang w:val="en-US" w:eastAsia="zh-CN" w:bidi="ar-SA"/>
              </w:rPr>
            </w:pPr>
            <w:r>
              <w:rPr>
                <w:rFonts w:hint="eastAsia" w:ascii="仿宋_GB2312" w:hAnsi="Calibri" w:eastAsia="仿宋_GB2312" w:cs="ArialUnicodeMS"/>
                <w:kern w:val="0"/>
                <w:sz w:val="28"/>
                <w:szCs w:val="28"/>
                <w:highlight w:val="none"/>
                <w:lang w:eastAsia="zh-CN"/>
              </w:rPr>
              <w:t>鹿泉区福利彩票销售管理中心</w:t>
            </w:r>
          </w:p>
        </w:tc>
        <w:tc>
          <w:tcPr>
            <w:tcW w:w="2612" w:type="dxa"/>
            <w:vAlign w:val="top"/>
          </w:tcPr>
          <w:p>
            <w:pPr>
              <w:spacing w:line="560" w:lineRule="exact"/>
              <w:jc w:val="center"/>
              <w:rPr>
                <w:rFonts w:ascii="仿宋_GB2312" w:hAnsi="Calibri" w:eastAsia="仿宋_GB2312" w:cs="Times New Roman"/>
                <w:color w:val="auto"/>
                <w:kern w:val="0"/>
                <w:sz w:val="28"/>
                <w:szCs w:val="28"/>
                <w:lang w:val="en-US" w:eastAsia="zh-CN" w:bidi="ar-SA"/>
              </w:rPr>
            </w:pPr>
            <w:r>
              <w:rPr>
                <w:rFonts w:hint="eastAsia" w:ascii="仿宋_GB2312" w:eastAsia="仿宋_GB2312" w:cs="仿宋_GB2312"/>
                <w:kern w:val="0"/>
                <w:sz w:val="28"/>
                <w:szCs w:val="28"/>
              </w:rPr>
              <w:t>经费自理事业单位</w:t>
            </w:r>
          </w:p>
        </w:tc>
        <w:tc>
          <w:tcPr>
            <w:tcW w:w="2665" w:type="dxa"/>
            <w:vAlign w:val="top"/>
          </w:tcPr>
          <w:p>
            <w:pPr>
              <w:spacing w:line="560" w:lineRule="exact"/>
              <w:jc w:val="center"/>
              <w:rPr>
                <w:rFonts w:ascii="仿宋_GB2312" w:hAnsi="Calibri" w:eastAsia="仿宋_GB2312" w:cs="Times New Roman"/>
                <w:color w:val="auto"/>
                <w:kern w:val="0"/>
                <w:sz w:val="28"/>
                <w:szCs w:val="28"/>
                <w:lang w:val="en-US" w:eastAsia="zh-CN" w:bidi="ar-SA"/>
              </w:rPr>
            </w:pPr>
            <w:r>
              <w:rPr>
                <w:rFonts w:hint="eastAsia" w:ascii="仿宋_GB2312" w:eastAsia="仿宋_GB2312" w:cs="仿宋_GB2312"/>
                <w:kern w:val="0"/>
                <w:sz w:val="28"/>
                <w:szCs w:val="28"/>
              </w:rPr>
              <w:t>财政性资金零补助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val="en-US" w:eastAsia="zh-CN"/>
              </w:rPr>
              <w:t>6</w:t>
            </w:r>
          </w:p>
        </w:tc>
        <w:tc>
          <w:tcPr>
            <w:tcW w:w="3318" w:type="dxa"/>
            <w:tcBorders>
              <w:bottom w:val="single" w:color="auto" w:sz="4" w:space="0"/>
            </w:tcBorders>
            <w:vAlign w:val="top"/>
          </w:tcPr>
          <w:p>
            <w:pPr>
              <w:spacing w:line="560" w:lineRule="exact"/>
              <w:rPr>
                <w:rFonts w:hint="eastAsia" w:ascii="仿宋_GB2312" w:eastAsia="仿宋_GB2312" w:cs="Times New Roman" w:hAnsiTheme="minorHAnsi"/>
                <w:color w:val="auto"/>
                <w:kern w:val="0"/>
                <w:sz w:val="28"/>
                <w:szCs w:val="28"/>
                <w:lang w:val="en-US" w:eastAsia="zh-CN" w:bidi="ar-SA"/>
              </w:rPr>
            </w:pPr>
            <w:r>
              <w:rPr>
                <w:rFonts w:hint="eastAsia" w:ascii="仿宋_GB2312" w:eastAsia="仿宋_GB2312" w:cs="Times New Roman"/>
                <w:kern w:val="0"/>
                <w:sz w:val="28"/>
                <w:szCs w:val="28"/>
                <w:lang w:eastAsia="zh-CN"/>
              </w:rPr>
              <w:t>鹿泉区救助站</w:t>
            </w:r>
          </w:p>
        </w:tc>
        <w:tc>
          <w:tcPr>
            <w:tcW w:w="2612" w:type="dxa"/>
            <w:tcBorders>
              <w:bottom w:val="single" w:color="auto" w:sz="4" w:space="0"/>
            </w:tcBorders>
            <w:vAlign w:val="top"/>
          </w:tcPr>
          <w:p>
            <w:pPr>
              <w:spacing w:line="560" w:lineRule="exact"/>
              <w:jc w:val="center"/>
              <w:rPr>
                <w:rFonts w:hint="eastAsia" w:ascii="仿宋_GB2312" w:eastAsia="仿宋_GB2312" w:cs="Times New Roman" w:hAnsiTheme="minorHAnsi"/>
                <w:color w:val="auto"/>
                <w:kern w:val="0"/>
                <w:sz w:val="28"/>
                <w:szCs w:val="28"/>
                <w:lang w:val="en-US" w:eastAsia="zh-CN" w:bidi="ar-SA"/>
              </w:rPr>
            </w:pPr>
            <w:r>
              <w:rPr>
                <w:rFonts w:hint="eastAsia" w:ascii="仿宋_GB2312" w:eastAsia="仿宋_GB2312" w:cs="Times New Roman"/>
                <w:kern w:val="0"/>
                <w:sz w:val="28"/>
                <w:szCs w:val="28"/>
                <w:lang w:eastAsia="zh-CN"/>
              </w:rPr>
              <w:t>财政补助事业单位</w:t>
            </w:r>
          </w:p>
        </w:tc>
        <w:tc>
          <w:tcPr>
            <w:tcW w:w="2665" w:type="dxa"/>
            <w:tcBorders>
              <w:bottom w:val="single" w:color="auto" w:sz="4" w:space="0"/>
            </w:tcBorders>
            <w:vAlign w:val="top"/>
          </w:tcPr>
          <w:p>
            <w:pPr>
              <w:spacing w:line="560" w:lineRule="exact"/>
              <w:jc w:val="center"/>
              <w:rPr>
                <w:rFonts w:hint="eastAsia" w:ascii="仿宋_GB2312" w:eastAsia="仿宋_GB2312" w:cs="Times New Roman" w:hAnsiTheme="minorHAnsi"/>
                <w:color w:val="auto"/>
                <w:kern w:val="0"/>
                <w:sz w:val="28"/>
                <w:szCs w:val="28"/>
                <w:lang w:val="en-US" w:eastAsia="zh-CN" w:bidi="ar-SA"/>
              </w:rPr>
            </w:pPr>
            <w:r>
              <w:rPr>
                <w:rFonts w:hint="eastAsia" w:ascii="仿宋_GB2312" w:eastAsia="仿宋_GB2312" w:cs="Times New Roman"/>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Times New Roman" w:hAnsi="Times New Roman" w:eastAsia="黑体" w:cs="Times New Roman"/>
          <w:sz w:val="32"/>
          <w:szCs w:val="32"/>
          <w:highlight w:val="yellow"/>
        </w:rPr>
      </w:pPr>
      <w:r>
        <w:rPr>
          <w:rFonts w:hint="default" w:ascii="Arial" w:hAnsi="Arial" w:eastAsia="Arial" w:cs="Arial"/>
          <w:i w:val="0"/>
          <w:iCs w:val="0"/>
          <w:caps w:val="0"/>
          <w:color w:val="000000"/>
          <w:spacing w:val="0"/>
          <w:sz w:val="18"/>
          <w:szCs w:val="18"/>
          <w:highlight w:val="none"/>
          <w:shd w:val="clear" w:fill="FFFFFF"/>
        </w:rPr>
        <w:t> </w:t>
      </w: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11" w:type="default"/>
          <w:pgSz w:w="11906" w:h="16838"/>
          <w:pgMar w:top="1531" w:right="1984" w:bottom="1531" w:left="2098" w:header="851" w:footer="992" w:gutter="0"/>
          <w:cols w:space="720" w:num="1"/>
          <w:docGrid w:type="lines" w:linePitch="312" w:charSpace="0"/>
        </w:sectPr>
      </w:pPr>
    </w:p>
    <w:tbl>
      <w:tblPr>
        <w:tblStyle w:val="13"/>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编制部门：石家庄市鹿泉区民政局（汇总）</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6,540.93</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1,329.95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6,448.11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7,870.88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7,871.15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7,878.95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7,878.95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3"/>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编制部门：石家庄市鹿泉区民政局（汇总）    </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7,870.88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7,870.88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6,447.84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6,447.84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1,019.22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1,019.22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827.79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827.79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2080206</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社会组织管理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2080207</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行政区划和地名管理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2080208</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基层政权建设和社区治理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2080299</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其他民政管理事务支出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101.48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101.48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社会福利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2,583.93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2,583.93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儿童福利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老年福利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923.29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923.29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2081004</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殡葬</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294.96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294.96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2081005</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社会福利事业单位</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2081006</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养老服务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2081099</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其他社会福利支出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残疾人事业</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2081107</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残疾人生活和护理补贴</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最低生活保障</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1,424.60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1,424.60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城市最低生活保障金支出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农村最低生活保障金支出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1,376.41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1,376.41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临时救助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临时救助支出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流浪乞讨人员救助支出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特困人员救助供养</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646.51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646.51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农村特困人员救助供养支出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646.51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646.51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城市建设支出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彩票公益金安排的支出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用于社会福利的彩票公益金支出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1,066.79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1,066.79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2296006</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用于残疾人事业的彩票公益金支出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地方政府专项债务付息支出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其他地方自行试点项目收益专项债券付息支出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3"/>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编制部门：石家庄市鹿泉区民政局（汇总）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7,871.15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1,275.54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6,595.61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6,448.11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1,182.45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5,265.66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民政管理事务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1,019.26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827.83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827.83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827.83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2080206</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社会组织管理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2080207</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行政区划和地名管理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基层政权建设和社区治理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其他民政管理事务支出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265.64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108.05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108.05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101.48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101.48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56.11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56.11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社会福利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2,584.16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2,495.18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儿童福利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老年福利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923.29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923.29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2081004</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殡葬</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2081005</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社会福利事业单位</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2081006</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养老服务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2081099</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其他社会福利支出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残疾人事业</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残疾人生活和护理补贴</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最低生活保障</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1,424.60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1,424.60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城市最低生活保障金支出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48.19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48.19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农村最低生活保障金支出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1,376.41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1,376.41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临时救助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临时救助支出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流浪乞讨人员救助支出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特困人员救助供养</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646.51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646.51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农村特困人员救助供养支出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646.51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646.51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41.10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41.10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41.10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41.10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城市建设支出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彩票公益金安排的支出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用于社会福利的彩票公益金支出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1,066.79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1,066.79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2296006</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用于残疾人事业的彩票公益金支出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债务付息支出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地方政府专项债务付息支出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其他地方自行试点项目收益专项债券付息支出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编制部门：石家庄市鹿泉区民政局（汇总）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6,540.93</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1,329.95</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6,448.11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6,448.11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41.10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41.10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113.64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113.64</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51.99</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51.99</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1,146.79</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1,146.79</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69.52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69.52</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7,870.88</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7,871.15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6,541.20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1,329.95</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8.08</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8.08</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7,878.95</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7,878.95</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6,549.00</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1,329.95</w:t>
            </w: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3"/>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3"/>
        <w:gridCol w:w="3416"/>
        <w:gridCol w:w="329"/>
        <w:gridCol w:w="982"/>
        <w:gridCol w:w="1037"/>
        <w:gridCol w:w="383"/>
        <w:gridCol w:w="17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编制部门：石家庄市鹿泉区民政局（汇总）</w:t>
            </w:r>
          </w:p>
        </w:tc>
        <w:tc>
          <w:tcPr>
            <w:tcW w:w="155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6,541.20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1,275.54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5,265.66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6,448.11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1,182.45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5,265.66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民政管理事务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1,019.26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827.83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827.83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827.83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社会组织管理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行政区划和地名管理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基层政权建设和社区治理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其他民政管理事务支出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265.64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265.64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108.05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108.05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事业单位离退休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101.48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101.48</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56.11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56.11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退役安置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退役士兵安置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社会福利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2,584.16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2,495.18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儿童福利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老年福利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923.29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923.29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2081004</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殡葬</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294.96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社会福利事业单位</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养老服务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1,152.79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其他社会福利支出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残疾人事业</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残疾人生活和护理补贴</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最低生活保障</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1,424.60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1,424.60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城市最低生活保障金支出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48.19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农村最低生活保障金支出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1,376.41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1,376.41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临时救助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临时救助支出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流浪乞讨人员救助支出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特困人员救助供养</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646.51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农村特困人员救助供养支出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646.51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41.10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41.10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41.10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41.10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编制部门：石家庄市鹿泉区民政局（汇总）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706.53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313.43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125.83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18.47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63.20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3.59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164.54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98.51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0.63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87.67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6.82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15.76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11.14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35.76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15.67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96.33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17.24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255.58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189.60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27.02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17.43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198.63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5.75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962.11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313.43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3"/>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编制部门：石家庄市鹿泉区民政局（汇总）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1,329.95</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1,329.95</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1,329.95</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113.64</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113.64</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113.64</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113.64</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113.64</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113.64</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城市建设支出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113.64</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113.64</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113.64</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1,146.79</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1,146.79</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1,146.79</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彩票公益金安排的支出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1,146.79</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1,146.79</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1,146.79</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用于社会福利的彩票公益金支出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1,066.79</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1,066.79</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1,066.79</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2296006</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用于残疾人事业的彩票公益金支出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债务付息支出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地方政府专项债务付息支出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其他地方自行试点项目收益专项债券付息支出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3"/>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编制部门：石家庄市鹿泉区民政局（汇总）</w:t>
            </w:r>
          </w:p>
        </w:tc>
        <w:tc>
          <w:tcPr>
            <w:tcW w:w="1666"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注：本表反映部门本年度国有资本经营预算财政拨款支出情况。本部门本年度无相关收入（或支出、收支及结转结余等）情况，按要求空表列式。</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仿宋" w:hAnsi="仿宋" w:eastAsia="仿宋" w:cs="仿宋"/>
                <w:i w:val="0"/>
                <w:iCs w:val="0"/>
                <w:color w:val="000000"/>
                <w:kern w:val="0"/>
                <w:sz w:val="20"/>
                <w:szCs w:val="20"/>
                <w:highlight w:val="none"/>
                <w:u w:val="none"/>
                <w:lang w:val="en-US" w:eastAsia="zh-CN" w:bidi="ar"/>
              </w:rPr>
              <w:t>编制部门：石家庄市鹿泉区民政局（汇总）</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10.31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4.91</w:t>
            </w: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6.54</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4.71</w:t>
            </w: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1.83</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1.83</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7,878.95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2"/>
          <w:szCs w:val="32"/>
          <w:highlight w:val="none"/>
          <w:lang w:val="zh-CN"/>
        </w:rPr>
        <w:t>减少359.74万元</w:t>
      </w:r>
      <w:r>
        <w:rPr>
          <w:rFonts w:hint="eastAsia"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zh-CN"/>
        </w:rPr>
        <w:t>下降4.37%，</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项目投资减少</w:t>
      </w:r>
      <w:r>
        <w:rPr>
          <w:rFonts w:hint="default" w:ascii="Times New Roman" w:hAnsi="Times New Roman" w:eastAsia="仿宋_GB2312" w:cs="Times New Roman"/>
          <w:kern w:val="2"/>
          <w:sz w:val="32"/>
          <w:szCs w:val="32"/>
          <w:lang w:val="en-US" w:eastAsia="zh-CN" w:bidi="ar-SA"/>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highlight w:val="yellow"/>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7,870.88</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7,870.88</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7,871.15万元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1,275.54万元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占16.21%；</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6,595.61万元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占83.79%；</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年度财政拨款本年收入7,870.88</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2"/>
          <w:szCs w:val="32"/>
          <w:highlight w:val="none"/>
          <w:lang w:val="zh-CN"/>
        </w:rPr>
        <w:t>减少3.61万元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2"/>
          <w:szCs w:val="32"/>
          <w:highlight w:val="none"/>
          <w:lang w:val="zh-CN"/>
        </w:rPr>
        <w:t>降低0.05%，</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项目投资资金减少</w:t>
      </w:r>
      <w:r>
        <w:rPr>
          <w:rFonts w:hint="default" w:ascii="Times New Roman" w:hAnsi="Times New Roman" w:eastAsia="仿宋_GB2312" w:cs="Times New Roman"/>
          <w:color w:val="auto"/>
          <w:kern w:val="2"/>
          <w:sz w:val="32"/>
          <w:szCs w:val="32"/>
          <w:lang w:val="zh-CN" w:eastAsia="zh-CN" w:bidi="ar-SA"/>
        </w:rPr>
        <w:t>；本年支出 7,871.15</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2"/>
          <w:szCs w:val="32"/>
          <w:highlight w:val="none"/>
          <w:lang w:val="zh-CN"/>
        </w:rPr>
        <w:t>减少2.88万元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2"/>
          <w:szCs w:val="32"/>
          <w:highlight w:val="none"/>
          <w:lang w:val="zh-CN"/>
        </w:rPr>
        <w:t>降低0.04%，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项目投资资金减少</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一般公共预算财政拨款本年收入6,540.93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2"/>
          <w:szCs w:val="32"/>
          <w:highlight w:val="none"/>
          <w:lang w:val="zh-CN"/>
        </w:rPr>
        <w:t>增加1,492.98万元，增长29.58%，</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项目投资资金增加</w:t>
      </w:r>
      <w:r>
        <w:rPr>
          <w:rFonts w:hint="default" w:ascii="Times New Roman" w:hAnsi="Times New Roman" w:eastAsia="仿宋_GB2312" w:cs="Times New Roman"/>
          <w:kern w:val="2"/>
          <w:sz w:val="32"/>
          <w:szCs w:val="32"/>
          <w:lang w:val="zh-CN"/>
        </w:rPr>
        <w:t>；本年支出 6,541.2</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2"/>
          <w:szCs w:val="32"/>
          <w:highlight w:val="none"/>
          <w:lang w:val="zh-CN"/>
        </w:rPr>
        <w:t>增加1,495.32万元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2"/>
          <w:szCs w:val="32"/>
          <w:highlight w:val="none"/>
          <w:lang w:val="zh-CN"/>
        </w:rPr>
        <w:t>增长29.63%，</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项目投资资金增加</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政府性基金预算财政拨款本年收入1,329.95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2"/>
          <w:szCs w:val="32"/>
          <w:highlight w:val="none"/>
          <w:lang w:val="zh-CN"/>
        </w:rPr>
        <w:t>减少1,496.59万元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2"/>
          <w:szCs w:val="32"/>
          <w:highlight w:val="none"/>
          <w:lang w:val="zh-CN"/>
        </w:rPr>
        <w:t>降低52.95%，</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zh-CN" w:eastAsia="zh-CN" w:bidi="ar-SA"/>
        </w:rPr>
        <w:t>项目投资资金减少</w:t>
      </w:r>
      <w:r>
        <w:rPr>
          <w:rFonts w:hint="default" w:ascii="Times New Roman" w:hAnsi="Times New Roman" w:eastAsia="仿宋_GB2312" w:cs="Times New Roman"/>
          <w:kern w:val="2"/>
          <w:sz w:val="32"/>
          <w:szCs w:val="32"/>
          <w:lang w:val="zh-CN"/>
        </w:rPr>
        <w:t>；本年支出 1,329.95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2"/>
          <w:szCs w:val="32"/>
          <w:highlight w:val="none"/>
          <w:lang w:val="zh-CN"/>
        </w:rPr>
        <w:t>减少1,498.2万元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2"/>
          <w:szCs w:val="32"/>
          <w:highlight w:val="none"/>
          <w:lang w:val="zh-CN"/>
        </w:rPr>
        <w:t>降低52.97%，</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项目投资资金减少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2"/>
          <w:szCs w:val="32"/>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2"/>
          <w:szCs w:val="32"/>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snapToGrid w:val="0"/>
        <w:spacing w:line="580" w:lineRule="exact"/>
        <w:ind w:firstLine="643" w:firstLineChars="200"/>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年度财政拨款本年收入7,870.88万元，完成年初预算的207.74%，比年初预算</w:t>
      </w:r>
      <w:r>
        <w:rPr>
          <w:rFonts w:hint="eastAsia" w:ascii="Times New Roman" w:hAnsi="Times New Roman" w:eastAsia="仿宋_GB2312" w:cs="Times New Roman"/>
          <w:sz w:val="32"/>
          <w:szCs w:val="32"/>
          <w:highlight w:val="none"/>
          <w:lang w:val="zh-CN"/>
        </w:rPr>
        <w:t>增加4,082.16万元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仿宋_GB2312" w:hAnsi="Times New Roman" w:eastAsia="仿宋_GB2312" w:cs="仿宋_GB2312"/>
          <w:sz w:val="32"/>
          <w:szCs w:val="32"/>
          <w:lang w:val="en-US" w:eastAsia="zh-CN"/>
        </w:rPr>
        <w:t>上级拨付专项资金的增加</w:t>
      </w:r>
      <w:r>
        <w:rPr>
          <w:rFonts w:hint="default" w:ascii="Times New Roman" w:hAnsi="Times New Roman" w:eastAsia="仿宋_GB2312" w:cs="Times New Roman"/>
          <w:color w:val="auto"/>
          <w:kern w:val="2"/>
          <w:sz w:val="32"/>
          <w:szCs w:val="32"/>
          <w:lang w:val="zh-CN" w:eastAsia="zh-CN" w:bidi="ar-SA"/>
        </w:rPr>
        <w:t>；本年支出7,871.15万元，完成年初预算的207.75%，比年初预算</w:t>
      </w:r>
      <w:r>
        <w:rPr>
          <w:rFonts w:hint="eastAsia" w:ascii="Times New Roman" w:hAnsi="Times New Roman" w:eastAsia="仿宋_GB2312" w:cs="Times New Roman"/>
          <w:sz w:val="32"/>
          <w:szCs w:val="32"/>
          <w:highlight w:val="none"/>
          <w:lang w:val="zh-CN"/>
        </w:rPr>
        <w:t>增加4,082.43万元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hint="eastAsia" w:ascii="仿宋_GB2312" w:hAnsi="Times New Roman" w:eastAsia="仿宋_GB2312" w:cs="Wingdings"/>
          <w:sz w:val="32"/>
          <w:szCs w:val="32"/>
          <w:highlight w:val="none"/>
          <w:lang w:val="en-US" w:eastAsia="zh-CN"/>
        </w:rPr>
        <w:t>加大了对民生保障类项目的支出</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收入6,540.93万元，完成年初预算的 193.02%，比年初预算</w:t>
      </w:r>
      <w:r>
        <w:rPr>
          <w:rFonts w:hint="eastAsia" w:ascii="Times New Roman" w:hAnsi="Times New Roman" w:eastAsia="仿宋_GB2312" w:cs="Times New Roman"/>
          <w:sz w:val="32"/>
          <w:szCs w:val="32"/>
          <w:highlight w:val="none"/>
          <w:lang w:val="zh-CN"/>
        </w:rPr>
        <w:t>增加3,152.18万元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项目投资资金增加</w:t>
      </w:r>
      <w:r>
        <w:rPr>
          <w:rFonts w:hint="default" w:ascii="Times New Roman" w:hAnsi="Times New Roman" w:eastAsia="仿宋_GB2312" w:cs="Times New Roman"/>
          <w:kern w:val="2"/>
          <w:sz w:val="32"/>
          <w:szCs w:val="32"/>
          <w:lang w:val="zh-CN"/>
        </w:rPr>
        <w:t>；本年支出6,541.2万元，完成年初预算的193.03%，比年初预算</w:t>
      </w:r>
      <w:r>
        <w:rPr>
          <w:rFonts w:hint="eastAsia" w:ascii="Times New Roman" w:hAnsi="Times New Roman" w:eastAsia="仿宋_GB2312" w:cs="Times New Roman"/>
          <w:sz w:val="32"/>
          <w:szCs w:val="32"/>
          <w:highlight w:val="none"/>
          <w:lang w:val="zh-CN"/>
        </w:rPr>
        <w:t>增加3,152.46万元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val="zh-CN"/>
        </w:rPr>
        <w:t>项目投资资金增加</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政府性基金预算财政拨款本年收入1,329.95万元，完成年初预算的332.51%，比年初预算</w:t>
      </w:r>
      <w:r>
        <w:rPr>
          <w:rFonts w:hint="eastAsia" w:ascii="Times New Roman" w:hAnsi="Times New Roman" w:eastAsia="仿宋_GB2312" w:cs="Times New Roman"/>
          <w:sz w:val="32"/>
          <w:szCs w:val="32"/>
          <w:highlight w:val="none"/>
          <w:lang w:val="zh-CN"/>
        </w:rPr>
        <w:t>增加929.97万元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项目投资资金增加</w:t>
      </w:r>
      <w:r>
        <w:rPr>
          <w:rFonts w:hint="default" w:ascii="Times New Roman" w:hAnsi="Times New Roman" w:eastAsia="仿宋_GB2312" w:cs="Times New Roman"/>
          <w:kern w:val="2"/>
          <w:sz w:val="32"/>
          <w:szCs w:val="32"/>
          <w:lang w:val="zh-CN"/>
        </w:rPr>
        <w:t>；本年支出1,329.95万元，完成年初预算的332.51%，比年初预算</w:t>
      </w:r>
      <w:r>
        <w:rPr>
          <w:rFonts w:hint="eastAsia" w:ascii="Times New Roman" w:hAnsi="Times New Roman" w:eastAsia="仿宋_GB2312" w:cs="Times New Roman"/>
          <w:sz w:val="32"/>
          <w:szCs w:val="32"/>
          <w:highlight w:val="none"/>
          <w:lang w:val="zh-CN"/>
        </w:rPr>
        <w:t>增加929.97万元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项目投资资金增加</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2"/>
          <w:szCs w:val="32"/>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2"/>
          <w:szCs w:val="32"/>
          <w:highlight w:val="none"/>
          <w:lang w:val="zh-CN"/>
        </w:rPr>
        <w:t>比年初预算</w:t>
      </w:r>
      <w:r>
        <w:rPr>
          <w:rFonts w:hint="eastAsia" w:ascii="Times New Roman" w:hAnsi="Times New Roman" w:eastAsia="仿宋_GB2312" w:cs="Times New Roman"/>
          <w:sz w:val="32"/>
          <w:szCs w:val="32"/>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2"/>
          <w:szCs w:val="32"/>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年度财政拨款支出7,871.15万元，主要用于以下方面：</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社会保障和就业 （类）支出6,448.11万元，占81.92%</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Wingdings"/>
          <w:sz w:val="32"/>
          <w:szCs w:val="32"/>
          <w:lang w:val="en-US" w:eastAsia="zh-CN"/>
        </w:rPr>
        <w:t>主要用于基本民生兜底保障、残疾人两项补贴、</w:t>
      </w:r>
      <w:r>
        <w:rPr>
          <w:rFonts w:hint="eastAsia" w:ascii="仿宋_GB2312" w:hAnsi="Times New Roman" w:eastAsia="仿宋_GB2312" w:cs="Wingdings"/>
          <w:sz w:val="32"/>
          <w:szCs w:val="32"/>
          <w:highlight w:val="none"/>
          <w:lang w:val="en-US" w:eastAsia="zh-CN"/>
        </w:rPr>
        <w:t>高龄津贴等支出</w:t>
      </w:r>
      <w:r>
        <w:rPr>
          <w:rFonts w:hint="default" w:ascii="Times New Roman" w:hAnsi="Times New Roman" w:eastAsia="仿宋_GB2312" w:cs="Times New Roman"/>
          <w:color w:val="auto"/>
          <w:kern w:val="2"/>
          <w:sz w:val="32"/>
          <w:szCs w:val="32"/>
          <w:lang w:val="zh-CN" w:eastAsia="zh-CN" w:bidi="ar-SA"/>
        </w:rPr>
        <w:t>；卫生健康（类）支出41.1万元，占0.52%</w:t>
      </w:r>
      <w:r>
        <w:rPr>
          <w:rFonts w:hint="eastAsia" w:ascii="Times New Roman" w:hAnsi="Times New Roman" w:eastAsia="仿宋_GB2312" w:cs="Times New Roman"/>
          <w:color w:val="auto"/>
          <w:kern w:val="2"/>
          <w:sz w:val="32"/>
          <w:szCs w:val="32"/>
          <w:lang w:val="zh-CN" w:eastAsia="zh-CN" w:bidi="ar-SA"/>
        </w:rPr>
        <w:t>，主要用于缴纳在职人员医疗保险</w:t>
      </w:r>
      <w:r>
        <w:rPr>
          <w:rFonts w:hint="default" w:ascii="Times New Roman" w:hAnsi="Times New Roman" w:eastAsia="仿宋_GB2312" w:cs="Times New Roman"/>
          <w:color w:val="auto"/>
          <w:kern w:val="2"/>
          <w:sz w:val="32"/>
          <w:szCs w:val="32"/>
          <w:lang w:val="zh-CN" w:eastAsia="zh-CN" w:bidi="ar-SA"/>
        </w:rPr>
        <w:t>；城乡社区（类）支出113.64万元，占1.44%；住房保障（类）支出51.99万元，占0.66%</w:t>
      </w:r>
      <w:r>
        <w:rPr>
          <w:rFonts w:hint="eastAsia" w:ascii="Times New Roman" w:hAnsi="Times New Roman" w:eastAsia="仿宋_GB2312" w:cs="Times New Roman"/>
          <w:color w:val="auto"/>
          <w:kern w:val="2"/>
          <w:sz w:val="32"/>
          <w:szCs w:val="32"/>
          <w:lang w:val="zh-CN" w:eastAsia="zh-CN" w:bidi="ar-SA"/>
        </w:rPr>
        <w:t>，主要用于缴纳在职人员住房公积金</w:t>
      </w:r>
      <w:r>
        <w:rPr>
          <w:rFonts w:hint="default" w:ascii="Times New Roman" w:hAnsi="Times New Roman" w:eastAsia="仿宋_GB2312" w:cs="Times New Roman"/>
          <w:color w:val="auto"/>
          <w:kern w:val="2"/>
          <w:sz w:val="32"/>
          <w:szCs w:val="32"/>
          <w:lang w:val="zh-CN" w:eastAsia="zh-CN" w:bidi="ar-SA"/>
        </w:rPr>
        <w:t>；其他（类）支出1,146.79万元，占14.57%</w:t>
      </w:r>
      <w:r>
        <w:rPr>
          <w:rFonts w:hint="eastAsia" w:ascii="Times New Roman" w:hAnsi="Times New Roman" w:eastAsia="仿宋_GB2312" w:cs="Times New Roman"/>
          <w:color w:val="auto"/>
          <w:kern w:val="2"/>
          <w:sz w:val="32"/>
          <w:szCs w:val="32"/>
          <w:lang w:val="zh-CN" w:eastAsia="zh-CN" w:bidi="ar-SA"/>
        </w:rPr>
        <w:t>，主要用于养老服务体系建设支出</w:t>
      </w:r>
      <w:r>
        <w:rPr>
          <w:rFonts w:hint="default" w:ascii="Times New Roman" w:hAnsi="Times New Roman" w:eastAsia="仿宋_GB2312" w:cs="Times New Roman"/>
          <w:color w:val="auto"/>
          <w:kern w:val="2"/>
          <w:sz w:val="32"/>
          <w:szCs w:val="32"/>
          <w:lang w:val="zh-CN" w:eastAsia="zh-CN" w:bidi="ar-SA"/>
        </w:rPr>
        <w:t>；债务付息（类）支出69.52万元，占0.88%</w:t>
      </w:r>
      <w:r>
        <w:rPr>
          <w:rFonts w:hint="eastAsia" w:ascii="Times New Roman" w:hAnsi="Times New Roman" w:eastAsia="仿宋_GB2312" w:cs="Times New Roman"/>
          <w:color w:val="auto"/>
          <w:kern w:val="2"/>
          <w:sz w:val="32"/>
          <w:szCs w:val="32"/>
          <w:lang w:val="zh-CN" w:eastAsia="zh-CN" w:bidi="ar-SA"/>
        </w:rPr>
        <w:t>，主要用于国债还本付息</w:t>
      </w:r>
      <w:r>
        <w:rPr>
          <w:rFonts w:hint="default" w:ascii="Times New Roman" w:hAnsi="Times New Roman" w:eastAsia="仿宋_GB2312" w:cs="Times New Roman"/>
          <w:color w:val="auto"/>
          <w:kern w:val="2"/>
          <w:sz w:val="32"/>
          <w:szCs w:val="32"/>
          <w:lang w:val="zh-CN" w:eastAsia="zh-CN" w:bidi="ar-SA"/>
        </w:rPr>
        <w:t>。</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pPr>
        <w:pStyle w:val="1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43" w:firstLineChars="200"/>
        <w:jc w:val="both"/>
        <w:textAlignment w:val="auto"/>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年度财政拨款基本支出1,275.54万元，其中：</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人员经费962.11万元，主要包括基本工资、津贴补贴、奖金、绩效工资、机关事业部门基本养老保险缴费、职业年金缴费、职工基本医疗保险缴费、公务员医疗补助缴费、住房公积金、其他社会保障缴费、其他工资福利支出、离休费、 退休费、 抚恤金、生活补助、医疗费补助、奖励金、其他对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公用经费313.43万元，主要包括办公费、印刷费、水费、电费、邮电费、取 暖费、物业管理费、差旅费、因公出国（境）费用、维修（护）费、委托业务费、工会经费、福利费、公务用车运行维护费、其他交通费用、税金及附加费用、其他商品和服务支出。</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年度“三公”经费财政拨款支出预算为10.31万元，支出决算为6.54万元，完成预算的63.41%，较预算</w:t>
      </w:r>
      <w:r>
        <w:rPr>
          <w:rFonts w:hint="eastAsia" w:ascii="Times New Roman" w:hAnsi="Times New Roman" w:eastAsia="仿宋_GB2312" w:cs="Times New Roman"/>
          <w:color w:val="auto"/>
          <w:kern w:val="2"/>
          <w:sz w:val="32"/>
          <w:szCs w:val="32"/>
          <w:lang w:val="zh-CN" w:eastAsia="zh-CN" w:bidi="ar-SA"/>
        </w:rPr>
        <w:t>减少3.77万元，降低36.59%，</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厉行节约从严控制公务用车</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增加1.68万元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增长34.64%，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因公出国费用支出较上年增加</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43" w:firstLineChars="200"/>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2023年度因公出国（境）费支出预算为4.91万元,支出决算4.71万元。完成预算的95.9%。因公出国（境）费支出较预算</w:t>
      </w:r>
      <w:r>
        <w:rPr>
          <w:rFonts w:hint="eastAsia" w:ascii="Times New Roman" w:hAnsi="Times New Roman" w:eastAsia="仿宋_GB2312" w:cs="Times New Roman"/>
          <w:color w:val="auto"/>
          <w:kern w:val="2"/>
          <w:sz w:val="32"/>
          <w:szCs w:val="32"/>
          <w:lang w:val="zh-CN" w:eastAsia="zh-CN" w:bidi="ar-SA"/>
        </w:rPr>
        <w:t>减少0.2万元</w:t>
      </w:r>
      <w:r>
        <w:rPr>
          <w:rFonts w:hint="default" w:ascii="Times New Roman" w:hAnsi="Times New Roman" w:eastAsia="仿宋_GB2312" w:cs="Times New Roman"/>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zh-CN" w:eastAsia="zh-CN" w:bidi="ar-SA"/>
        </w:rPr>
        <w:t>降低4.1%，</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受汇率变化影响</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增加4.71万元</w:t>
      </w:r>
      <w:r>
        <w:rPr>
          <w:rFonts w:hint="default" w:ascii="Times New Roman" w:hAnsi="Times New Roman" w:eastAsia="仿宋_GB2312" w:cs="Times New Roman"/>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100</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跟随市政府出访英国、瑞士、德国商洽养老服务合作</w:t>
      </w:r>
      <w:r>
        <w:rPr>
          <w:rFonts w:hint="default" w:ascii="Times New Roman" w:hAnsi="Times New Roman" w:eastAsia="仿宋_GB2312" w:cs="Times New Roman"/>
          <w:color w:val="auto"/>
          <w:kern w:val="2"/>
          <w:sz w:val="32"/>
          <w:szCs w:val="32"/>
          <w:lang w:val="en-US" w:eastAsia="zh-CN" w:bidi="ar-SA"/>
        </w:rPr>
        <w:t>。因公出国（境）团组1个、共1人、参加其他单位组织的因公出国（境）团组</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en-US" w:eastAsia="zh-CN" w:bidi="ar-SA"/>
        </w:rPr>
        <w:t>人</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Arial" w:cs="Times New Roman"/>
          <w:highlight w:val="none"/>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年度公务用车购置及运行维护费预算为5.4万元，支出决算 1.83万元，完成预算的33.89%,较预算</w:t>
      </w:r>
      <w:r>
        <w:rPr>
          <w:rFonts w:hint="eastAsia" w:ascii="Times New Roman" w:hAnsi="Times New Roman" w:eastAsia="仿宋_GB2312" w:cs="Times New Roman"/>
          <w:color w:val="auto"/>
          <w:kern w:val="2"/>
          <w:sz w:val="32"/>
          <w:szCs w:val="32"/>
          <w:lang w:val="zh-CN" w:eastAsia="zh-CN" w:bidi="ar-SA"/>
        </w:rPr>
        <w:t>减少3.57万元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降低66.11%，</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厉行节约从严控制公务用车</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减少3.03万元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降低62.31%，</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厉行节约从严控制公务用车</w:t>
      </w:r>
      <w:r>
        <w:rPr>
          <w:rFonts w:hint="default" w:ascii="Times New Roman" w:hAnsi="Times New Roman" w:eastAsia="仿宋_GB2312" w:cs="Times New Roman"/>
          <w:color w:val="auto"/>
          <w:kern w:val="2"/>
          <w:sz w:val="32"/>
          <w:szCs w:val="32"/>
          <w:lang w:val="zh-CN" w:eastAsia="zh-CN" w:bidi="ar-SA"/>
        </w:rPr>
        <w:t>。其中：</w:t>
      </w: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无增减变化</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无增减变化</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1.83</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年度单位公务用车保有量2辆，发生运行维护费支出1.83万元。公车运行维护费支出较预算</w:t>
      </w:r>
      <w:r>
        <w:rPr>
          <w:rFonts w:hint="eastAsia" w:ascii="Times New Roman" w:hAnsi="Times New Roman" w:eastAsia="仿宋_GB2312" w:cs="Times New Roman"/>
          <w:color w:val="auto"/>
          <w:kern w:val="2"/>
          <w:sz w:val="32"/>
          <w:szCs w:val="32"/>
          <w:lang w:val="zh-CN" w:eastAsia="zh-CN" w:bidi="ar-SA"/>
        </w:rPr>
        <w:t>减少3.57万元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降低66.11%，</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厉行节约从严控制公务用车</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减少3.03万元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降低62.31%，</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厉行节约从严控制公务用车</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持平，无增减变化</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万元，增长0%，较上年持平，无增减变化</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60" w:firstLineChars="20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年度机关运行经费支出261.86万元，较2022年度</w:t>
      </w:r>
      <w:r>
        <w:rPr>
          <w:rFonts w:hint="eastAsia" w:ascii="Times New Roman" w:hAnsi="Times New Roman" w:eastAsia="仿宋_GB2312" w:cs="Times New Roman"/>
          <w:color w:val="auto"/>
          <w:kern w:val="2"/>
          <w:sz w:val="32"/>
          <w:szCs w:val="32"/>
          <w:lang w:val="zh-CN" w:eastAsia="zh-CN" w:bidi="ar-SA"/>
        </w:rPr>
        <w:t>增加14.32万元，增长5.79%，</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zh-CN" w:eastAsia="zh-CN" w:bidi="ar-SA"/>
        </w:rPr>
        <w:t>保障单位正常工作运转</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年度政府采购支出总额302.86万元，从采购类型来看，政府采购货物支出274.04万元、政府采购工程支出0万元、政府采购服务支出28.82万元。授予中小企业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302.86万元，占政府采购支出总额的100%，其中授予小微企业合同金额302.86万元，占政府采购支出总额的100%。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年12月31日，本部门共有车辆4辆，比上年</w:t>
      </w:r>
      <w:r>
        <w:rPr>
          <w:rFonts w:hint="eastAsia" w:ascii="Times New Roman" w:hAnsi="Times New Roman" w:eastAsia="仿宋_GB2312" w:cs="Times New Roman"/>
          <w:color w:val="auto"/>
          <w:kern w:val="2"/>
          <w:sz w:val="32"/>
          <w:szCs w:val="32"/>
          <w:lang w:val="zh-CN" w:eastAsia="zh-CN" w:bidi="ar-SA"/>
        </w:rPr>
        <w:t>持平，无增减变化</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用车0辆，机要通信用车0辆，应急保障用车0辆，执法执勤用车0辆，特种专业技术用车4辆，离退休干部用车0辆，其他用车0辆。单位价值100万元（含）以上设备（不含车辆）0台（套）。</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w:t>
      </w:r>
      <w:r>
        <w:rPr>
          <w:rFonts w:hint="eastAsia" w:ascii="Times New Roman" w:hAnsi="Times New Roman" w:eastAsia="仿宋_GB2312" w:cs="Times New Roman"/>
          <w:color w:val="auto"/>
          <w:kern w:val="2"/>
          <w:sz w:val="32"/>
          <w:szCs w:val="32"/>
          <w:lang w:val="en-US" w:eastAsia="zh-CN" w:bidi="ar-SA"/>
        </w:rPr>
        <w:t>部门</w:t>
      </w:r>
      <w:r>
        <w:rPr>
          <w:rFonts w:hint="default" w:ascii="Times New Roman" w:hAnsi="Times New Roman" w:eastAsia="仿宋_GB2312" w:cs="Times New Roman"/>
          <w:color w:val="auto"/>
          <w:kern w:val="2"/>
          <w:sz w:val="32"/>
          <w:szCs w:val="32"/>
          <w:lang w:val="zh-CN" w:eastAsia="zh-CN" w:bidi="ar-SA"/>
        </w:rPr>
        <w:t>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78</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宋体" w:cs="Times New Roman"/>
          <w:i w:val="0"/>
          <w:iCs w:val="0"/>
          <w:color w:val="000000"/>
          <w:sz w:val="32"/>
          <w:szCs w:val="32"/>
          <w:highlight w:val="none"/>
          <w:u w:val="none"/>
          <w:lang w:val="en-US" w:eastAsia="zh-CN"/>
        </w:rPr>
        <w:t>5,265.66</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%。组织对2023年度</w:t>
      </w:r>
      <w:r>
        <w:rPr>
          <w:rFonts w:hint="eastAsia" w:ascii="仿宋_GB2312" w:hAnsi="仿宋_GB2312" w:eastAsia="仿宋_GB2312" w:cs="仿宋_GB2312"/>
          <w:sz w:val="32"/>
          <w:szCs w:val="32"/>
        </w:rPr>
        <w:t>民办养老机构建设及床位运营补贴资金</w:t>
      </w:r>
      <w:r>
        <w:rPr>
          <w:rFonts w:hint="default" w:ascii="Times New Roman" w:hAnsi="Times New Roman" w:eastAsia="仿宋_GB2312" w:cs="Times New Roman"/>
          <w:color w:val="auto"/>
          <w:kern w:val="2"/>
          <w:sz w:val="32"/>
          <w:szCs w:val="32"/>
          <w:lang w:val="zh-CN" w:eastAsia="zh-CN" w:bidi="ar-SA"/>
        </w:rPr>
        <w:t>、</w:t>
      </w:r>
      <w:r>
        <w:rPr>
          <w:rFonts w:hint="eastAsia" w:ascii="仿宋" w:hAnsi="仿宋" w:eastAsia="仿宋"/>
          <w:sz w:val="32"/>
          <w:szCs w:val="32"/>
          <w:lang w:val="en-US" w:eastAsia="zh-CN"/>
        </w:rPr>
        <w:t>省级财政养老服务体系建设经费预算</w:t>
      </w:r>
      <w:r>
        <w:rPr>
          <w:rFonts w:hint="eastAsia" w:ascii="仿宋" w:hAnsi="仿宋" w:eastAsia="仿宋"/>
          <w:sz w:val="32"/>
          <w:szCs w:val="32"/>
        </w:rPr>
        <w:t>项目</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zh-CN" w:eastAsia="zh-CN" w:bidi="ar-SA"/>
        </w:rPr>
        <w:t>个政府性基金预算项目支出开展绩效自评，共涉及资金</w:t>
      </w:r>
      <w:r>
        <w:rPr>
          <w:rFonts w:hint="default" w:ascii="Times New Roman" w:hAnsi="Times New Roman" w:eastAsia="宋体" w:cs="Times New Roman"/>
          <w:i w:val="0"/>
          <w:iCs w:val="0"/>
          <w:color w:val="000000"/>
          <w:sz w:val="32"/>
          <w:szCs w:val="32"/>
          <w:highlight w:val="none"/>
          <w:u w:val="none"/>
          <w:lang w:val="en-US" w:eastAsia="zh-CN"/>
        </w:rPr>
        <w:t>1,</w:t>
      </w:r>
      <w:r>
        <w:rPr>
          <w:rFonts w:hint="eastAsia" w:ascii="Times New Roman" w:hAnsi="Times New Roman" w:eastAsia="宋体" w:cs="Times New Roman"/>
          <w:i w:val="0"/>
          <w:iCs w:val="0"/>
          <w:color w:val="000000"/>
          <w:sz w:val="32"/>
          <w:szCs w:val="32"/>
          <w:highlight w:val="none"/>
          <w:u w:val="none"/>
          <w:lang w:val="en-US" w:eastAsia="zh-CN"/>
        </w:rPr>
        <w:t>329.95</w:t>
      </w:r>
      <w:r>
        <w:rPr>
          <w:rFonts w:hint="default" w:ascii="Times New Roman" w:hAnsi="Times New Roman" w:eastAsia="仿宋_GB2312" w:cs="Times New Roman"/>
          <w:color w:val="auto"/>
          <w:kern w:val="2"/>
          <w:sz w:val="32"/>
          <w:szCs w:val="32"/>
          <w:lang w:val="zh-CN" w:eastAsia="zh-CN" w:bidi="ar-SA"/>
        </w:rPr>
        <w:t>万元，占政府性基金预算项目支出总额的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个国有资本经营预算项目支出开展绩效自评，共涉及资金</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万元，占国有资本经营预算项目支出总额的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Arial" w:cs="Times New Roman"/>
          <w:highlight w:val="none"/>
          <w:lang w:val="en-US"/>
        </w:rPr>
      </w:pPr>
      <w:r>
        <w:rPr>
          <w:rFonts w:hint="default" w:ascii="Times New Roman" w:hAnsi="Times New Roman" w:eastAsia="仿宋_GB2312" w:cs="Times New Roman"/>
          <w:color w:val="auto"/>
          <w:kern w:val="2"/>
          <w:sz w:val="32"/>
          <w:szCs w:val="32"/>
          <w:lang w:val="zh-CN" w:eastAsia="zh-CN" w:bidi="ar-SA"/>
        </w:rPr>
        <w:t>组织对</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城乡最低生活保障”</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sz w:val="32"/>
          <w:szCs w:val="32"/>
        </w:rPr>
        <w:t>民办养老机构建设及床位运营补贴资金</w:t>
      </w:r>
      <w:r>
        <w:rPr>
          <w:rFonts w:hint="default" w:ascii="Times New Roman" w:hAnsi="Times New Roman" w:eastAsia="仿宋_GB2312" w:cs="Times New Roman"/>
          <w:color w:val="auto"/>
          <w:kern w:val="2"/>
          <w:sz w:val="32"/>
          <w:szCs w:val="32"/>
          <w:lang w:val="zh-CN" w:eastAsia="zh-CN" w:bidi="ar-SA"/>
        </w:rPr>
        <w:t>”“</w:t>
      </w:r>
      <w:r>
        <w:rPr>
          <w:rFonts w:hint="eastAsia" w:ascii="仿宋" w:hAnsi="仿宋" w:eastAsia="仿宋"/>
          <w:sz w:val="32"/>
          <w:szCs w:val="32"/>
          <w:lang w:val="en-US" w:eastAsia="zh-CN"/>
        </w:rPr>
        <w:t>省级财政养老服务体系建设经费</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90</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宋体" w:cs="Times New Roman"/>
          <w:i w:val="0"/>
          <w:iCs w:val="0"/>
          <w:color w:val="000000"/>
          <w:sz w:val="32"/>
          <w:szCs w:val="32"/>
          <w:highlight w:val="none"/>
          <w:u w:val="none"/>
          <w:lang w:val="en-US" w:eastAsia="zh-CN"/>
        </w:rPr>
        <w:t>5,265.66</w:t>
      </w:r>
      <w:r>
        <w:rPr>
          <w:rFonts w:hint="default" w:ascii="Times New Roman" w:hAnsi="Times New Roman" w:eastAsia="仿宋_GB2312" w:cs="Times New Roman"/>
          <w:color w:val="auto"/>
          <w:kern w:val="2"/>
          <w:sz w:val="32"/>
          <w:szCs w:val="32"/>
          <w:lang w:val="zh-CN" w:eastAsia="zh-CN" w:bidi="ar-SA"/>
        </w:rPr>
        <w:t>万元，政府性基金预算支出</w:t>
      </w:r>
      <w:r>
        <w:rPr>
          <w:rFonts w:hint="default" w:ascii="Times New Roman" w:hAnsi="Times New Roman" w:eastAsia="宋体" w:cs="Times New Roman"/>
          <w:i w:val="0"/>
          <w:iCs w:val="0"/>
          <w:color w:val="000000"/>
          <w:sz w:val="32"/>
          <w:szCs w:val="32"/>
          <w:highlight w:val="none"/>
          <w:u w:val="none"/>
          <w:lang w:val="en-US" w:eastAsia="zh-CN"/>
        </w:rPr>
        <w:t>1,</w:t>
      </w:r>
      <w:r>
        <w:rPr>
          <w:rFonts w:hint="eastAsia" w:ascii="Times New Roman" w:hAnsi="Times New Roman" w:eastAsia="宋体" w:cs="Times New Roman"/>
          <w:i w:val="0"/>
          <w:iCs w:val="0"/>
          <w:color w:val="000000"/>
          <w:sz w:val="32"/>
          <w:szCs w:val="32"/>
          <w:highlight w:val="none"/>
          <w:u w:val="none"/>
          <w:lang w:val="en-US" w:eastAsia="zh-CN"/>
        </w:rPr>
        <w:t>329.95</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en-US" w:eastAsia="zh-CN" w:bidi="ar-SA"/>
        </w:rPr>
        <w:t>能够兜牢困难群众基本生活保障，健全养老服务体系建设，达到预期目标。</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val="en-US" w:eastAsia="zh-CN"/>
        </w:rPr>
        <w:t>部门</w:t>
      </w:r>
      <w:r>
        <w:rPr>
          <w:rFonts w:hint="default" w:ascii="Times New Roman" w:hAnsi="Times New Roman" w:eastAsia="仿宋_GB2312" w:cs="Times New Roman"/>
          <w:b/>
          <w:bCs/>
          <w:sz w:val="32"/>
          <w:szCs w:val="32"/>
        </w:rPr>
        <w:t>决算中项目绩效自评结果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项目及民办养老机构建设及床位运营补贴资金项目等</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个项目绩效自评结果。</w:t>
      </w:r>
    </w:p>
    <w:p>
      <w:pPr>
        <w:numPr>
          <w:ilvl w:val="0"/>
          <w:numId w:val="3"/>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98.03</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735.8185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734.857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99.87%</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依据相关政策共设定评价指标13项，设定产出指标10项，全年享受高龄津贴老人共计118092人次，实际达到预期得分10.03分，高龄老人基本生活保障率预期值100%，实际完成值100%得分4分，高龄老人补助资金及时发放率预期值100%，实际完成值100%得分4分，80-89周岁老人补贴资金发放标准预期值60元/人/月，90-99周岁老人补贴资金发放标准预期值100元/人/月，100周岁老人补贴资金发放标准预期值500元/人/月，实际完成值100%得分20分，预算执行率99.87%实际得分10分，服务对象满意度指标预期值95.0%，实际完成值95.0%得分10分，</w:t>
      </w:r>
      <w:r>
        <w:rPr>
          <w:rFonts w:hint="eastAsia" w:ascii="仿宋_GB2312" w:hAnsi="仿宋_GB2312" w:eastAsia="仿宋_GB2312" w:cs="仿宋_GB2312"/>
          <w:i w:val="0"/>
          <w:color w:val="000000"/>
          <w:kern w:val="0"/>
          <w:sz w:val="32"/>
          <w:szCs w:val="32"/>
          <w:u w:val="none"/>
          <w:lang w:val="en-US" w:eastAsia="zh-CN" w:bidi="ar"/>
        </w:rPr>
        <w:t>通过给80-100周岁以上老人发放高龄津贴资金，保障我区老年人的基本生活，提升老年人的生活水平。</w:t>
      </w:r>
    </w:p>
    <w:p>
      <w:pPr>
        <w:numPr>
          <w:ilvl w:val="0"/>
          <w:numId w:val="3"/>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民办养老机构建设及床位运营补贴资金项目自评综述：根据年初设定的绩效目标，民办养老机构建设及床位运营补贴资金项目绩效自评得分为</w:t>
      </w:r>
      <w:r>
        <w:rPr>
          <w:rFonts w:hint="eastAsia" w:ascii="仿宋_GB2312" w:hAnsi="仿宋_GB2312" w:eastAsia="仿宋_GB2312" w:cs="仿宋_GB2312"/>
          <w:sz w:val="32"/>
          <w:szCs w:val="32"/>
          <w:lang w:val="en-US" w:eastAsia="zh-CN"/>
        </w:rPr>
        <w:t>99.8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65.82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65.7212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99.85%</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通过给15家机构发放床位运营补贴及养老机构发放建设补助，吸引社会资本投入我区养老服务业</w:t>
      </w:r>
      <w:r>
        <w:rPr>
          <w:rFonts w:hint="eastAsia" w:ascii="仿宋_GB2312" w:hAnsi="仿宋_GB2312" w:eastAsia="仿宋_GB2312" w:cs="仿宋_GB2312"/>
          <w:i w:val="0"/>
          <w:color w:val="000000"/>
          <w:kern w:val="0"/>
          <w:sz w:val="32"/>
          <w:szCs w:val="32"/>
          <w:u w:val="none"/>
          <w:lang w:val="en-US" w:eastAsia="zh-CN" w:bidi="ar"/>
        </w:rPr>
        <w:t>。</w:t>
      </w:r>
    </w:p>
    <w:p>
      <w:pPr>
        <w:numPr>
          <w:ilvl w:val="0"/>
          <w:numId w:val="3"/>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取消殡葬收费补助</w:t>
      </w:r>
      <w:r>
        <w:rPr>
          <w:rFonts w:hint="default" w:ascii="Times New Roman" w:hAnsi="Times New Roman" w:eastAsia="仿宋_GB2312" w:cs="Times New Roman"/>
          <w:color w:val="auto"/>
          <w:kern w:val="2"/>
          <w:sz w:val="32"/>
          <w:szCs w:val="32"/>
          <w:lang w:val="zh-CN" w:eastAsia="zh-CN" w:bidi="ar-SA"/>
        </w:rPr>
        <w:t>项目绩效自评情况：根据年初设定的绩效目标，</w:t>
      </w:r>
      <w:r>
        <w:rPr>
          <w:rFonts w:hint="eastAsia" w:ascii="仿宋_GB2312" w:hAnsi="仿宋_GB2312" w:eastAsia="仿宋_GB2312" w:cs="仿宋_GB2312"/>
          <w:sz w:val="32"/>
          <w:szCs w:val="32"/>
        </w:rPr>
        <w:t>取消殡葬收费补助</w:t>
      </w:r>
      <w:r>
        <w:rPr>
          <w:rFonts w:hint="default" w:ascii="Times New Roman" w:hAnsi="Times New Roman" w:eastAsia="仿宋_GB2312" w:cs="Times New Roman"/>
          <w:color w:val="auto"/>
          <w:kern w:val="2"/>
          <w:sz w:val="32"/>
          <w:szCs w:val="32"/>
          <w:lang w:val="zh-CN" w:eastAsia="zh-CN" w:bidi="ar-SA"/>
        </w:rPr>
        <w:t>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136.76</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136.76</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仿宋_GB2312" w:hAnsi="仿宋_GB2312" w:eastAsia="仿宋_GB2312" w:cs="仿宋_GB2312"/>
          <w:sz w:val="32"/>
          <w:szCs w:val="32"/>
          <w:highlight w:val="none"/>
        </w:rPr>
        <w:t>通过项目实施</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lang w:val="en-US" w:eastAsia="zh-CN"/>
        </w:rPr>
        <w:t>了年初设定绩效目标，完成</w:t>
      </w:r>
      <w:r>
        <w:rPr>
          <w:rFonts w:hint="eastAsia" w:ascii="仿宋_GB2312" w:hAnsi="仿宋_GB2312" w:eastAsia="仿宋_GB2312" w:cs="仿宋_GB2312"/>
          <w:sz w:val="32"/>
          <w:szCs w:val="32"/>
          <w:highlight w:val="none"/>
        </w:rPr>
        <w:t>免除普通平板式火化炉遗体火化费；</w:t>
      </w:r>
      <w:r>
        <w:rPr>
          <w:rFonts w:hint="eastAsia" w:ascii="仿宋_GB2312" w:hAnsi="仿宋_GB2312" w:eastAsia="仿宋_GB2312" w:cs="仿宋_GB2312"/>
          <w:sz w:val="32"/>
          <w:szCs w:val="32"/>
          <w:lang w:val="en-US" w:eastAsia="zh-CN"/>
        </w:rPr>
        <w:t>完成</w:t>
      </w:r>
      <w:r>
        <w:rPr>
          <w:rFonts w:hint="eastAsia" w:ascii="仿宋_GB2312" w:hAnsi="仿宋_GB2312" w:eastAsia="仿宋_GB2312" w:cs="仿宋_GB2312"/>
          <w:sz w:val="32"/>
          <w:szCs w:val="32"/>
          <w:highlight w:val="none"/>
        </w:rPr>
        <w:t>免除普通殡仪车遗体接尸费；</w:t>
      </w:r>
      <w:r>
        <w:rPr>
          <w:rFonts w:hint="eastAsia" w:ascii="仿宋_GB2312" w:hAnsi="仿宋_GB2312" w:eastAsia="仿宋_GB2312" w:cs="仿宋_GB2312"/>
          <w:sz w:val="32"/>
          <w:szCs w:val="32"/>
          <w:lang w:val="en-US" w:eastAsia="zh-CN"/>
        </w:rPr>
        <w:t>完成</w:t>
      </w:r>
      <w:r>
        <w:rPr>
          <w:rFonts w:hint="eastAsia" w:ascii="仿宋_GB2312" w:hAnsi="仿宋_GB2312" w:eastAsia="仿宋_GB2312" w:cs="仿宋_GB2312"/>
          <w:sz w:val="32"/>
          <w:szCs w:val="32"/>
          <w:highlight w:val="none"/>
        </w:rPr>
        <w:t>普通遗体冷藏柜费用（免费保存遗体不超过5天，仅限鹿泉市殡仪馆内）；</w:t>
      </w:r>
      <w:r>
        <w:rPr>
          <w:rFonts w:hint="eastAsia" w:ascii="仿宋_GB2312" w:hAnsi="仿宋_GB2312" w:eastAsia="仿宋_GB2312" w:cs="仿宋_GB2312"/>
          <w:sz w:val="32"/>
          <w:szCs w:val="32"/>
          <w:lang w:val="en-US" w:eastAsia="zh-CN"/>
        </w:rPr>
        <w:t>完成</w:t>
      </w:r>
      <w:r>
        <w:rPr>
          <w:rFonts w:hint="eastAsia" w:ascii="仿宋_GB2312" w:hAnsi="仿宋_GB2312" w:eastAsia="仿宋_GB2312" w:cs="仿宋_GB2312"/>
          <w:sz w:val="32"/>
          <w:szCs w:val="32"/>
          <w:highlight w:val="none"/>
        </w:rPr>
        <w:t>对市内烈士遗属、省级以上劳模、低保户、五保户、百岁老人死亡后，免除三项基本殡葬服务费用</w:t>
      </w:r>
      <w:r>
        <w:rPr>
          <w:rFonts w:hint="eastAsia" w:ascii="仿宋_GB2312" w:hAnsi="仿宋_GB2312" w:eastAsia="仿宋_GB2312" w:cs="仿宋_GB2312"/>
          <w:sz w:val="32"/>
          <w:szCs w:val="32"/>
          <w:highlight w:val="none"/>
          <w:lang w:eastAsia="zh-CN"/>
        </w:rPr>
        <w:t>的目标，未</w:t>
      </w:r>
      <w:r>
        <w:rPr>
          <w:rFonts w:hint="eastAsia" w:ascii="仿宋_GB2312" w:hAnsi="仿宋_GB2312" w:eastAsia="仿宋_GB2312" w:cs="仿宋_GB2312"/>
          <w:sz w:val="32"/>
          <w:szCs w:val="32"/>
          <w:highlight w:val="none"/>
        </w:rPr>
        <w:t>发现问题。</w:t>
      </w:r>
    </w:p>
    <w:p>
      <w:pPr>
        <w:numPr>
          <w:ilvl w:val="0"/>
          <w:numId w:val="3"/>
        </w:numPr>
        <w:adjustRightInd w:val="0"/>
        <w:snapToGrid w:val="0"/>
        <w:spacing w:line="580" w:lineRule="exact"/>
        <w:ind w:left="0" w:leftChars="0"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惠民政策</w:t>
      </w:r>
      <w:r>
        <w:rPr>
          <w:rFonts w:hint="eastAsia" w:ascii="仿宋_GB2312" w:hAnsi="仿宋_GB2312" w:eastAsia="仿宋_GB2312" w:cs="仿宋_GB2312"/>
          <w:sz w:val="32"/>
          <w:szCs w:val="32"/>
        </w:rPr>
        <w:t>鹿泉居民骨灰盒项目绩效自评</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惠民政策</w:t>
      </w:r>
      <w:r>
        <w:rPr>
          <w:rFonts w:hint="eastAsia" w:ascii="仿宋_GB2312" w:hAnsi="仿宋_GB2312" w:eastAsia="仿宋_GB2312" w:cs="仿宋_GB2312"/>
          <w:sz w:val="32"/>
          <w:szCs w:val="32"/>
        </w:rPr>
        <w:t>鹿泉居民骨灰盒项目绩效自评得</w:t>
      </w:r>
      <w:r>
        <w:rPr>
          <w:rFonts w:hint="eastAsia" w:ascii="仿宋_GB2312" w:hAnsi="仿宋_GB2312" w:eastAsia="仿宋_GB2312" w:cs="仿宋_GB2312"/>
          <w:color w:val="auto"/>
          <w:sz w:val="32"/>
          <w:szCs w:val="32"/>
        </w:rPr>
        <w:t>分为</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分</w:t>
      </w:r>
      <w:r>
        <w:rPr>
          <w:rFonts w:hint="eastAsia" w:ascii="仿宋_GB2312" w:hAnsi="仿宋_GB2312" w:eastAsia="仿宋_GB2312" w:cs="仿宋_GB2312"/>
          <w:sz w:val="32"/>
          <w:szCs w:val="32"/>
        </w:rPr>
        <w:t>（绩效自评表附后）。全年预算数为</w:t>
      </w:r>
      <w:r>
        <w:rPr>
          <w:rFonts w:hint="eastAsia" w:ascii="仿宋_GB2312" w:hAnsi="仿宋_GB2312" w:eastAsia="仿宋_GB2312" w:cs="仿宋_GB2312"/>
          <w:sz w:val="32"/>
          <w:szCs w:val="32"/>
          <w:lang w:val="en-US" w:eastAsia="zh-CN"/>
        </w:rPr>
        <w:t>94.27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94.27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lang w:val="en-US" w:eastAsia="zh-CN"/>
        </w:rPr>
        <w:t>了年初设定绩效目标，</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rPr>
        <w:t>对户籍在鹿泉内的城乡居（村）民免费赠送一个普通骨灰盒</w:t>
      </w:r>
      <w:r>
        <w:rPr>
          <w:rFonts w:hint="eastAsia" w:ascii="仿宋_GB2312" w:hAnsi="仿宋_GB2312" w:eastAsia="仿宋_GB2312" w:cs="仿宋_GB2312"/>
          <w:sz w:val="32"/>
          <w:szCs w:val="32"/>
          <w:lang w:eastAsia="zh-CN"/>
        </w:rPr>
        <w:t>的目标，未发现问题。</w:t>
      </w:r>
    </w:p>
    <w:p>
      <w:pPr>
        <w:widowControl w:val="0"/>
        <w:numPr>
          <w:ilvl w:val="0"/>
          <w:numId w:val="0"/>
        </w:numPr>
        <w:adjustRightInd w:val="0"/>
        <w:snapToGrid w:val="0"/>
        <w:spacing w:line="58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）收费业务费</w:t>
      </w:r>
      <w:r>
        <w:rPr>
          <w:rFonts w:hint="eastAsia" w:ascii="仿宋_GB2312" w:hAnsi="仿宋_GB2312" w:eastAsia="仿宋_GB2312" w:cs="仿宋_GB2312"/>
          <w:sz w:val="32"/>
          <w:szCs w:val="32"/>
        </w:rPr>
        <w:t>项目绩效自评</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收费业务费</w:t>
      </w:r>
      <w:r>
        <w:rPr>
          <w:rFonts w:hint="eastAsia" w:ascii="仿宋_GB2312" w:hAnsi="仿宋_GB2312" w:eastAsia="仿宋_GB2312" w:cs="仿宋_GB2312"/>
          <w:sz w:val="32"/>
          <w:szCs w:val="32"/>
        </w:rPr>
        <w:t>项目绩效自评得</w:t>
      </w:r>
      <w:r>
        <w:rPr>
          <w:rFonts w:hint="eastAsia" w:ascii="仿宋_GB2312" w:hAnsi="仿宋_GB2312" w:eastAsia="仿宋_GB2312" w:cs="仿宋_GB2312"/>
          <w:color w:val="auto"/>
          <w:sz w:val="32"/>
          <w:szCs w:val="32"/>
        </w:rPr>
        <w:t>分为</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分（</w:t>
      </w:r>
      <w:r>
        <w:rPr>
          <w:rFonts w:hint="eastAsia" w:ascii="仿宋_GB2312" w:hAnsi="仿宋_GB2312" w:eastAsia="仿宋_GB2312" w:cs="仿宋_GB2312"/>
          <w:sz w:val="32"/>
          <w:szCs w:val="32"/>
        </w:rPr>
        <w:t>绩效自评表附后）。全年预算数为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highlight w:val="none"/>
        </w:rPr>
        <w:t>殡葬服务收费，保障殡仪馆业务生产活动的正常进行。</w:t>
      </w:r>
    </w:p>
    <w:p>
      <w:pPr>
        <w:adjustRightInd w:val="0"/>
        <w:snapToGrid w:val="0"/>
        <w:spacing w:line="580" w:lineRule="exact"/>
        <w:ind w:firstLine="640" w:firstLineChars="200"/>
        <w:rPr>
          <w:rFonts w:hint="default" w:ascii="仿宋_GB2312" w:hAnsi="仿宋_GB2312" w:eastAsia="仿宋_GB2312" w:cs="仿宋_GB2312"/>
          <w:sz w:val="32"/>
          <w:szCs w:val="32"/>
          <w:highlight w:val="none"/>
          <w:lang w:val="en-US"/>
        </w:rPr>
      </w:pPr>
      <w:r>
        <w:rPr>
          <w:rFonts w:hint="eastAsia" w:ascii="仿宋_GB2312" w:hAnsi="仿宋_GB2312" w:cs="仿宋_GB2312"/>
          <w:sz w:val="32"/>
          <w:szCs w:val="32"/>
          <w:lang w:eastAsia="zh-CN"/>
        </w:rPr>
        <w:t>（</w:t>
      </w:r>
      <w:r>
        <w:rPr>
          <w:rFonts w:hint="eastAsia" w:ascii="仿宋_GB2312" w:hAnsi="仿宋_GB2312" w:cs="仿宋_GB2312"/>
          <w:sz w:val="32"/>
          <w:szCs w:val="32"/>
          <w:lang w:val="en-US" w:eastAsia="zh-CN"/>
        </w:rPr>
        <w:t>6</w:t>
      </w:r>
      <w:r>
        <w:rPr>
          <w:rFonts w:hint="eastAsia" w:ascii="仿宋_GB2312" w:hAnsi="仿宋_GB2312" w:cs="仿宋_GB2312"/>
          <w:sz w:val="32"/>
          <w:szCs w:val="32"/>
          <w:lang w:eastAsia="zh-CN"/>
        </w:rPr>
        <w:t>）</w:t>
      </w:r>
      <w:r>
        <w:rPr>
          <w:rFonts w:hint="eastAsia" w:ascii="仿宋_GB2312" w:hAnsi="仿宋_GB2312" w:eastAsia="仿宋_GB2312" w:cs="仿宋_GB2312"/>
          <w:sz w:val="32"/>
          <w:szCs w:val="32"/>
          <w:lang w:eastAsia="zh-CN"/>
        </w:rPr>
        <w:t>除尘设备维护费</w:t>
      </w:r>
      <w:r>
        <w:rPr>
          <w:rFonts w:hint="eastAsia" w:ascii="仿宋_GB2312" w:hAnsi="仿宋_GB2312" w:eastAsia="仿宋_GB2312" w:cs="仿宋_GB2312"/>
          <w:sz w:val="32"/>
          <w:szCs w:val="32"/>
        </w:rPr>
        <w:t>项目绩效自评</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除尘设备维护费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9.684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9.684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完成更换2台火化炉滤芯和1台焚烧炉滤芯；完成更换后的2台火化炉和1台焚烧炉尾气处理污染物的排放标准达到GB13801-2015标准；排放无黑烟，达到林格曼0级；二噁英的排放符合国家标准要求。</w:t>
      </w:r>
    </w:p>
    <w:p>
      <w:pPr>
        <w:widowControl w:val="0"/>
        <w:numPr>
          <w:ilvl w:val="0"/>
          <w:numId w:val="0"/>
        </w:numPr>
        <w:adjustRightInd w:val="0"/>
        <w:snapToGrid w:val="0"/>
        <w:spacing w:line="58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eastAsia="zh-CN"/>
        </w:rPr>
        <w:t>（</w:t>
      </w:r>
      <w:r>
        <w:rPr>
          <w:rFonts w:hint="eastAsia" w:ascii="仿宋_GB2312" w:hAnsi="仿宋_GB2312" w:cs="仿宋_GB2312"/>
          <w:sz w:val="32"/>
          <w:szCs w:val="32"/>
          <w:lang w:val="en-US" w:eastAsia="zh-CN"/>
        </w:rPr>
        <w:t>7</w:t>
      </w:r>
      <w:r>
        <w:rPr>
          <w:rFonts w:hint="eastAsia" w:ascii="仿宋_GB2312" w:hAnsi="仿宋_GB2312" w:cs="仿宋_GB2312"/>
          <w:sz w:val="32"/>
          <w:szCs w:val="32"/>
          <w:lang w:eastAsia="zh-CN"/>
        </w:rPr>
        <w:t>）</w:t>
      </w:r>
      <w:r>
        <w:rPr>
          <w:rFonts w:hint="eastAsia" w:ascii="仿宋_GB2312" w:hAnsi="仿宋_GB2312" w:eastAsia="仿宋_GB2312" w:cs="仿宋_GB2312"/>
          <w:sz w:val="32"/>
          <w:szCs w:val="32"/>
          <w:lang w:val="en-US" w:eastAsia="zh-CN"/>
        </w:rPr>
        <w:t>石财预【2023】14号关于下达疫情防控财力补助资金的通知-殡葬行业一线从业人员补助</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val="en-US" w:eastAsia="zh-CN"/>
        </w:rPr>
        <w:t>2023年追加项目</w:t>
      </w:r>
      <w:r>
        <w:rPr>
          <w:rFonts w:hint="eastAsia" w:ascii="仿宋_GB2312" w:hAnsi="仿宋_GB2312" w:eastAsia="仿宋_GB2312" w:cs="仿宋_GB2312"/>
          <w:sz w:val="32"/>
          <w:szCs w:val="32"/>
        </w:rPr>
        <w:t>设定的绩效目标，</w:t>
      </w:r>
      <w:r>
        <w:rPr>
          <w:rFonts w:hint="eastAsia" w:ascii="仿宋_GB2312" w:hAnsi="仿宋_GB2312" w:eastAsia="仿宋_GB2312" w:cs="仿宋_GB2312"/>
          <w:sz w:val="32"/>
          <w:szCs w:val="32"/>
          <w:lang w:val="en-US" w:eastAsia="zh-CN"/>
        </w:rPr>
        <w:t>该项目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分</w:t>
      </w:r>
      <w:r>
        <w:rPr>
          <w:rFonts w:hint="eastAsia" w:ascii="仿宋_GB2312" w:hAnsi="仿宋_GB2312" w:eastAsia="仿宋_GB2312" w:cs="仿宋_GB2312"/>
          <w:sz w:val="32"/>
          <w:szCs w:val="32"/>
        </w:rPr>
        <w:t>（绩效自评表附后）。全年预算数为</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完成殡葬服务保障，实现疫情防控平稳转段和社会秩序稳定重要作用。</w:t>
      </w:r>
    </w:p>
    <w:p>
      <w:pPr>
        <w:pStyle w:val="2"/>
        <w:ind w:left="0" w:leftChars="0"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8）</w:t>
      </w:r>
      <w:r>
        <w:rPr>
          <w:rFonts w:hint="eastAsia" w:ascii="仿宋_GB2312" w:hAnsi="仿宋_GB2312" w:eastAsia="仿宋_GB2312" w:cs="仿宋_GB2312"/>
          <w:color w:val="auto"/>
          <w:kern w:val="2"/>
          <w:sz w:val="32"/>
          <w:szCs w:val="32"/>
          <w:lang w:val="zh-CN" w:eastAsia="zh-CN" w:bidi="ar-SA"/>
        </w:rPr>
        <w:t>福利彩票销售管理中心人员工资社保补助资金</w:t>
      </w:r>
      <w:r>
        <w:rPr>
          <w:rFonts w:hint="default" w:ascii="Times New Roman" w:hAnsi="Times New Roman" w:eastAsia="仿宋_GB2312" w:cs="Times New Roman"/>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2023福利彩票销售管理中心人员工资社保补助资金</w:t>
      </w:r>
      <w:r>
        <w:rPr>
          <w:rFonts w:hint="default" w:ascii="Times New Roman" w:hAnsi="Times New Roman" w:eastAsia="仿宋_GB2312" w:cs="Times New Roman"/>
          <w:color w:val="auto"/>
          <w:kern w:val="2"/>
          <w:sz w:val="32"/>
          <w:szCs w:val="32"/>
          <w:lang w:val="zh-CN" w:eastAsia="zh-CN" w:bidi="ar-SA"/>
        </w:rPr>
        <w:t>项目绩效自评得分</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88.97</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88.97</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sz w:val="32"/>
          <w:szCs w:val="32"/>
        </w:rPr>
        <w:t>绩效目标全部完成</w:t>
      </w:r>
      <w:r>
        <w:rPr>
          <w:rFonts w:hint="eastAsia" w:ascii="仿宋_GB2312" w:hAnsi="仿宋_GB2312" w:eastAsia="仿宋_GB2312" w:cs="仿宋_GB2312"/>
          <w:sz w:val="32"/>
          <w:szCs w:val="32"/>
          <w:lang w:eastAsia="zh-CN"/>
        </w:rPr>
        <w:t>。</w:t>
      </w:r>
    </w:p>
    <w:p>
      <w:pPr>
        <w:pStyle w:val="2"/>
        <w:ind w:left="0" w:leftChars="0" w:firstLine="640" w:firstLineChars="200"/>
        <w:rPr>
          <w:rFonts w:hint="default"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9</w:t>
      </w:r>
      <w:r>
        <w:rPr>
          <w:rFonts w:hint="eastAsia" w:ascii="仿宋_GB2312" w:hAnsi="仿宋_GB2312" w:eastAsia="仿宋_GB2312" w:cs="仿宋_GB2312"/>
          <w:color w:val="auto"/>
          <w:kern w:val="2"/>
          <w:sz w:val="32"/>
          <w:szCs w:val="32"/>
          <w:lang w:val="zh-CN" w:eastAsia="zh-CN" w:bidi="ar-SA"/>
        </w:rPr>
        <w:t>）石财社【2021】101号关于提前下达2022年中央财政困难群众基本生活救助补助资金的通知-孤儿基本生活费</w:t>
      </w:r>
      <w:r>
        <w:rPr>
          <w:rFonts w:hint="default" w:ascii="仿宋_GB2312" w:hAnsi="仿宋_GB2312" w:eastAsia="仿宋_GB2312" w:cs="仿宋_GB2312"/>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该</w:t>
      </w:r>
      <w:r>
        <w:rPr>
          <w:rFonts w:hint="default"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94.5</w:t>
      </w:r>
      <w:r>
        <w:rPr>
          <w:rFonts w:hint="default"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7.47</w:t>
      </w:r>
      <w:r>
        <w:rPr>
          <w:rFonts w:hint="default"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7.47</w:t>
      </w:r>
      <w:r>
        <w:rPr>
          <w:rFonts w:hint="default"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100</w:t>
      </w:r>
      <w:r>
        <w:rPr>
          <w:rFonts w:hint="default" w:ascii="仿宋_GB2312" w:hAnsi="仿宋_GB2312" w:eastAsia="仿宋_GB2312" w:cs="仿宋_GB2312"/>
          <w:color w:val="auto"/>
          <w:kern w:val="2"/>
          <w:sz w:val="32"/>
          <w:szCs w:val="32"/>
          <w:lang w:val="zh-CN" w:eastAsia="zh-CN" w:bidi="ar-SA"/>
        </w:rPr>
        <w:t>%。项目绩效目标完成情况：发放查找不到生父母或视同孤儿的孤儿生活补贴，散居孤儿人数约61人,每人每月1</w:t>
      </w:r>
      <w:r>
        <w:rPr>
          <w:rFonts w:hint="eastAsia" w:ascii="仿宋_GB2312" w:hAnsi="仿宋_GB2312" w:eastAsia="仿宋_GB2312" w:cs="仿宋_GB2312"/>
          <w:color w:val="auto"/>
          <w:kern w:val="2"/>
          <w:sz w:val="32"/>
          <w:szCs w:val="32"/>
          <w:lang w:val="en-US" w:eastAsia="zh-CN" w:bidi="ar-SA"/>
        </w:rPr>
        <w:t>4</w:t>
      </w:r>
      <w:r>
        <w:rPr>
          <w:rFonts w:hint="default" w:ascii="仿宋_GB2312" w:hAnsi="仿宋_GB2312" w:eastAsia="仿宋_GB2312" w:cs="仿宋_GB2312"/>
          <w:color w:val="auto"/>
          <w:kern w:val="2"/>
          <w:sz w:val="32"/>
          <w:szCs w:val="32"/>
          <w:lang w:val="zh-CN" w:eastAsia="zh-CN" w:bidi="ar-SA"/>
        </w:rPr>
        <w:t>00元；机构孤儿人数约1</w:t>
      </w:r>
      <w:r>
        <w:rPr>
          <w:rFonts w:hint="eastAsia" w:ascii="仿宋_GB2312" w:hAnsi="仿宋_GB2312" w:eastAsia="仿宋_GB2312" w:cs="仿宋_GB2312"/>
          <w:color w:val="auto"/>
          <w:kern w:val="2"/>
          <w:sz w:val="32"/>
          <w:szCs w:val="32"/>
          <w:lang w:val="en-US" w:eastAsia="zh-CN" w:bidi="ar-SA"/>
        </w:rPr>
        <w:t>0</w:t>
      </w:r>
      <w:r>
        <w:rPr>
          <w:rFonts w:hint="default" w:ascii="仿宋_GB2312" w:hAnsi="仿宋_GB2312" w:eastAsia="仿宋_GB2312" w:cs="仿宋_GB2312"/>
          <w:color w:val="auto"/>
          <w:kern w:val="2"/>
          <w:sz w:val="32"/>
          <w:szCs w:val="32"/>
          <w:lang w:val="zh-CN" w:eastAsia="zh-CN" w:bidi="ar-SA"/>
        </w:rPr>
        <w:t>人,每人每月1</w:t>
      </w:r>
      <w:r>
        <w:rPr>
          <w:rFonts w:hint="eastAsia" w:ascii="仿宋_GB2312" w:hAnsi="仿宋_GB2312" w:eastAsia="仿宋_GB2312" w:cs="仿宋_GB2312"/>
          <w:color w:val="auto"/>
          <w:kern w:val="2"/>
          <w:sz w:val="32"/>
          <w:szCs w:val="32"/>
          <w:lang w:val="en-US" w:eastAsia="zh-CN" w:bidi="ar-SA"/>
        </w:rPr>
        <w:t>9</w:t>
      </w:r>
      <w:r>
        <w:rPr>
          <w:rFonts w:hint="default" w:ascii="仿宋_GB2312" w:hAnsi="仿宋_GB2312" w:eastAsia="仿宋_GB2312" w:cs="仿宋_GB2312"/>
          <w:color w:val="auto"/>
          <w:kern w:val="2"/>
          <w:sz w:val="32"/>
          <w:szCs w:val="32"/>
          <w:lang w:val="zh-CN" w:eastAsia="zh-CN" w:bidi="ar-SA"/>
        </w:rPr>
        <w:t>00元。通过发放生活费，让每个孤儿的生活都得到基本保障。</w:t>
      </w:r>
      <w:r>
        <w:rPr>
          <w:rFonts w:hint="default" w:ascii="仿宋_GB2312" w:hAnsi="仿宋_GB2312" w:eastAsia="仿宋_GB2312" w:cs="仿宋_GB2312"/>
          <w:color w:val="auto"/>
          <w:kern w:val="2"/>
          <w:sz w:val="32"/>
          <w:szCs w:val="32"/>
          <w:lang w:val="en-US" w:eastAsia="zh-CN" w:bidi="ar-SA"/>
        </w:rPr>
        <w:t>未发现问题。</w:t>
      </w:r>
    </w:p>
    <w:p>
      <w:pPr>
        <w:pStyle w:val="2"/>
        <w:ind w:left="0" w:leftChars="0" w:firstLine="640" w:firstLineChars="200"/>
        <w:rPr>
          <w:rFonts w:hint="eastAsia"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10</w:t>
      </w:r>
      <w:r>
        <w:rPr>
          <w:rFonts w:hint="eastAsia" w:ascii="仿宋_GB2312" w:hAnsi="仿宋_GB2312" w:eastAsia="仿宋_GB2312" w:cs="仿宋_GB2312"/>
          <w:color w:val="auto"/>
          <w:kern w:val="2"/>
          <w:sz w:val="32"/>
          <w:szCs w:val="32"/>
          <w:lang w:val="zh-CN" w:eastAsia="zh-CN" w:bidi="ar-SA"/>
        </w:rPr>
        <w:t>）石财社【2022】98号关于提前下达2023年中央财政困难群众救助补助资金预算的通知-孤儿生活费</w:t>
      </w:r>
      <w:r>
        <w:rPr>
          <w:rFonts w:hint="default" w:ascii="仿宋_GB2312" w:hAnsi="仿宋_GB2312" w:eastAsia="仿宋_GB2312" w:cs="仿宋_GB2312"/>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该</w:t>
      </w:r>
      <w:r>
        <w:rPr>
          <w:rFonts w:hint="default"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98.4</w:t>
      </w:r>
      <w:r>
        <w:rPr>
          <w:rFonts w:hint="default"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27</w:t>
      </w:r>
      <w:r>
        <w:rPr>
          <w:rFonts w:hint="default"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27</w:t>
      </w:r>
      <w:r>
        <w:rPr>
          <w:rFonts w:hint="default"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100</w:t>
      </w:r>
      <w:r>
        <w:rPr>
          <w:rFonts w:hint="default" w:ascii="仿宋_GB2312" w:hAnsi="仿宋_GB2312" w:eastAsia="仿宋_GB2312" w:cs="仿宋_GB2312"/>
          <w:color w:val="auto"/>
          <w:kern w:val="2"/>
          <w:sz w:val="32"/>
          <w:szCs w:val="32"/>
          <w:lang w:val="zh-CN" w:eastAsia="zh-CN" w:bidi="ar-SA"/>
        </w:rPr>
        <w:t>%。项目绩效目标完成情况：发放查找不到生父母或视同孤儿的孤儿生活补贴，散居孤儿人数约61人,每人每月1</w:t>
      </w:r>
      <w:r>
        <w:rPr>
          <w:rFonts w:hint="eastAsia" w:ascii="仿宋_GB2312" w:hAnsi="仿宋_GB2312" w:eastAsia="仿宋_GB2312" w:cs="仿宋_GB2312"/>
          <w:color w:val="auto"/>
          <w:kern w:val="2"/>
          <w:sz w:val="32"/>
          <w:szCs w:val="32"/>
          <w:lang w:val="en-US" w:eastAsia="zh-CN" w:bidi="ar-SA"/>
        </w:rPr>
        <w:t>4</w:t>
      </w:r>
      <w:r>
        <w:rPr>
          <w:rFonts w:hint="default" w:ascii="仿宋_GB2312" w:hAnsi="仿宋_GB2312" w:eastAsia="仿宋_GB2312" w:cs="仿宋_GB2312"/>
          <w:color w:val="auto"/>
          <w:kern w:val="2"/>
          <w:sz w:val="32"/>
          <w:szCs w:val="32"/>
          <w:lang w:val="zh-CN" w:eastAsia="zh-CN" w:bidi="ar-SA"/>
        </w:rPr>
        <w:t>00元；机构孤儿人数约1</w:t>
      </w:r>
      <w:r>
        <w:rPr>
          <w:rFonts w:hint="eastAsia" w:ascii="仿宋_GB2312" w:hAnsi="仿宋_GB2312" w:eastAsia="仿宋_GB2312" w:cs="仿宋_GB2312"/>
          <w:color w:val="auto"/>
          <w:kern w:val="2"/>
          <w:sz w:val="32"/>
          <w:szCs w:val="32"/>
          <w:lang w:val="en-US" w:eastAsia="zh-CN" w:bidi="ar-SA"/>
        </w:rPr>
        <w:t>0</w:t>
      </w:r>
      <w:r>
        <w:rPr>
          <w:rFonts w:hint="default" w:ascii="仿宋_GB2312" w:hAnsi="仿宋_GB2312" w:eastAsia="仿宋_GB2312" w:cs="仿宋_GB2312"/>
          <w:color w:val="auto"/>
          <w:kern w:val="2"/>
          <w:sz w:val="32"/>
          <w:szCs w:val="32"/>
          <w:lang w:val="zh-CN" w:eastAsia="zh-CN" w:bidi="ar-SA"/>
        </w:rPr>
        <w:t>人,每人每月1</w:t>
      </w:r>
      <w:r>
        <w:rPr>
          <w:rFonts w:hint="eastAsia" w:ascii="仿宋_GB2312" w:hAnsi="仿宋_GB2312" w:eastAsia="仿宋_GB2312" w:cs="仿宋_GB2312"/>
          <w:color w:val="auto"/>
          <w:kern w:val="2"/>
          <w:sz w:val="32"/>
          <w:szCs w:val="32"/>
          <w:lang w:val="en-US" w:eastAsia="zh-CN" w:bidi="ar-SA"/>
        </w:rPr>
        <w:t>9</w:t>
      </w:r>
      <w:r>
        <w:rPr>
          <w:rFonts w:hint="default" w:ascii="仿宋_GB2312" w:hAnsi="仿宋_GB2312" w:eastAsia="仿宋_GB2312" w:cs="仿宋_GB2312"/>
          <w:color w:val="auto"/>
          <w:kern w:val="2"/>
          <w:sz w:val="32"/>
          <w:szCs w:val="32"/>
          <w:lang w:val="zh-CN" w:eastAsia="zh-CN" w:bidi="ar-SA"/>
        </w:rPr>
        <w:t>00元。通过发放生活费，让每个孤儿的生活都得到基本保障。</w:t>
      </w:r>
      <w:r>
        <w:rPr>
          <w:rFonts w:hint="default" w:ascii="仿宋_GB2312" w:hAnsi="仿宋_GB2312" w:eastAsia="仿宋_GB2312" w:cs="仿宋_GB2312"/>
          <w:color w:val="auto"/>
          <w:kern w:val="2"/>
          <w:sz w:val="32"/>
          <w:szCs w:val="32"/>
          <w:lang w:val="en-US" w:eastAsia="zh-CN" w:bidi="ar-SA"/>
        </w:rPr>
        <w:t>未发现问题。</w:t>
      </w:r>
    </w:p>
    <w:p>
      <w:pPr>
        <w:pStyle w:val="2"/>
        <w:ind w:left="0" w:leftChars="0"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11</w:t>
      </w:r>
      <w:r>
        <w:rPr>
          <w:rFonts w:hint="eastAsia" w:ascii="仿宋_GB2312" w:hAnsi="仿宋_GB2312" w:eastAsia="仿宋_GB2312" w:cs="仿宋_GB2312"/>
          <w:color w:val="auto"/>
          <w:kern w:val="2"/>
          <w:sz w:val="32"/>
          <w:szCs w:val="32"/>
          <w:lang w:val="zh-CN" w:eastAsia="zh-CN" w:bidi="ar-SA"/>
        </w:rPr>
        <w:t>）石财社【2022】87号关于提前下达2023年省级财政困难群众基本生活补助预算的通知-孤儿生活费</w:t>
      </w:r>
      <w:r>
        <w:rPr>
          <w:rFonts w:hint="default" w:ascii="仿宋_GB2312" w:hAnsi="仿宋_GB2312" w:eastAsia="仿宋_GB2312" w:cs="仿宋_GB2312"/>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该</w:t>
      </w:r>
      <w:r>
        <w:rPr>
          <w:rFonts w:hint="default"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98.4</w:t>
      </w:r>
      <w:r>
        <w:rPr>
          <w:rFonts w:hint="default"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30</w:t>
      </w:r>
      <w:r>
        <w:rPr>
          <w:rFonts w:hint="default"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30</w:t>
      </w:r>
      <w:r>
        <w:rPr>
          <w:rFonts w:hint="default"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100</w:t>
      </w:r>
      <w:r>
        <w:rPr>
          <w:rFonts w:hint="default" w:ascii="仿宋_GB2312" w:hAnsi="仿宋_GB2312" w:eastAsia="仿宋_GB2312" w:cs="仿宋_GB2312"/>
          <w:color w:val="auto"/>
          <w:kern w:val="2"/>
          <w:sz w:val="32"/>
          <w:szCs w:val="32"/>
          <w:lang w:val="zh-CN" w:eastAsia="zh-CN" w:bidi="ar-SA"/>
        </w:rPr>
        <w:t>%。项目绩效目标完成情况：发放查找不到生父母或视同孤儿的孤儿生活补贴，散居孤儿人数约61人,每人每月1</w:t>
      </w:r>
      <w:r>
        <w:rPr>
          <w:rFonts w:hint="eastAsia" w:ascii="仿宋_GB2312" w:hAnsi="仿宋_GB2312" w:eastAsia="仿宋_GB2312" w:cs="仿宋_GB2312"/>
          <w:color w:val="auto"/>
          <w:kern w:val="2"/>
          <w:sz w:val="32"/>
          <w:szCs w:val="32"/>
          <w:lang w:val="en-US" w:eastAsia="zh-CN" w:bidi="ar-SA"/>
        </w:rPr>
        <w:t>4</w:t>
      </w:r>
      <w:r>
        <w:rPr>
          <w:rFonts w:hint="default" w:ascii="仿宋_GB2312" w:hAnsi="仿宋_GB2312" w:eastAsia="仿宋_GB2312" w:cs="仿宋_GB2312"/>
          <w:color w:val="auto"/>
          <w:kern w:val="2"/>
          <w:sz w:val="32"/>
          <w:szCs w:val="32"/>
          <w:lang w:val="zh-CN" w:eastAsia="zh-CN" w:bidi="ar-SA"/>
        </w:rPr>
        <w:t>00元；机构孤儿人数约1</w:t>
      </w:r>
      <w:r>
        <w:rPr>
          <w:rFonts w:hint="eastAsia" w:ascii="仿宋_GB2312" w:hAnsi="仿宋_GB2312" w:eastAsia="仿宋_GB2312" w:cs="仿宋_GB2312"/>
          <w:color w:val="auto"/>
          <w:kern w:val="2"/>
          <w:sz w:val="32"/>
          <w:szCs w:val="32"/>
          <w:lang w:val="en-US" w:eastAsia="zh-CN" w:bidi="ar-SA"/>
        </w:rPr>
        <w:t>0</w:t>
      </w:r>
      <w:r>
        <w:rPr>
          <w:rFonts w:hint="default" w:ascii="仿宋_GB2312" w:hAnsi="仿宋_GB2312" w:eastAsia="仿宋_GB2312" w:cs="仿宋_GB2312"/>
          <w:color w:val="auto"/>
          <w:kern w:val="2"/>
          <w:sz w:val="32"/>
          <w:szCs w:val="32"/>
          <w:lang w:val="zh-CN" w:eastAsia="zh-CN" w:bidi="ar-SA"/>
        </w:rPr>
        <w:t>人,每人每月1</w:t>
      </w:r>
      <w:r>
        <w:rPr>
          <w:rFonts w:hint="eastAsia" w:ascii="仿宋_GB2312" w:hAnsi="仿宋_GB2312" w:eastAsia="仿宋_GB2312" w:cs="仿宋_GB2312"/>
          <w:color w:val="auto"/>
          <w:kern w:val="2"/>
          <w:sz w:val="32"/>
          <w:szCs w:val="32"/>
          <w:lang w:val="en-US" w:eastAsia="zh-CN" w:bidi="ar-SA"/>
        </w:rPr>
        <w:t>9</w:t>
      </w:r>
      <w:r>
        <w:rPr>
          <w:rFonts w:hint="default" w:ascii="仿宋_GB2312" w:hAnsi="仿宋_GB2312" w:eastAsia="仿宋_GB2312" w:cs="仿宋_GB2312"/>
          <w:color w:val="auto"/>
          <w:kern w:val="2"/>
          <w:sz w:val="32"/>
          <w:szCs w:val="32"/>
          <w:lang w:val="zh-CN" w:eastAsia="zh-CN" w:bidi="ar-SA"/>
        </w:rPr>
        <w:t>00元。通过发放生活费，让每个孤儿的生活都得到基本保障。</w:t>
      </w:r>
      <w:r>
        <w:rPr>
          <w:rFonts w:hint="default" w:ascii="仿宋_GB2312" w:hAnsi="仿宋_GB2312" w:eastAsia="仿宋_GB2312" w:cs="仿宋_GB2312"/>
          <w:color w:val="auto"/>
          <w:kern w:val="2"/>
          <w:sz w:val="32"/>
          <w:szCs w:val="32"/>
          <w:lang w:val="en-US" w:eastAsia="zh-CN" w:bidi="ar-SA"/>
        </w:rPr>
        <w:t>未发现问题。</w:t>
      </w:r>
    </w:p>
    <w:p>
      <w:pPr>
        <w:pStyle w:val="2"/>
        <w:ind w:left="0" w:leftChars="0" w:firstLine="640" w:firstLineChars="200"/>
        <w:rPr>
          <w:rFonts w:hint="eastAsia"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12</w:t>
      </w:r>
      <w:r>
        <w:rPr>
          <w:rFonts w:hint="eastAsia" w:ascii="仿宋_GB2312" w:hAnsi="仿宋_GB2312" w:eastAsia="仿宋_GB2312" w:cs="仿宋_GB2312"/>
          <w:color w:val="auto"/>
          <w:kern w:val="2"/>
          <w:sz w:val="32"/>
          <w:szCs w:val="32"/>
          <w:lang w:val="zh-CN" w:eastAsia="zh-CN" w:bidi="ar-SA"/>
        </w:rPr>
        <w:t>）石财社【2022】49号关于提前下达2022年市级困难群众基本生活救助补助资金的通知-孤儿基本生活费</w:t>
      </w:r>
      <w:r>
        <w:rPr>
          <w:rFonts w:hint="default" w:ascii="仿宋_GB2312" w:hAnsi="仿宋_GB2312" w:eastAsia="仿宋_GB2312" w:cs="仿宋_GB2312"/>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该</w:t>
      </w:r>
      <w:r>
        <w:rPr>
          <w:rFonts w:hint="default"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94.5</w:t>
      </w:r>
      <w:r>
        <w:rPr>
          <w:rFonts w:hint="default"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3.15</w:t>
      </w:r>
      <w:r>
        <w:rPr>
          <w:rFonts w:hint="default"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3.15</w:t>
      </w:r>
      <w:r>
        <w:rPr>
          <w:rFonts w:hint="default"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100</w:t>
      </w:r>
      <w:r>
        <w:rPr>
          <w:rFonts w:hint="default" w:ascii="仿宋_GB2312" w:hAnsi="仿宋_GB2312" w:eastAsia="仿宋_GB2312" w:cs="仿宋_GB2312"/>
          <w:color w:val="auto"/>
          <w:kern w:val="2"/>
          <w:sz w:val="32"/>
          <w:szCs w:val="32"/>
          <w:lang w:val="zh-CN" w:eastAsia="zh-CN" w:bidi="ar-SA"/>
        </w:rPr>
        <w:t>%。项目绩效目标完成情况：发放查找不到生父母或视同孤儿的孤儿生活补贴，散居孤儿人数约6</w:t>
      </w:r>
      <w:r>
        <w:rPr>
          <w:rFonts w:hint="eastAsia" w:ascii="仿宋_GB2312" w:hAnsi="仿宋_GB2312" w:eastAsia="仿宋_GB2312" w:cs="仿宋_GB2312"/>
          <w:color w:val="auto"/>
          <w:kern w:val="2"/>
          <w:sz w:val="32"/>
          <w:szCs w:val="32"/>
          <w:lang w:val="en-US" w:eastAsia="zh-CN" w:bidi="ar-SA"/>
        </w:rPr>
        <w:t>1</w:t>
      </w:r>
      <w:r>
        <w:rPr>
          <w:rFonts w:hint="default" w:ascii="仿宋_GB2312" w:hAnsi="仿宋_GB2312" w:eastAsia="仿宋_GB2312" w:cs="仿宋_GB2312"/>
          <w:color w:val="auto"/>
          <w:kern w:val="2"/>
          <w:sz w:val="32"/>
          <w:szCs w:val="32"/>
          <w:lang w:val="zh-CN" w:eastAsia="zh-CN" w:bidi="ar-SA"/>
        </w:rPr>
        <w:t>人,每人每月1</w:t>
      </w:r>
      <w:r>
        <w:rPr>
          <w:rFonts w:hint="eastAsia" w:ascii="仿宋_GB2312" w:hAnsi="仿宋_GB2312" w:eastAsia="仿宋_GB2312" w:cs="仿宋_GB2312"/>
          <w:color w:val="auto"/>
          <w:kern w:val="2"/>
          <w:sz w:val="32"/>
          <w:szCs w:val="32"/>
          <w:lang w:val="en-US" w:eastAsia="zh-CN" w:bidi="ar-SA"/>
        </w:rPr>
        <w:t>4</w:t>
      </w:r>
      <w:r>
        <w:rPr>
          <w:rFonts w:hint="default" w:ascii="仿宋_GB2312" w:hAnsi="仿宋_GB2312" w:eastAsia="仿宋_GB2312" w:cs="仿宋_GB2312"/>
          <w:color w:val="auto"/>
          <w:kern w:val="2"/>
          <w:sz w:val="32"/>
          <w:szCs w:val="32"/>
          <w:lang w:val="zh-CN" w:eastAsia="zh-CN" w:bidi="ar-SA"/>
        </w:rPr>
        <w:t>00元；机构孤儿人数约1</w:t>
      </w:r>
      <w:r>
        <w:rPr>
          <w:rFonts w:hint="eastAsia" w:ascii="仿宋_GB2312" w:hAnsi="仿宋_GB2312" w:eastAsia="仿宋_GB2312" w:cs="仿宋_GB2312"/>
          <w:color w:val="auto"/>
          <w:kern w:val="2"/>
          <w:sz w:val="32"/>
          <w:szCs w:val="32"/>
          <w:lang w:val="en-US" w:eastAsia="zh-CN" w:bidi="ar-SA"/>
        </w:rPr>
        <w:t>0</w:t>
      </w:r>
      <w:r>
        <w:rPr>
          <w:rFonts w:hint="default" w:ascii="仿宋_GB2312" w:hAnsi="仿宋_GB2312" w:eastAsia="仿宋_GB2312" w:cs="仿宋_GB2312"/>
          <w:color w:val="auto"/>
          <w:kern w:val="2"/>
          <w:sz w:val="32"/>
          <w:szCs w:val="32"/>
          <w:lang w:val="zh-CN" w:eastAsia="zh-CN" w:bidi="ar-SA"/>
        </w:rPr>
        <w:t>人,每人每月1</w:t>
      </w:r>
      <w:r>
        <w:rPr>
          <w:rFonts w:hint="eastAsia" w:ascii="仿宋_GB2312" w:hAnsi="仿宋_GB2312" w:eastAsia="仿宋_GB2312" w:cs="仿宋_GB2312"/>
          <w:color w:val="auto"/>
          <w:kern w:val="2"/>
          <w:sz w:val="32"/>
          <w:szCs w:val="32"/>
          <w:lang w:val="en-US" w:eastAsia="zh-CN" w:bidi="ar-SA"/>
        </w:rPr>
        <w:t>9</w:t>
      </w:r>
      <w:r>
        <w:rPr>
          <w:rFonts w:hint="default" w:ascii="仿宋_GB2312" w:hAnsi="仿宋_GB2312" w:eastAsia="仿宋_GB2312" w:cs="仿宋_GB2312"/>
          <w:color w:val="auto"/>
          <w:kern w:val="2"/>
          <w:sz w:val="32"/>
          <w:szCs w:val="32"/>
          <w:lang w:val="zh-CN" w:eastAsia="zh-CN" w:bidi="ar-SA"/>
        </w:rPr>
        <w:t>00元。通过发放生活费，让每个孤儿的生活都得到基本保障。</w:t>
      </w:r>
      <w:r>
        <w:rPr>
          <w:rFonts w:hint="default" w:ascii="仿宋_GB2312" w:hAnsi="仿宋_GB2312" w:eastAsia="仿宋_GB2312" w:cs="仿宋_GB2312"/>
          <w:color w:val="auto"/>
          <w:kern w:val="2"/>
          <w:sz w:val="32"/>
          <w:szCs w:val="32"/>
          <w:lang w:val="en-US" w:eastAsia="zh-CN" w:bidi="ar-SA"/>
        </w:rPr>
        <w:t>未发现问题。</w:t>
      </w:r>
    </w:p>
    <w:p>
      <w:pPr>
        <w:pStyle w:val="2"/>
        <w:ind w:left="0" w:leftChars="0" w:firstLine="640" w:firstLineChars="200"/>
        <w:rPr>
          <w:rFonts w:hint="eastAsia"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13</w:t>
      </w:r>
      <w:r>
        <w:rPr>
          <w:rFonts w:hint="eastAsia" w:ascii="仿宋_GB2312" w:hAnsi="仿宋_GB2312" w:eastAsia="仿宋_GB2312" w:cs="仿宋_GB2312"/>
          <w:color w:val="auto"/>
          <w:kern w:val="2"/>
          <w:sz w:val="32"/>
          <w:szCs w:val="32"/>
          <w:lang w:val="zh-CN" w:eastAsia="zh-CN" w:bidi="ar-SA"/>
        </w:rPr>
        <w:t>）关于提前下达2023年市级困难群众基本生活救助补助资金预算的通知-孤儿生活费项目绩效自评情况：根据年初设定的绩效目标，该项目绩效自评得分为</w:t>
      </w:r>
      <w:r>
        <w:rPr>
          <w:rFonts w:hint="eastAsia" w:ascii="仿宋_GB2312" w:hAnsi="仿宋_GB2312" w:eastAsia="仿宋_GB2312" w:cs="仿宋_GB2312"/>
          <w:color w:val="auto"/>
          <w:kern w:val="2"/>
          <w:sz w:val="32"/>
          <w:szCs w:val="32"/>
          <w:lang w:val="en-US" w:eastAsia="zh-CN" w:bidi="ar-SA"/>
        </w:rPr>
        <w:t>94.6</w:t>
      </w:r>
      <w:r>
        <w:rPr>
          <w:rFonts w:hint="eastAsia"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30.57</w:t>
      </w:r>
      <w:r>
        <w:rPr>
          <w:rFonts w:hint="eastAsia"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30.57</w:t>
      </w:r>
      <w:r>
        <w:rPr>
          <w:rFonts w:hint="eastAsia"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62</w:t>
      </w:r>
      <w:r>
        <w:rPr>
          <w:rFonts w:hint="eastAsia" w:ascii="仿宋_GB2312" w:hAnsi="仿宋_GB2312" w:eastAsia="仿宋_GB2312" w:cs="仿宋_GB2312"/>
          <w:color w:val="auto"/>
          <w:kern w:val="2"/>
          <w:sz w:val="32"/>
          <w:szCs w:val="32"/>
          <w:lang w:val="zh-CN" w:eastAsia="zh-CN" w:bidi="ar-SA"/>
        </w:rPr>
        <w:t>%。项目绩效目标完成情况：发放查找不到生父母或视同孤儿的孤儿生活补贴，散居孤儿人数约6</w:t>
      </w:r>
      <w:r>
        <w:rPr>
          <w:rFonts w:hint="eastAsia" w:ascii="仿宋_GB2312" w:hAnsi="仿宋_GB2312" w:eastAsia="仿宋_GB2312" w:cs="仿宋_GB2312"/>
          <w:color w:val="auto"/>
          <w:kern w:val="2"/>
          <w:sz w:val="32"/>
          <w:szCs w:val="32"/>
          <w:lang w:val="en-US" w:eastAsia="zh-CN" w:bidi="ar-SA"/>
        </w:rPr>
        <w:t>1</w:t>
      </w:r>
      <w:r>
        <w:rPr>
          <w:rFonts w:hint="eastAsia" w:ascii="仿宋_GB2312" w:hAnsi="仿宋_GB2312" w:eastAsia="仿宋_GB2312" w:cs="仿宋_GB2312"/>
          <w:color w:val="auto"/>
          <w:kern w:val="2"/>
          <w:sz w:val="32"/>
          <w:szCs w:val="32"/>
          <w:lang w:val="zh-CN" w:eastAsia="zh-CN" w:bidi="ar-SA"/>
        </w:rPr>
        <w:t>人,每人每月</w:t>
      </w:r>
      <w:r>
        <w:rPr>
          <w:rFonts w:hint="eastAsia" w:ascii="仿宋_GB2312" w:hAnsi="仿宋_GB2312" w:eastAsia="仿宋_GB2312" w:cs="仿宋_GB2312"/>
          <w:color w:val="auto"/>
          <w:kern w:val="2"/>
          <w:sz w:val="32"/>
          <w:szCs w:val="32"/>
          <w:lang w:val="en-US" w:eastAsia="zh-CN" w:bidi="ar-SA"/>
        </w:rPr>
        <w:t>1400</w:t>
      </w:r>
      <w:r>
        <w:rPr>
          <w:rFonts w:hint="eastAsia" w:ascii="仿宋_GB2312" w:hAnsi="仿宋_GB2312" w:eastAsia="仿宋_GB2312" w:cs="仿宋_GB2312"/>
          <w:color w:val="auto"/>
          <w:kern w:val="2"/>
          <w:sz w:val="32"/>
          <w:szCs w:val="32"/>
          <w:lang w:val="zh-CN" w:eastAsia="zh-CN" w:bidi="ar-SA"/>
        </w:rPr>
        <w:t>元；机构孤儿人数约</w:t>
      </w:r>
      <w:r>
        <w:rPr>
          <w:rFonts w:hint="eastAsia" w:ascii="仿宋_GB2312" w:hAnsi="仿宋_GB2312" w:eastAsia="仿宋_GB2312" w:cs="仿宋_GB2312"/>
          <w:color w:val="auto"/>
          <w:kern w:val="2"/>
          <w:sz w:val="32"/>
          <w:szCs w:val="32"/>
          <w:lang w:val="en-US" w:eastAsia="zh-CN" w:bidi="ar-SA"/>
        </w:rPr>
        <w:t>10</w:t>
      </w:r>
      <w:r>
        <w:rPr>
          <w:rFonts w:hint="eastAsia" w:ascii="仿宋_GB2312" w:hAnsi="仿宋_GB2312" w:eastAsia="仿宋_GB2312" w:cs="仿宋_GB2312"/>
          <w:color w:val="auto"/>
          <w:kern w:val="2"/>
          <w:sz w:val="32"/>
          <w:szCs w:val="32"/>
          <w:lang w:val="zh-CN" w:eastAsia="zh-CN" w:bidi="ar-SA"/>
        </w:rPr>
        <w:t>人,每人每月</w:t>
      </w:r>
      <w:r>
        <w:rPr>
          <w:rFonts w:hint="eastAsia" w:ascii="仿宋_GB2312" w:hAnsi="仿宋_GB2312" w:eastAsia="仿宋_GB2312" w:cs="仿宋_GB2312"/>
          <w:color w:val="auto"/>
          <w:kern w:val="2"/>
          <w:sz w:val="32"/>
          <w:szCs w:val="32"/>
          <w:lang w:val="en-US" w:eastAsia="zh-CN" w:bidi="ar-SA"/>
        </w:rPr>
        <w:t>1900</w:t>
      </w:r>
      <w:r>
        <w:rPr>
          <w:rFonts w:hint="eastAsia" w:ascii="仿宋_GB2312" w:hAnsi="仿宋_GB2312" w:eastAsia="仿宋_GB2312" w:cs="仿宋_GB2312"/>
          <w:color w:val="auto"/>
          <w:kern w:val="2"/>
          <w:sz w:val="32"/>
          <w:szCs w:val="32"/>
          <w:lang w:val="zh-CN" w:eastAsia="zh-CN" w:bidi="ar-SA"/>
        </w:rPr>
        <w:t>元。通过发放生活费，让每个孤儿的生活都得到基本保障。</w:t>
      </w:r>
      <w:r>
        <w:rPr>
          <w:rFonts w:hint="eastAsia" w:ascii="仿宋_GB2312" w:hAnsi="仿宋_GB2312" w:eastAsia="仿宋_GB2312" w:cs="仿宋_GB2312"/>
          <w:color w:val="auto"/>
          <w:kern w:val="2"/>
          <w:sz w:val="32"/>
          <w:szCs w:val="32"/>
          <w:lang w:val="en-US" w:eastAsia="zh-CN" w:bidi="ar-SA"/>
        </w:rPr>
        <w:t>未发现问题。</w:t>
      </w:r>
    </w:p>
    <w:p>
      <w:pPr>
        <w:pStyle w:val="2"/>
        <w:ind w:left="0" w:leftChars="0" w:firstLine="640" w:firstLineChars="200"/>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14）</w:t>
      </w:r>
      <w:r>
        <w:rPr>
          <w:rFonts w:hint="eastAsia" w:ascii="仿宋_GB2312" w:hAnsi="仿宋_GB2312" w:eastAsia="仿宋_GB2312" w:cs="仿宋_GB2312"/>
          <w:color w:val="auto"/>
          <w:kern w:val="2"/>
          <w:sz w:val="32"/>
          <w:szCs w:val="32"/>
          <w:lang w:val="zh-CN" w:eastAsia="zh-CN" w:bidi="ar-SA"/>
        </w:rPr>
        <w:t>石财社【2022】118号石家庄市财政局关于提前下达2023年中央集中彩票公益金支持社会福利事业专项资金预算的通知-孤儿助学工程</w:t>
      </w:r>
      <w:r>
        <w:rPr>
          <w:rFonts w:hint="default" w:ascii="仿宋_GB2312" w:hAnsi="仿宋_GB2312" w:eastAsia="仿宋_GB2312" w:cs="仿宋_GB2312"/>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该</w:t>
      </w:r>
      <w:r>
        <w:rPr>
          <w:rFonts w:hint="default"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91.3</w:t>
      </w:r>
      <w:r>
        <w:rPr>
          <w:rFonts w:hint="default"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10</w:t>
      </w:r>
      <w:r>
        <w:rPr>
          <w:rFonts w:hint="default"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6.67</w:t>
      </w:r>
      <w:r>
        <w:rPr>
          <w:rFonts w:hint="default"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66.7</w:t>
      </w:r>
      <w:r>
        <w:rPr>
          <w:rFonts w:hint="default" w:ascii="仿宋_GB2312" w:hAnsi="仿宋_GB2312" w:eastAsia="仿宋_GB2312" w:cs="仿宋_GB2312"/>
          <w:color w:val="auto"/>
          <w:kern w:val="2"/>
          <w:sz w:val="32"/>
          <w:szCs w:val="32"/>
          <w:lang w:val="zh-CN" w:eastAsia="zh-CN" w:bidi="ar-SA"/>
        </w:rPr>
        <w:t>%。项目绩效目标完成情况：开展“孤儿助学工程”，资助</w:t>
      </w:r>
      <w:r>
        <w:rPr>
          <w:rFonts w:hint="eastAsia" w:ascii="仿宋_GB2312" w:hAnsi="仿宋_GB2312" w:eastAsia="仿宋_GB2312" w:cs="仿宋_GB2312"/>
          <w:color w:val="auto"/>
          <w:kern w:val="2"/>
          <w:sz w:val="32"/>
          <w:szCs w:val="32"/>
          <w:lang w:val="en-US" w:eastAsia="zh-CN" w:bidi="ar-SA"/>
        </w:rPr>
        <w:t>9</w:t>
      </w:r>
      <w:r>
        <w:rPr>
          <w:rFonts w:hint="default" w:ascii="仿宋_GB2312" w:hAnsi="仿宋_GB2312" w:eastAsia="仿宋_GB2312" w:cs="仿宋_GB2312"/>
          <w:color w:val="auto"/>
          <w:kern w:val="2"/>
          <w:sz w:val="32"/>
          <w:szCs w:val="32"/>
          <w:lang w:val="zh-CN" w:eastAsia="zh-CN" w:bidi="ar-SA"/>
        </w:rPr>
        <w:t>名孤儿考上普通全日制本科、专科学校完成学业，改善孤儿的学习条件。</w:t>
      </w:r>
      <w:r>
        <w:rPr>
          <w:rFonts w:hint="default" w:ascii="仿宋_GB2312" w:hAnsi="仿宋_GB2312" w:eastAsia="仿宋_GB2312" w:cs="仿宋_GB2312"/>
          <w:color w:val="auto"/>
          <w:kern w:val="2"/>
          <w:sz w:val="32"/>
          <w:szCs w:val="32"/>
          <w:lang w:val="en-US" w:eastAsia="zh-CN" w:bidi="ar-SA"/>
        </w:rPr>
        <w:t>未发现问题。</w:t>
      </w:r>
    </w:p>
    <w:p>
      <w:pPr>
        <w:pStyle w:val="2"/>
        <w:ind w:left="0" w:leftChars="0" w:firstLine="640" w:firstLineChars="200"/>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15）</w:t>
      </w:r>
      <w:r>
        <w:rPr>
          <w:rFonts w:hint="eastAsia" w:ascii="仿宋_GB2312" w:hAnsi="仿宋_GB2312" w:eastAsia="仿宋_GB2312" w:cs="仿宋_GB2312"/>
          <w:color w:val="auto"/>
          <w:kern w:val="2"/>
          <w:sz w:val="32"/>
          <w:szCs w:val="32"/>
          <w:lang w:val="zh-CN" w:eastAsia="zh-CN" w:bidi="ar-SA"/>
        </w:rPr>
        <w:t>关于下达中央福利彩票公益金支持孤儿医疗康复明天计划资金的通知</w:t>
      </w:r>
      <w:r>
        <w:rPr>
          <w:rFonts w:hint="default" w:ascii="仿宋_GB2312" w:hAnsi="仿宋_GB2312" w:eastAsia="仿宋_GB2312" w:cs="仿宋_GB2312"/>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该</w:t>
      </w:r>
      <w:r>
        <w:rPr>
          <w:rFonts w:hint="default"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100</w:t>
      </w:r>
      <w:r>
        <w:rPr>
          <w:rFonts w:hint="default"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1.68</w:t>
      </w:r>
      <w:r>
        <w:rPr>
          <w:rFonts w:hint="default"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1.68</w:t>
      </w:r>
      <w:r>
        <w:rPr>
          <w:rFonts w:hint="default"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100</w:t>
      </w:r>
      <w:r>
        <w:rPr>
          <w:rFonts w:hint="default" w:ascii="仿宋_GB2312" w:hAnsi="仿宋_GB2312" w:eastAsia="仿宋_GB2312" w:cs="仿宋_GB2312"/>
          <w:color w:val="auto"/>
          <w:kern w:val="2"/>
          <w:sz w:val="32"/>
          <w:szCs w:val="32"/>
          <w:lang w:val="zh-CN" w:eastAsia="zh-CN" w:bidi="ar-SA"/>
        </w:rPr>
        <w:t>%。项目绩效目标完成情况：对6月份21名在册孤儿</w:t>
      </w:r>
      <w:r>
        <w:rPr>
          <w:rFonts w:hint="eastAsia" w:ascii="仿宋_GB2312" w:hAnsi="仿宋_GB2312" w:eastAsia="仿宋_GB2312" w:cs="仿宋_GB2312"/>
          <w:color w:val="auto"/>
          <w:kern w:val="2"/>
          <w:sz w:val="32"/>
          <w:szCs w:val="32"/>
          <w:lang w:val="zh-CN" w:eastAsia="zh-CN" w:bidi="ar-SA"/>
        </w:rPr>
        <w:t>进行</w:t>
      </w:r>
      <w:r>
        <w:rPr>
          <w:rFonts w:hint="default" w:ascii="仿宋_GB2312" w:hAnsi="仿宋_GB2312" w:eastAsia="仿宋_GB2312" w:cs="仿宋_GB2312"/>
          <w:color w:val="auto"/>
          <w:kern w:val="2"/>
          <w:sz w:val="32"/>
          <w:szCs w:val="32"/>
          <w:lang w:val="zh-CN" w:eastAsia="zh-CN" w:bidi="ar-SA"/>
        </w:rPr>
        <w:t>体检，标准为800元/人，做到应检尽检。通过体检为孤儿健康关爱提供支持。</w:t>
      </w:r>
      <w:r>
        <w:rPr>
          <w:rFonts w:hint="default" w:ascii="仿宋_GB2312" w:hAnsi="仿宋_GB2312" w:eastAsia="仿宋_GB2312" w:cs="仿宋_GB2312"/>
          <w:color w:val="auto"/>
          <w:kern w:val="2"/>
          <w:sz w:val="32"/>
          <w:szCs w:val="32"/>
          <w:lang w:val="en-US" w:eastAsia="zh-CN" w:bidi="ar-SA"/>
        </w:rPr>
        <w:t>未发现问题。</w:t>
      </w:r>
    </w:p>
    <w:p>
      <w:pPr>
        <w:pStyle w:val="2"/>
        <w:ind w:left="0" w:leftChars="0" w:firstLine="640" w:firstLineChars="200"/>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16）</w:t>
      </w:r>
      <w:r>
        <w:rPr>
          <w:rFonts w:hint="eastAsia" w:ascii="仿宋_GB2312" w:hAnsi="仿宋_GB2312" w:eastAsia="仿宋_GB2312" w:cs="仿宋_GB2312"/>
          <w:color w:val="auto"/>
          <w:kern w:val="2"/>
          <w:sz w:val="32"/>
          <w:szCs w:val="32"/>
          <w:lang w:val="zh-CN" w:eastAsia="zh-CN" w:bidi="ar-SA"/>
        </w:rPr>
        <w:t>关于提前下达2022年中央集中彩票公益金支持社会福利事业专项资金预算——助学金</w:t>
      </w:r>
      <w:r>
        <w:rPr>
          <w:rFonts w:hint="default" w:ascii="仿宋_GB2312" w:hAnsi="仿宋_GB2312" w:eastAsia="仿宋_GB2312" w:cs="仿宋_GB2312"/>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该</w:t>
      </w:r>
      <w:r>
        <w:rPr>
          <w:rFonts w:hint="default"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96.7</w:t>
      </w:r>
      <w:r>
        <w:rPr>
          <w:rFonts w:hint="default"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3.83</w:t>
      </w:r>
      <w:r>
        <w:rPr>
          <w:rFonts w:hint="default"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3.83</w:t>
      </w:r>
      <w:r>
        <w:rPr>
          <w:rFonts w:hint="default"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100</w:t>
      </w:r>
      <w:r>
        <w:rPr>
          <w:rFonts w:hint="default" w:ascii="仿宋_GB2312" w:hAnsi="仿宋_GB2312" w:eastAsia="仿宋_GB2312" w:cs="仿宋_GB2312"/>
          <w:color w:val="auto"/>
          <w:kern w:val="2"/>
          <w:sz w:val="32"/>
          <w:szCs w:val="32"/>
          <w:lang w:val="zh-CN" w:eastAsia="zh-CN" w:bidi="ar-SA"/>
        </w:rPr>
        <w:t>%。项目绩效目标完成情况：开展了“孤儿助学工程”，资助了9名孤儿考上普通全日制本科、专科学校完成学业，改善孤儿的学习条件。</w:t>
      </w:r>
      <w:r>
        <w:rPr>
          <w:rFonts w:hint="default" w:ascii="仿宋_GB2312" w:hAnsi="仿宋_GB2312" w:eastAsia="仿宋_GB2312" w:cs="仿宋_GB2312"/>
          <w:color w:val="auto"/>
          <w:kern w:val="2"/>
          <w:sz w:val="32"/>
          <w:szCs w:val="32"/>
          <w:lang w:val="en-US" w:eastAsia="zh-CN" w:bidi="ar-SA"/>
        </w:rPr>
        <w:t>未发现问题。</w:t>
      </w:r>
    </w:p>
    <w:p>
      <w:pPr>
        <w:pStyle w:val="2"/>
        <w:ind w:left="0" w:leftChars="0" w:firstLine="640" w:firstLineChars="200"/>
        <w:rPr>
          <w:rFonts w:hint="eastAsia"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17</w:t>
      </w:r>
      <w:r>
        <w:rPr>
          <w:rFonts w:hint="eastAsia" w:ascii="仿宋_GB2312" w:hAnsi="仿宋_GB2312" w:eastAsia="仿宋_GB2312" w:cs="仿宋_GB2312"/>
          <w:color w:val="auto"/>
          <w:kern w:val="2"/>
          <w:sz w:val="32"/>
          <w:szCs w:val="32"/>
          <w:lang w:val="zh-CN" w:eastAsia="zh-CN" w:bidi="ar-SA"/>
        </w:rPr>
        <w:t>）2023孤儿基本生活费和事实无人抚养儿童生活补贴</w:t>
      </w:r>
      <w:r>
        <w:rPr>
          <w:rFonts w:hint="default" w:ascii="仿宋_GB2312" w:hAnsi="仿宋_GB2312" w:eastAsia="仿宋_GB2312" w:cs="仿宋_GB2312"/>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该</w:t>
      </w:r>
      <w:r>
        <w:rPr>
          <w:rFonts w:hint="default"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98.4</w:t>
      </w:r>
      <w:r>
        <w:rPr>
          <w:rFonts w:hint="default"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21.57</w:t>
      </w:r>
      <w:r>
        <w:rPr>
          <w:rFonts w:hint="default"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21.57</w:t>
      </w:r>
      <w:r>
        <w:rPr>
          <w:rFonts w:hint="default"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100</w:t>
      </w:r>
      <w:r>
        <w:rPr>
          <w:rFonts w:hint="default" w:ascii="仿宋_GB2312" w:hAnsi="仿宋_GB2312" w:eastAsia="仿宋_GB2312" w:cs="仿宋_GB2312"/>
          <w:color w:val="auto"/>
          <w:kern w:val="2"/>
          <w:sz w:val="32"/>
          <w:szCs w:val="32"/>
          <w:lang w:val="zh-CN" w:eastAsia="zh-CN" w:bidi="ar-SA"/>
        </w:rPr>
        <w:t>%。项目绩效目标完成情况：发放查找不到生父母或视同孤儿的孤儿生活补贴，散居孤儿和事实无人抚养儿童人数约6</w:t>
      </w:r>
      <w:r>
        <w:rPr>
          <w:rFonts w:hint="eastAsia" w:ascii="仿宋_GB2312" w:hAnsi="仿宋_GB2312" w:eastAsia="仿宋_GB2312" w:cs="仿宋_GB2312"/>
          <w:color w:val="auto"/>
          <w:kern w:val="2"/>
          <w:sz w:val="32"/>
          <w:szCs w:val="32"/>
          <w:lang w:val="en-US" w:eastAsia="zh-CN" w:bidi="ar-SA"/>
        </w:rPr>
        <w:t>1</w:t>
      </w:r>
      <w:r>
        <w:rPr>
          <w:rFonts w:hint="default" w:ascii="仿宋_GB2312" w:hAnsi="仿宋_GB2312" w:eastAsia="仿宋_GB2312" w:cs="仿宋_GB2312"/>
          <w:color w:val="auto"/>
          <w:kern w:val="2"/>
          <w:sz w:val="32"/>
          <w:szCs w:val="32"/>
          <w:lang w:val="zh-CN" w:eastAsia="zh-CN" w:bidi="ar-SA"/>
        </w:rPr>
        <w:t>人,每人每月1400元；机构孤儿人数约1</w:t>
      </w:r>
      <w:r>
        <w:rPr>
          <w:rFonts w:hint="eastAsia" w:ascii="仿宋_GB2312" w:hAnsi="仿宋_GB2312" w:eastAsia="仿宋_GB2312" w:cs="仿宋_GB2312"/>
          <w:color w:val="auto"/>
          <w:kern w:val="2"/>
          <w:sz w:val="32"/>
          <w:szCs w:val="32"/>
          <w:lang w:val="en-US" w:eastAsia="zh-CN" w:bidi="ar-SA"/>
        </w:rPr>
        <w:t>0</w:t>
      </w:r>
      <w:r>
        <w:rPr>
          <w:rFonts w:hint="default" w:ascii="仿宋_GB2312" w:hAnsi="仿宋_GB2312" w:eastAsia="仿宋_GB2312" w:cs="仿宋_GB2312"/>
          <w:color w:val="auto"/>
          <w:kern w:val="2"/>
          <w:sz w:val="32"/>
          <w:szCs w:val="32"/>
          <w:lang w:val="zh-CN" w:eastAsia="zh-CN" w:bidi="ar-SA"/>
        </w:rPr>
        <w:t>人,每人每月1900元。通过发放生活费，让每个孤儿的生活都得到基本保障。</w:t>
      </w:r>
      <w:r>
        <w:rPr>
          <w:rFonts w:hint="default" w:ascii="仿宋_GB2312" w:hAnsi="仿宋_GB2312" w:eastAsia="仿宋_GB2312" w:cs="仿宋_GB2312"/>
          <w:color w:val="auto"/>
          <w:kern w:val="2"/>
          <w:sz w:val="32"/>
          <w:szCs w:val="32"/>
          <w:lang w:val="en-US" w:eastAsia="zh-CN" w:bidi="ar-SA"/>
        </w:rPr>
        <w:t>未发现问题。</w:t>
      </w:r>
    </w:p>
    <w:p>
      <w:pPr>
        <w:pStyle w:val="2"/>
        <w:ind w:left="0" w:leftChars="0" w:firstLine="640" w:firstLineChars="200"/>
        <w:rPr>
          <w:rFonts w:hint="eastAsia"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18</w:t>
      </w:r>
      <w:r>
        <w:rPr>
          <w:rFonts w:hint="eastAsia" w:ascii="仿宋_GB2312" w:hAnsi="仿宋_GB2312" w:eastAsia="仿宋_GB2312" w:cs="仿宋_GB2312"/>
          <w:color w:val="auto"/>
          <w:kern w:val="2"/>
          <w:sz w:val="32"/>
          <w:szCs w:val="32"/>
          <w:lang w:val="zh-CN" w:eastAsia="zh-CN" w:bidi="ar-SA"/>
        </w:rPr>
        <w:t>）2023留守儿童、困境儿童、儿童福利院、托养机构、困难残疾人、困难老人春节慰问费用</w:t>
      </w:r>
      <w:r>
        <w:rPr>
          <w:rFonts w:hint="default" w:ascii="仿宋_GB2312" w:hAnsi="仿宋_GB2312" w:eastAsia="仿宋_GB2312" w:cs="仿宋_GB2312"/>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该</w:t>
      </w:r>
      <w:r>
        <w:rPr>
          <w:rFonts w:hint="default"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100</w:t>
      </w:r>
      <w:r>
        <w:rPr>
          <w:rFonts w:hint="default"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1</w:t>
      </w:r>
      <w:r>
        <w:rPr>
          <w:rFonts w:hint="default"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1</w:t>
      </w:r>
      <w:r>
        <w:rPr>
          <w:rFonts w:hint="default"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100</w:t>
      </w:r>
      <w:r>
        <w:rPr>
          <w:rFonts w:hint="default" w:ascii="仿宋_GB2312" w:hAnsi="仿宋_GB2312" w:eastAsia="仿宋_GB2312" w:cs="仿宋_GB2312"/>
          <w:color w:val="auto"/>
          <w:kern w:val="2"/>
          <w:sz w:val="32"/>
          <w:szCs w:val="32"/>
          <w:lang w:val="zh-CN" w:eastAsia="zh-CN" w:bidi="ar-SA"/>
        </w:rPr>
        <w:t>%。项目绩效目标完成情况：对各乡镇留守儿童、困境儿童（含散居孤儿）、儿童福利院、托养机构、困难残疾人、困难老人进行走访慰问，预计慰问各类对象50户。保障各类对象的基本生活，解决困难。</w:t>
      </w:r>
      <w:r>
        <w:rPr>
          <w:rFonts w:hint="default" w:ascii="仿宋_GB2312" w:hAnsi="仿宋_GB2312" w:eastAsia="仿宋_GB2312" w:cs="仿宋_GB2312"/>
          <w:color w:val="auto"/>
          <w:kern w:val="2"/>
          <w:sz w:val="32"/>
          <w:szCs w:val="32"/>
          <w:lang w:val="en-US" w:eastAsia="zh-CN" w:bidi="ar-SA"/>
        </w:rPr>
        <w:t>未发现问题。</w:t>
      </w:r>
    </w:p>
    <w:p>
      <w:pPr>
        <w:pStyle w:val="2"/>
        <w:ind w:left="0" w:leftChars="0"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19）</w:t>
      </w:r>
      <w:r>
        <w:rPr>
          <w:rFonts w:hint="eastAsia" w:ascii="仿宋_GB2312" w:hAnsi="仿宋_GB2312" w:eastAsia="仿宋_GB2312" w:cs="仿宋_GB2312"/>
          <w:color w:val="auto"/>
          <w:kern w:val="2"/>
          <w:sz w:val="32"/>
          <w:szCs w:val="32"/>
          <w:lang w:val="zh-CN" w:eastAsia="zh-CN" w:bidi="ar-SA"/>
        </w:rPr>
        <w:t>“关于提前下达</w:t>
      </w:r>
      <w:r>
        <w:rPr>
          <w:rFonts w:hint="eastAsia" w:ascii="仿宋_GB2312" w:hAnsi="仿宋_GB2312" w:eastAsia="仿宋_GB2312" w:cs="仿宋_GB2312"/>
          <w:color w:val="auto"/>
          <w:kern w:val="2"/>
          <w:sz w:val="32"/>
          <w:szCs w:val="32"/>
          <w:lang w:val="en-US" w:eastAsia="zh-CN" w:bidi="ar-SA"/>
        </w:rPr>
        <w:t>2022年中央财政困难群众救助补助资金预算的通知-流浪乞讨人员救助补助资金</w:t>
      </w:r>
      <w:r>
        <w:rPr>
          <w:rFonts w:hint="eastAsia" w:ascii="仿宋_GB2312" w:hAnsi="仿宋_GB2312" w:eastAsia="仿宋_GB2312" w:cs="仿宋_GB2312"/>
          <w:color w:val="auto"/>
          <w:kern w:val="2"/>
          <w:sz w:val="32"/>
          <w:szCs w:val="32"/>
          <w:lang w:val="zh-CN" w:eastAsia="zh-CN" w:bidi="ar-SA"/>
        </w:rPr>
        <w:t>”</w:t>
      </w:r>
      <w:r>
        <w:rPr>
          <w:rFonts w:hint="default" w:ascii="仿宋_GB2312" w:hAnsi="仿宋_GB2312" w:eastAsia="仿宋_GB2312" w:cs="仿宋_GB2312"/>
          <w:color w:val="auto"/>
          <w:kern w:val="2"/>
          <w:sz w:val="32"/>
          <w:szCs w:val="32"/>
          <w:lang w:val="zh-CN" w:eastAsia="zh-CN" w:bidi="ar-SA"/>
        </w:rPr>
        <w:t>项目绩效自评情况：根据年初设定的绩效目标，</w:t>
      </w:r>
      <w:r>
        <w:rPr>
          <w:rFonts w:hint="eastAsia" w:ascii="仿宋_GB2312" w:hAnsi="仿宋_GB2312" w:eastAsia="仿宋_GB2312" w:cs="仿宋_GB2312"/>
          <w:color w:val="auto"/>
          <w:kern w:val="2"/>
          <w:sz w:val="32"/>
          <w:szCs w:val="32"/>
          <w:lang w:val="zh-CN" w:eastAsia="zh-CN" w:bidi="ar-SA"/>
        </w:rPr>
        <w:t>该</w:t>
      </w:r>
      <w:r>
        <w:rPr>
          <w:rFonts w:hint="default"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90</w:t>
      </w:r>
      <w:r>
        <w:rPr>
          <w:rFonts w:hint="default"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22.94</w:t>
      </w:r>
      <w:r>
        <w:rPr>
          <w:rFonts w:hint="default"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7.53</w:t>
      </w:r>
      <w:r>
        <w:rPr>
          <w:rFonts w:hint="default"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32.8</w:t>
      </w:r>
      <w:r>
        <w:rPr>
          <w:rFonts w:hint="default" w:ascii="仿宋_GB2312" w:hAnsi="仿宋_GB2312" w:eastAsia="仿宋_GB2312" w:cs="仿宋_GB2312"/>
          <w:color w:val="auto"/>
          <w:kern w:val="2"/>
          <w:sz w:val="32"/>
          <w:szCs w:val="32"/>
          <w:lang w:val="zh-CN" w:eastAsia="zh-CN" w:bidi="ar-SA"/>
        </w:rPr>
        <w:t>%。项目绩效目标完成情况：</w:t>
      </w:r>
      <w:r>
        <w:rPr>
          <w:rFonts w:hint="eastAsia" w:ascii="仿宋_GB2312" w:hAnsi="仿宋_GB2312" w:eastAsia="仿宋_GB2312" w:cs="仿宋_GB2312"/>
          <w:color w:val="auto"/>
          <w:kern w:val="2"/>
          <w:sz w:val="32"/>
          <w:szCs w:val="32"/>
          <w:lang w:val="en-US" w:eastAsia="zh-CN" w:bidi="ar-SA"/>
        </w:rPr>
        <w:t>为救助对象提供基本生活保障、站内突发疾病救治费和帮助其返乡等必需的支出，未发现问题。</w:t>
      </w:r>
    </w:p>
    <w:p>
      <w:pPr>
        <w:pStyle w:val="2"/>
        <w:ind w:left="0" w:leftChars="0"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（20）“流浪乞讨人员救助站经费”</w:t>
      </w:r>
      <w:r>
        <w:rPr>
          <w:rFonts w:hint="eastAsia" w:ascii="仿宋_GB2312" w:hAnsi="仿宋_GB2312" w:eastAsia="仿宋_GB2312" w:cs="仿宋_GB2312"/>
          <w:color w:val="auto"/>
          <w:kern w:val="2"/>
          <w:sz w:val="32"/>
          <w:szCs w:val="32"/>
          <w:lang w:val="zh-CN" w:eastAsia="zh-CN" w:bidi="ar-SA"/>
        </w:rPr>
        <w:t>自评</w:t>
      </w:r>
      <w:r>
        <w:rPr>
          <w:rFonts w:hint="eastAsia" w:ascii="仿宋_GB2312" w:hAnsi="仿宋_GB2312" w:eastAsia="仿宋_GB2312" w:cs="仿宋_GB2312"/>
          <w:color w:val="auto"/>
          <w:kern w:val="2"/>
          <w:sz w:val="32"/>
          <w:szCs w:val="32"/>
          <w:lang w:val="en-US" w:eastAsia="zh-CN" w:bidi="ar-SA"/>
        </w:rPr>
        <w:t>情况</w:t>
      </w:r>
      <w:r>
        <w:rPr>
          <w:rFonts w:hint="eastAsia" w:ascii="仿宋_GB2312" w:hAnsi="仿宋_GB2312" w:eastAsia="仿宋_GB2312" w:cs="仿宋_GB2312"/>
          <w:color w:val="auto"/>
          <w:kern w:val="2"/>
          <w:sz w:val="32"/>
          <w:szCs w:val="32"/>
          <w:lang w:val="zh-CN" w:eastAsia="zh-CN" w:bidi="ar-SA"/>
        </w:rPr>
        <w:t>：根据年初设定的绩效目标，</w:t>
      </w:r>
      <w:r>
        <w:rPr>
          <w:rFonts w:hint="eastAsia" w:ascii="仿宋_GB2312" w:hAnsi="仿宋_GB2312" w:eastAsia="仿宋_GB2312" w:cs="仿宋_GB2312"/>
          <w:color w:val="auto"/>
          <w:kern w:val="2"/>
          <w:sz w:val="32"/>
          <w:szCs w:val="32"/>
          <w:lang w:val="en-US" w:eastAsia="zh-CN" w:bidi="ar-SA"/>
        </w:rPr>
        <w:t>该</w:t>
      </w:r>
      <w:r>
        <w:rPr>
          <w:rFonts w:hint="eastAsia" w:ascii="仿宋_GB2312" w:hAnsi="仿宋_GB2312" w:eastAsia="仿宋_GB2312" w:cs="仿宋_GB2312"/>
          <w:color w:val="auto"/>
          <w:kern w:val="2"/>
          <w:sz w:val="32"/>
          <w:szCs w:val="32"/>
          <w:lang w:val="zh-CN" w:eastAsia="zh-CN" w:bidi="ar-SA"/>
        </w:rPr>
        <w:t>项目绩效自评得分为</w:t>
      </w:r>
      <w:r>
        <w:rPr>
          <w:rFonts w:hint="eastAsia" w:ascii="仿宋_GB2312" w:hAnsi="仿宋_GB2312" w:eastAsia="仿宋_GB2312" w:cs="仿宋_GB2312"/>
          <w:color w:val="auto"/>
          <w:kern w:val="2"/>
          <w:sz w:val="32"/>
          <w:szCs w:val="32"/>
          <w:lang w:val="en-US" w:eastAsia="zh-CN" w:bidi="ar-SA"/>
        </w:rPr>
        <w:t>100</w:t>
      </w:r>
      <w:r>
        <w:rPr>
          <w:rFonts w:hint="eastAsia" w:ascii="仿宋_GB2312" w:hAnsi="仿宋_GB2312" w:eastAsia="仿宋_GB2312" w:cs="仿宋_GB2312"/>
          <w:color w:val="auto"/>
          <w:kern w:val="2"/>
          <w:sz w:val="32"/>
          <w:szCs w:val="32"/>
          <w:lang w:val="zh-CN" w:eastAsia="zh-CN" w:bidi="ar-SA"/>
        </w:rPr>
        <w:t>分（绩效自评表附后）。全年预算数为</w:t>
      </w:r>
      <w:r>
        <w:rPr>
          <w:rFonts w:hint="eastAsia" w:ascii="仿宋_GB2312" w:hAnsi="仿宋_GB2312" w:eastAsia="仿宋_GB2312" w:cs="仿宋_GB2312"/>
          <w:color w:val="auto"/>
          <w:kern w:val="2"/>
          <w:sz w:val="32"/>
          <w:szCs w:val="32"/>
          <w:lang w:val="en-US" w:eastAsia="zh-CN" w:bidi="ar-SA"/>
        </w:rPr>
        <w:t>12</w:t>
      </w:r>
      <w:r>
        <w:rPr>
          <w:rFonts w:hint="eastAsia"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11.99</w:t>
      </w:r>
      <w:r>
        <w:rPr>
          <w:rFonts w:hint="eastAsia"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99.9%</w:t>
      </w:r>
      <w:r>
        <w:rPr>
          <w:rFonts w:hint="eastAsia" w:ascii="仿宋_GB2312" w:hAnsi="仿宋_GB2312" w:eastAsia="仿宋_GB2312" w:cs="仿宋_GB2312"/>
          <w:color w:val="auto"/>
          <w:kern w:val="2"/>
          <w:sz w:val="32"/>
          <w:szCs w:val="32"/>
          <w:lang w:val="zh-CN" w:eastAsia="zh-CN" w:bidi="ar-SA"/>
        </w:rPr>
        <w:t>。项目绩效目标完成情况：</w:t>
      </w:r>
      <w:r>
        <w:rPr>
          <w:rFonts w:hint="eastAsia" w:ascii="仿宋_GB2312" w:hAnsi="仿宋_GB2312" w:eastAsia="仿宋_GB2312" w:cs="仿宋_GB2312"/>
          <w:color w:val="auto"/>
          <w:kern w:val="2"/>
          <w:sz w:val="32"/>
          <w:szCs w:val="32"/>
          <w:lang w:val="en-US" w:eastAsia="zh-CN" w:bidi="ar-SA"/>
        </w:rPr>
        <w:t>通过保障救助站各项工作的正常运行，提高救助率，提升受助人员生活水平。</w:t>
      </w:r>
      <w:r>
        <w:rPr>
          <w:rFonts w:hint="eastAsia" w:ascii="仿宋_GB2312" w:hAnsi="仿宋_GB2312" w:eastAsia="仿宋_GB2312" w:cs="仿宋_GB2312"/>
          <w:color w:val="auto"/>
          <w:kern w:val="2"/>
          <w:sz w:val="32"/>
          <w:szCs w:val="32"/>
          <w:lang w:val="zh-CN" w:eastAsia="zh-CN" w:bidi="ar-SA"/>
        </w:rPr>
        <w:t>未发现问题。</w:t>
      </w:r>
    </w:p>
    <w:p>
      <w:pPr>
        <w:pStyle w:val="2"/>
        <w:ind w:left="0" w:leftChars="0" w:firstLine="640" w:firstLineChars="200"/>
        <w:rPr>
          <w:rFonts w:hint="eastAsia"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21</w:t>
      </w:r>
      <w:r>
        <w:rPr>
          <w:rFonts w:hint="eastAsia" w:ascii="仿宋_GB2312" w:hAnsi="仿宋_GB2312" w:eastAsia="仿宋_GB2312" w:cs="仿宋_GB2312"/>
          <w:color w:val="auto"/>
          <w:kern w:val="2"/>
          <w:sz w:val="32"/>
          <w:szCs w:val="32"/>
          <w:lang w:val="zh-CN" w:eastAsia="zh-CN" w:bidi="ar-SA"/>
        </w:rPr>
        <w:t>）特困供养（集中）项目自评综述：根据年初设定的绩效目标，特困供养（集中）项目绩效自评得分为100分（绩效自评表附后）。全年预算数为</w:t>
      </w:r>
      <w:r>
        <w:rPr>
          <w:rFonts w:hint="eastAsia" w:ascii="仿宋_GB2312" w:hAnsi="仿宋_GB2312" w:eastAsia="仿宋_GB2312" w:cs="仿宋_GB2312"/>
          <w:color w:val="auto"/>
          <w:kern w:val="2"/>
          <w:sz w:val="32"/>
          <w:szCs w:val="32"/>
          <w:lang w:val="en-US" w:eastAsia="zh-CN" w:bidi="ar-SA"/>
        </w:rPr>
        <w:t>130</w:t>
      </w:r>
      <w:r>
        <w:rPr>
          <w:rFonts w:hint="eastAsia" w:ascii="仿宋_GB2312" w:hAnsi="仿宋_GB2312" w:eastAsia="仿宋_GB2312" w:cs="仿宋_GB2312"/>
          <w:color w:val="auto"/>
          <w:kern w:val="2"/>
          <w:sz w:val="32"/>
          <w:szCs w:val="32"/>
          <w:lang w:val="zh-CN" w:eastAsia="zh-CN" w:bidi="ar-SA"/>
        </w:rPr>
        <w:t>万元，执行数</w:t>
      </w:r>
      <w:r>
        <w:rPr>
          <w:rFonts w:hint="eastAsia" w:ascii="仿宋_GB2312" w:hAnsi="仿宋_GB2312" w:eastAsia="仿宋_GB2312" w:cs="仿宋_GB2312"/>
          <w:color w:val="auto"/>
          <w:kern w:val="2"/>
          <w:sz w:val="32"/>
          <w:szCs w:val="32"/>
          <w:lang w:val="en-US" w:eastAsia="zh-CN" w:bidi="ar-SA"/>
        </w:rPr>
        <w:t>为129.662173</w:t>
      </w:r>
      <w:r>
        <w:rPr>
          <w:rFonts w:hint="eastAsia"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99.8</w:t>
      </w:r>
      <w:r>
        <w:rPr>
          <w:rFonts w:hint="eastAsia" w:ascii="仿宋_GB2312" w:hAnsi="仿宋_GB2312" w:eastAsia="仿宋_GB2312" w:cs="仿宋_GB2312"/>
          <w:color w:val="auto"/>
          <w:kern w:val="2"/>
          <w:sz w:val="32"/>
          <w:szCs w:val="32"/>
          <w:lang w:val="zh-CN" w:eastAsia="zh-CN" w:bidi="ar-SA"/>
        </w:rPr>
        <w:t>%。项目绩效目标完成情况：一是产出指标集中供养对象人数</w:t>
      </w:r>
      <w:r>
        <w:rPr>
          <w:rFonts w:hint="eastAsia" w:ascii="仿宋_GB2312" w:hAnsi="仿宋_GB2312" w:eastAsia="仿宋_GB2312" w:cs="仿宋_GB2312"/>
          <w:color w:val="auto"/>
          <w:kern w:val="2"/>
          <w:sz w:val="32"/>
          <w:szCs w:val="32"/>
          <w:lang w:val="en-US" w:eastAsia="zh-CN" w:bidi="ar-SA"/>
        </w:rPr>
        <w:t>107</w:t>
      </w:r>
      <w:r>
        <w:rPr>
          <w:rFonts w:hint="eastAsia" w:ascii="仿宋_GB2312" w:hAnsi="仿宋_GB2312" w:eastAsia="仿宋_GB2312" w:cs="仿宋_GB2312"/>
          <w:color w:val="auto"/>
          <w:kern w:val="2"/>
          <w:sz w:val="32"/>
          <w:szCs w:val="32"/>
          <w:lang w:val="zh-CN" w:eastAsia="zh-CN" w:bidi="ar-SA"/>
        </w:rPr>
        <w:t>人；二是经济效益特困人员政策和知晓率。</w:t>
      </w:r>
    </w:p>
    <w:p>
      <w:pPr>
        <w:pStyle w:val="2"/>
        <w:ind w:left="0" w:leftChars="0"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22</w:t>
      </w: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color w:val="auto"/>
          <w:kern w:val="2"/>
          <w:sz w:val="32"/>
          <w:szCs w:val="32"/>
          <w:lang w:val="en-US" w:eastAsia="zh-CN" w:bidi="ar-SA"/>
        </w:rPr>
        <w:t>民政事业服务中心运行经费项目自评综述：</w:t>
      </w:r>
    </w:p>
    <w:p>
      <w:pPr>
        <w:pStyle w:val="2"/>
        <w:ind w:left="0" w:leftChars="0"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kern w:val="2"/>
          <w:sz w:val="32"/>
          <w:szCs w:val="32"/>
          <w:lang w:val="zh-CN" w:eastAsia="zh-CN" w:bidi="ar-SA"/>
        </w:rPr>
        <w:t>全年预算数为</w:t>
      </w:r>
      <w:r>
        <w:rPr>
          <w:rFonts w:hint="eastAsia" w:ascii="仿宋_GB2312" w:hAnsi="仿宋_GB2312" w:eastAsia="仿宋_GB2312" w:cs="仿宋_GB2312"/>
          <w:color w:val="auto"/>
          <w:kern w:val="2"/>
          <w:sz w:val="32"/>
          <w:szCs w:val="32"/>
          <w:lang w:val="en-US" w:eastAsia="zh-CN" w:bidi="ar-SA"/>
        </w:rPr>
        <w:t>113</w:t>
      </w:r>
      <w:r>
        <w:rPr>
          <w:rFonts w:hint="eastAsia" w:ascii="仿宋_GB2312" w:hAnsi="仿宋_GB2312" w:eastAsia="仿宋_GB2312" w:cs="仿宋_GB2312"/>
          <w:color w:val="auto"/>
          <w:kern w:val="2"/>
          <w:sz w:val="32"/>
          <w:szCs w:val="32"/>
          <w:lang w:val="zh-CN" w:eastAsia="zh-CN" w:bidi="ar-SA"/>
        </w:rPr>
        <w:t>万元，执行数为</w:t>
      </w:r>
      <w:r>
        <w:rPr>
          <w:rFonts w:hint="eastAsia" w:ascii="仿宋_GB2312" w:hAnsi="仿宋_GB2312" w:eastAsia="仿宋_GB2312" w:cs="仿宋_GB2312"/>
          <w:color w:val="auto"/>
          <w:kern w:val="2"/>
          <w:sz w:val="32"/>
          <w:szCs w:val="32"/>
          <w:lang w:val="en-US" w:eastAsia="zh-CN" w:bidi="ar-SA"/>
        </w:rPr>
        <w:t>112.990345</w:t>
      </w:r>
      <w:r>
        <w:rPr>
          <w:rFonts w:hint="eastAsia" w:ascii="仿宋_GB2312" w:hAnsi="仿宋_GB2312" w:eastAsia="仿宋_GB2312" w:cs="仿宋_GB2312"/>
          <w:color w:val="auto"/>
          <w:kern w:val="2"/>
          <w:sz w:val="32"/>
          <w:szCs w:val="32"/>
          <w:lang w:val="zh-CN" w:eastAsia="zh-CN" w:bidi="ar-SA"/>
        </w:rPr>
        <w:t>万元，完成预算的</w:t>
      </w:r>
      <w:r>
        <w:rPr>
          <w:rFonts w:hint="eastAsia" w:ascii="仿宋_GB2312" w:hAnsi="仿宋_GB2312" w:eastAsia="仿宋_GB2312" w:cs="仿宋_GB2312"/>
          <w:color w:val="auto"/>
          <w:kern w:val="2"/>
          <w:sz w:val="32"/>
          <w:szCs w:val="32"/>
          <w:lang w:val="en-US" w:eastAsia="zh-CN" w:bidi="ar-SA"/>
        </w:rPr>
        <w:t>100</w:t>
      </w:r>
      <w:r>
        <w:rPr>
          <w:rFonts w:hint="eastAsia" w:ascii="仿宋_GB2312" w:hAnsi="仿宋_GB2312" w:eastAsia="仿宋_GB2312" w:cs="仿宋_GB2312"/>
          <w:color w:val="auto"/>
          <w:kern w:val="2"/>
          <w:sz w:val="32"/>
          <w:szCs w:val="32"/>
          <w:lang w:val="zh-CN" w:eastAsia="zh-CN" w:bidi="ar-SA"/>
        </w:rPr>
        <w:t>%。</w:t>
      </w:r>
    </w:p>
    <w:tbl>
      <w:tblPr>
        <w:tblStyle w:val="13"/>
        <w:tblW w:w="83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966"/>
        <w:gridCol w:w="860"/>
        <w:gridCol w:w="861"/>
        <w:gridCol w:w="1051"/>
        <w:gridCol w:w="1204"/>
        <w:gridCol w:w="871"/>
        <w:gridCol w:w="871"/>
        <w:gridCol w:w="16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1" w:hRule="atLeast"/>
        </w:trPr>
        <w:tc>
          <w:tcPr>
            <w:tcW w:w="832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w:t>
            </w:r>
            <w:r>
              <w:rPr>
                <w:rFonts w:hint="eastAsia" w:ascii="方正小标宋_GBK" w:hAnsi="方正小标宋_GBK" w:eastAsia="方正小标宋_GBK" w:cs="方正小标宋_GBK"/>
                <w:i w:val="0"/>
                <w:color w:val="000000"/>
                <w:kern w:val="0"/>
                <w:sz w:val="40"/>
                <w:szCs w:val="40"/>
                <w:u w:val="none"/>
                <w:lang w:val="en-US" w:eastAsia="zh-CN" w:bidi="ar"/>
              </w:rPr>
              <w:t>部门</w:t>
            </w:r>
            <w:r>
              <w:rPr>
                <w:rFonts w:hint="default" w:ascii="方正小标宋_GBK" w:hAnsi="方正小标宋_GBK" w:eastAsia="方正小标宋_GBK" w:cs="方正小标宋_GBK"/>
                <w:i w:val="0"/>
                <w:color w:val="000000"/>
                <w:kern w:val="0"/>
                <w:sz w:val="40"/>
                <w:szCs w:val="40"/>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5"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3"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gridSpan w:val="3"/>
            <w:tcBorders>
              <w:top w:val="nil"/>
              <w:left w:val="single" w:color="B0C4DE" w:sz="4" w:space="0"/>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石家庄市鹿泉区民政局</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3" w:hRule="atLeast"/>
        </w:trPr>
        <w:tc>
          <w:tcPr>
            <w:tcW w:w="973" w:type="dxa"/>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Style w:val="27"/>
                <w:lang w:val="en-US" w:eastAsia="zh-CN" w:bidi="ar"/>
              </w:rPr>
              <w:t>基本情况</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2023</w:t>
            </w:r>
            <w:r>
              <w:rPr>
                <w:rStyle w:val="27"/>
                <w:lang w:val="en-US" w:eastAsia="zh-CN" w:bidi="ar"/>
              </w:rPr>
              <w:t>高龄津贴资金</w:t>
            </w:r>
          </w:p>
        </w:tc>
        <w:tc>
          <w:tcPr>
            <w:tcW w:w="11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59" w:hRule="atLeast"/>
        </w:trPr>
        <w:tc>
          <w:tcPr>
            <w:tcW w:w="9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733"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73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6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8"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735.8185 </w:t>
            </w:r>
          </w:p>
        </w:tc>
        <w:tc>
          <w:tcPr>
            <w:tcW w:w="1040"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735.8185 </w:t>
            </w:r>
          </w:p>
        </w:tc>
        <w:tc>
          <w:tcPr>
            <w:tcW w:w="866"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734.857 </w:t>
            </w:r>
          </w:p>
        </w:tc>
        <w:tc>
          <w:tcPr>
            <w:tcW w:w="166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                 财政资金</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735.8185 </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                      财政资金</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735.8185 </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                     财政资金</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734.857 </w:t>
            </w:r>
          </w:p>
        </w:tc>
        <w:tc>
          <w:tcPr>
            <w:tcW w:w="166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5"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16"/>
                <w:szCs w:val="16"/>
                <w:u w:val="none"/>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6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7" w:hRule="atLeast"/>
        </w:trPr>
        <w:tc>
          <w:tcPr>
            <w:tcW w:w="9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77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29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73" w:type="dxa"/>
            <w:gridSpan w:val="3"/>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通过给80-100周岁以上老人发放高龄津贴资金，保障我区老年人的基本生活，提升老年人的生活水平</w:t>
            </w:r>
          </w:p>
        </w:tc>
        <w:tc>
          <w:tcPr>
            <w:tcW w:w="29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通过给80-100周岁以上老人发放高龄津贴资金，保障我区老年人的基本生活，提升老年人的生活水平</w:t>
            </w:r>
          </w:p>
        </w:tc>
        <w:tc>
          <w:tcPr>
            <w:tcW w:w="16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73"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5"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73"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8" w:hRule="atLeast"/>
        </w:trPr>
        <w:tc>
          <w:tcPr>
            <w:tcW w:w="973"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Style w:val="27"/>
                <w:lang w:val="en-US" w:eastAsia="zh-CN" w:bidi="ar"/>
              </w:rPr>
              <w:t>年度绩效指标完成情况</w:t>
            </w:r>
          </w:p>
        </w:tc>
        <w:tc>
          <w:tcPr>
            <w:tcW w:w="86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867" w:type="dxa"/>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2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86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0" w:type="auto"/>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80-89周岁老人的人次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108000</w:t>
            </w:r>
            <w:r>
              <w:rPr>
                <w:rStyle w:val="27"/>
                <w:lang w:val="en-US" w:eastAsia="zh-CN" w:bidi="ar"/>
              </w:rPr>
              <w:t>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103568</w:t>
            </w:r>
            <w:r>
              <w:rPr>
                <w:rStyle w:val="27"/>
                <w:lang w:val="en-US" w:eastAsia="zh-CN" w:bidi="ar"/>
              </w:rPr>
              <w:t>人次</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90-99周岁老人的人次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15840</w:t>
            </w:r>
            <w:r>
              <w:rPr>
                <w:rStyle w:val="27"/>
                <w:lang w:val="en-US" w:eastAsia="zh-CN" w:bidi="ar"/>
              </w:rPr>
              <w:t>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14292</w:t>
            </w:r>
            <w:r>
              <w:rPr>
                <w:rStyle w:val="27"/>
                <w:lang w:val="en-US" w:eastAsia="zh-CN" w:bidi="ar"/>
              </w:rPr>
              <w:t>人次</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100周岁以上老人的人次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360</w:t>
            </w:r>
            <w:r>
              <w:rPr>
                <w:rStyle w:val="27"/>
                <w:lang w:val="en-US" w:eastAsia="zh-CN" w:bidi="ar"/>
              </w:rPr>
              <w:t>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232</w:t>
            </w:r>
            <w:r>
              <w:rPr>
                <w:rStyle w:val="27"/>
                <w:lang w:val="en-US" w:eastAsia="zh-CN" w:bidi="ar"/>
              </w:rPr>
              <w:t>人次</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100周岁以上老人丧葬补助</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2人</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2人</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高龄老人基本生活保障</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高龄老人补助资金及时发放率</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80-89周岁老人补贴资金发放标准</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60元/人/月</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60元/人/月</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90-99周岁老人补贴资金发放标准</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100元/人/月</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100元/人/月</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100周岁以上老人补贴发放标准</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500元/人/月</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500元/人/月</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100周岁以上老人丧葬补助发放标准</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1500元/人</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1500元/人</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nil"/>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86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群众对高龄老人补贴政策知晓率</w:t>
            </w:r>
          </w:p>
        </w:tc>
        <w:tc>
          <w:tcPr>
            <w:tcW w:w="86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86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21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≧95</w:t>
            </w:r>
            <w:r>
              <w:rPr>
                <w:rFonts w:ascii="Calibri" w:hAnsi="Calibri" w:eastAsia="宋体" w:cs="Calibri"/>
                <w:i w:val="0"/>
                <w:color w:val="000000"/>
                <w:kern w:val="0"/>
                <w:sz w:val="16"/>
                <w:szCs w:val="16"/>
                <w:u w:val="none"/>
                <w:lang w:val="en-US" w:eastAsia="zh-CN" w:bidi="ar"/>
              </w:rPr>
              <w:t>%</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≧95</w:t>
            </w:r>
            <w:r>
              <w:rPr>
                <w:rFonts w:ascii="Calibri" w:hAnsi="Calibri" w:eastAsia="宋体" w:cs="Calibri"/>
                <w:i w:val="0"/>
                <w:color w:val="000000"/>
                <w:kern w:val="0"/>
                <w:sz w:val="16"/>
                <w:szCs w:val="16"/>
                <w:u w:val="none"/>
                <w:lang w:val="en-US" w:eastAsia="zh-CN" w:bidi="ar"/>
              </w:rPr>
              <w:t>%</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预算执行率（10分）</w:t>
            </w:r>
          </w:p>
        </w:tc>
        <w:tc>
          <w:tcPr>
            <w:tcW w:w="867" w:type="dxa"/>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40" w:type="dxa"/>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178" w:type="dxa"/>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86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66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68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98.03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1" w:hRule="atLeast"/>
        </w:trPr>
        <w:tc>
          <w:tcPr>
            <w:tcW w:w="9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27"/>
                <w:lang w:val="en-US" w:eastAsia="zh-CN" w:bidi="ar"/>
              </w:rPr>
              <w:t>存在问题、原因及下一步整改措施</w:t>
            </w:r>
          </w:p>
        </w:tc>
        <w:tc>
          <w:tcPr>
            <w:tcW w:w="734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pPr>
        <w:pStyle w:val="2"/>
        <w:ind w:left="0" w:leftChars="0" w:firstLine="0" w:firstLineChars="0"/>
      </w:pPr>
    </w:p>
    <w:tbl>
      <w:tblPr>
        <w:tblStyle w:val="13"/>
        <w:tblW w:w="88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982"/>
        <w:gridCol w:w="39"/>
        <w:gridCol w:w="834"/>
        <w:gridCol w:w="85"/>
        <w:gridCol w:w="789"/>
        <w:gridCol w:w="119"/>
        <w:gridCol w:w="888"/>
        <w:gridCol w:w="182"/>
        <w:gridCol w:w="773"/>
        <w:gridCol w:w="185"/>
        <w:gridCol w:w="873"/>
        <w:gridCol w:w="366"/>
        <w:gridCol w:w="507"/>
        <w:gridCol w:w="1046"/>
        <w:gridCol w:w="632"/>
        <w:gridCol w:w="5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851" w:hRule="atLeast"/>
        </w:trPr>
        <w:tc>
          <w:tcPr>
            <w:tcW w:w="8300" w:type="dxa"/>
            <w:gridSpan w:val="15"/>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w:t>
            </w:r>
            <w:r>
              <w:rPr>
                <w:rFonts w:hint="eastAsia" w:ascii="方正小标宋_GBK" w:hAnsi="方正小标宋_GBK" w:eastAsia="方正小标宋_GBK" w:cs="方正小标宋_GBK"/>
                <w:i w:val="0"/>
                <w:color w:val="000000"/>
                <w:kern w:val="0"/>
                <w:sz w:val="40"/>
                <w:szCs w:val="40"/>
                <w:u w:val="none"/>
                <w:lang w:val="en-US" w:eastAsia="zh-CN" w:bidi="ar"/>
              </w:rPr>
              <w:t>部门</w:t>
            </w:r>
            <w:r>
              <w:rPr>
                <w:rFonts w:hint="default" w:ascii="方正小标宋_GBK" w:hAnsi="方正小标宋_GBK" w:eastAsia="方正小标宋_GBK" w:cs="方正小标宋_GBK"/>
                <w:i w:val="0"/>
                <w:color w:val="000000"/>
                <w:kern w:val="0"/>
                <w:sz w:val="40"/>
                <w:szCs w:val="40"/>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323" w:hRule="atLeast"/>
        </w:trPr>
        <w:tc>
          <w:tcPr>
            <w:tcW w:w="8300" w:type="dxa"/>
            <w:gridSpan w:val="15"/>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403" w:hRule="atLeast"/>
        </w:trPr>
        <w:tc>
          <w:tcPr>
            <w:tcW w:w="98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2754" w:type="dxa"/>
            <w:gridSpan w:val="6"/>
            <w:tcBorders>
              <w:top w:val="nil"/>
              <w:left w:val="single" w:color="B0C4DE" w:sz="4" w:space="0"/>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石家庄市鹿泉区民政局</w:t>
            </w:r>
          </w:p>
        </w:tc>
        <w:tc>
          <w:tcPr>
            <w:tcW w:w="1140" w:type="dxa"/>
            <w:gridSpan w:val="3"/>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78"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581" w:hRule="atLeast"/>
        </w:trPr>
        <w:tc>
          <w:tcPr>
            <w:tcW w:w="982" w:type="dxa"/>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Style w:val="28"/>
                <w:lang w:val="en-US" w:eastAsia="zh-CN" w:bidi="ar"/>
              </w:rPr>
              <w:t>基本情况</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88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2023民办养老机构建设及床位运营补贴资金</w:t>
            </w: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424"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452" w:hRule="atLeast"/>
        </w:trPr>
        <w:tc>
          <w:tcPr>
            <w:tcW w:w="9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74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47"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74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678" w:type="dxa"/>
            <w:gridSpan w:val="2"/>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399"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65.82 </w:t>
            </w:r>
          </w:p>
        </w:tc>
        <w:tc>
          <w:tcPr>
            <w:tcW w:w="1007"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65.82 </w:t>
            </w:r>
          </w:p>
        </w:tc>
        <w:tc>
          <w:tcPr>
            <w:tcW w:w="873"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65.7212 </w:t>
            </w:r>
          </w:p>
        </w:tc>
        <w:tc>
          <w:tcPr>
            <w:tcW w:w="16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581"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                 财政资金</w:t>
            </w: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65.82 </w:t>
            </w:r>
          </w:p>
        </w:tc>
        <w:tc>
          <w:tcPr>
            <w:tcW w:w="100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                      财政资金</w:t>
            </w:r>
          </w:p>
        </w:tc>
        <w:tc>
          <w:tcPr>
            <w:tcW w:w="1140" w:type="dxa"/>
            <w:gridSpan w:val="3"/>
            <w:tcBorders>
              <w:top w:val="nil"/>
              <w:left w:val="nil"/>
              <w:bottom w:val="nil"/>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65.82 </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                     财政资金</w:t>
            </w:r>
          </w:p>
        </w:tc>
        <w:tc>
          <w:tcPr>
            <w:tcW w:w="873" w:type="dxa"/>
            <w:gridSpan w:val="2"/>
            <w:tcBorders>
              <w:top w:val="nil"/>
              <w:left w:val="nil"/>
              <w:bottom w:val="nil"/>
              <w:right w:val="nil"/>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 xml:space="preserve">65.7212 </w:t>
            </w:r>
          </w:p>
        </w:tc>
        <w:tc>
          <w:tcPr>
            <w:tcW w:w="16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385"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87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16"/>
                <w:szCs w:val="16"/>
                <w:u w:val="none"/>
              </w:rPr>
            </w:pPr>
          </w:p>
        </w:tc>
        <w:tc>
          <w:tcPr>
            <w:tcW w:w="10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87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439" w:hRule="atLeast"/>
        </w:trPr>
        <w:tc>
          <w:tcPr>
            <w:tcW w:w="9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754"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288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67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312"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54"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通过发放补助，吸引社会资本投入我区养老服务业； 提高全区养老服务水平，促进老年服务事业的发展，为老年人生活提供更好的便利。</w:t>
            </w:r>
          </w:p>
        </w:tc>
        <w:tc>
          <w:tcPr>
            <w:tcW w:w="2886"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通过发放补助，吸引社会资本投入我区养老服务业； 提高全区养老服务水平，促进老年服务事业的发展，为老年人生活提供更好的便利。</w:t>
            </w:r>
          </w:p>
        </w:tc>
        <w:tc>
          <w:tcPr>
            <w:tcW w:w="16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312"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54"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86"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581"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54"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86"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399" w:hRule="atLeast"/>
        </w:trPr>
        <w:tc>
          <w:tcPr>
            <w:tcW w:w="982"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Style w:val="28"/>
                <w:lang w:val="en-US" w:eastAsia="zh-CN" w:bidi="ar"/>
              </w:rPr>
              <w:t>年度绩效指标完成情况</w:t>
            </w:r>
          </w:p>
        </w:tc>
        <w:tc>
          <w:tcPr>
            <w:tcW w:w="873"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874"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47" w:type="dxa"/>
            <w:gridSpan w:val="5"/>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302"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47"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现有民办养老机构补贴数量</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15家</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302"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47"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现有民办养老机构补贴床位数</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11208床</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11208床</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302"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47"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现有民办养老机构补贴床位数</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89床</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89床</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302"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147"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自理老人补贴标准</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50元/床/月</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50元/床/月</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302"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147"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失能、半失能老人补贴标准</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100元/床/月</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100元/床/月</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302"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147"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建设补贴标准</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1500元/床</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1500元/床</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302"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147"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享受政策率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309"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147"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补助资金发放及时率</w:t>
            </w:r>
          </w:p>
        </w:tc>
        <w:tc>
          <w:tcPr>
            <w:tcW w:w="87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873"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345"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restart"/>
            <w:tcBorders>
              <w:top w:val="nil"/>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47"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每千人口养老床位数</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40张</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40张</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40" w:type="dxa"/>
          <w:trHeight w:val="345"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continue"/>
            <w:tcBorders>
              <w:top w:val="nil"/>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47"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受益民办养老机构数量</w:t>
            </w:r>
          </w:p>
        </w:tc>
        <w:tc>
          <w:tcPr>
            <w:tcW w:w="873"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15家</w:t>
            </w:r>
          </w:p>
        </w:tc>
        <w:tc>
          <w:tcPr>
            <w:tcW w:w="873"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15家</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581"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vMerge w:val="continue"/>
            <w:tcBorders>
              <w:top w:val="nil"/>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147"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是否长期使用</w:t>
            </w:r>
          </w:p>
        </w:tc>
        <w:tc>
          <w:tcPr>
            <w:tcW w:w="873"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是</w:t>
            </w:r>
          </w:p>
        </w:tc>
        <w:tc>
          <w:tcPr>
            <w:tcW w:w="873"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是</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581"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87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147"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≧95</w:t>
            </w:r>
            <w:r>
              <w:rPr>
                <w:rFonts w:ascii="Calibri" w:hAnsi="Calibri" w:eastAsia="宋体" w:cs="Calibri"/>
                <w:i w:val="0"/>
                <w:color w:val="000000"/>
                <w:kern w:val="0"/>
                <w:sz w:val="16"/>
                <w:szCs w:val="16"/>
                <w:u w:val="none"/>
                <w:lang w:val="en-US" w:eastAsia="zh-CN" w:bidi="ar"/>
              </w:rPr>
              <w:t>%</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≧95</w:t>
            </w:r>
            <w:r>
              <w:rPr>
                <w:rFonts w:ascii="Calibri" w:hAnsi="Calibri" w:eastAsia="宋体" w:cs="Calibri"/>
                <w:i w:val="0"/>
                <w:color w:val="000000"/>
                <w:kern w:val="0"/>
                <w:sz w:val="16"/>
                <w:szCs w:val="16"/>
                <w:u w:val="none"/>
                <w:lang w:val="en-US" w:eastAsia="zh-CN" w:bidi="ar"/>
              </w:rPr>
              <w:t>%</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581"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预算执行率（10分）</w:t>
            </w: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100%</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100%</w:t>
            </w: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302" w:hRule="atLeast"/>
        </w:trPr>
        <w:tc>
          <w:tcPr>
            <w:tcW w:w="9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总分</w:t>
            </w:r>
          </w:p>
        </w:tc>
        <w:tc>
          <w:tcPr>
            <w:tcW w:w="8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40" w:type="dxa"/>
          <w:trHeight w:val="869" w:hRule="atLeast"/>
        </w:trPr>
        <w:tc>
          <w:tcPr>
            <w:tcW w:w="98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28"/>
                <w:lang w:val="en-US" w:eastAsia="zh-CN" w:bidi="ar"/>
              </w:rPr>
              <w:t>存在问题、原因及下一步整改措施</w:t>
            </w:r>
          </w:p>
        </w:tc>
        <w:tc>
          <w:tcPr>
            <w:tcW w:w="7318" w:type="dxa"/>
            <w:gridSpan w:val="1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7" w:hRule="atLeast"/>
        </w:trPr>
        <w:tc>
          <w:tcPr>
            <w:tcW w:w="8840" w:type="dxa"/>
            <w:gridSpan w:val="16"/>
            <w:tcBorders>
              <w:top w:val="nil"/>
              <w:left w:val="nil"/>
              <w:bottom w:val="nil"/>
              <w:right w:val="nil"/>
            </w:tcBorders>
            <w:shd w:val="clear" w:color="auto" w:fill="auto"/>
            <w:noWrap/>
            <w:vAlign w:val="center"/>
          </w:tcPr>
          <w:p>
            <w:pPr>
              <w:pStyle w:val="4"/>
              <w:keepNext/>
              <w:keepLines/>
              <w:pageBreakBefore w:val="0"/>
              <w:widowControl w:val="0"/>
              <w:numPr>
                <w:ilvl w:val="0"/>
                <w:numId w:val="0"/>
              </w:numPr>
              <w:kinsoku/>
              <w:wordWrap/>
              <w:overflowPunct/>
              <w:topLinePunct w:val="0"/>
              <w:autoSpaceDE/>
              <w:autoSpaceDN/>
              <w:bidi w:val="0"/>
              <w:adjustRightInd w:val="0"/>
              <w:snapToGrid w:val="0"/>
              <w:spacing w:line="560" w:lineRule="exact"/>
              <w:ind w:leftChars="0" w:firstLine="1807" w:firstLineChars="500"/>
              <w:jc w:val="both"/>
              <w:textAlignment w:val="auto"/>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3" w:hRule="atLeast"/>
        </w:trPr>
        <w:tc>
          <w:tcPr>
            <w:tcW w:w="8840" w:type="dxa"/>
            <w:gridSpan w:val="16"/>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3" w:hRule="atLeast"/>
        </w:trPr>
        <w:tc>
          <w:tcPr>
            <w:tcW w:w="1021"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897" w:type="dxa"/>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石家庄市鹿泉区殡葬管理所</w:t>
            </w:r>
          </w:p>
        </w:tc>
        <w:tc>
          <w:tcPr>
            <w:tcW w:w="773"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424" w:type="dxa"/>
            <w:gridSpan w:val="3"/>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53"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172"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1021"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取消殡葬收费补助</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1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3" w:hRule="atLeast"/>
        </w:trPr>
        <w:tc>
          <w:tcPr>
            <w:tcW w:w="102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82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8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97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1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3" w:hRule="atLeast"/>
        </w:trPr>
        <w:tc>
          <w:tcPr>
            <w:tcW w:w="102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136.76</w:t>
            </w:r>
          </w:p>
        </w:tc>
        <w:tc>
          <w:tcPr>
            <w:tcW w:w="1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136.76</w:t>
            </w:r>
          </w:p>
        </w:tc>
        <w:tc>
          <w:tcPr>
            <w:tcW w:w="1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5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136.76</w:t>
            </w:r>
          </w:p>
        </w:tc>
        <w:tc>
          <w:tcPr>
            <w:tcW w:w="11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102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136.76</w:t>
            </w:r>
          </w:p>
        </w:tc>
        <w:tc>
          <w:tcPr>
            <w:tcW w:w="1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136.76</w:t>
            </w:r>
          </w:p>
        </w:tc>
        <w:tc>
          <w:tcPr>
            <w:tcW w:w="1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5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kern w:val="0"/>
                <w:sz w:val="16"/>
                <w:szCs w:val="16"/>
                <w:u w:val="none"/>
                <w:lang w:val="en-US" w:eastAsia="zh-CN" w:bidi="ar"/>
              </w:rPr>
              <w:t>136.76</w:t>
            </w:r>
          </w:p>
        </w:tc>
        <w:tc>
          <w:tcPr>
            <w:tcW w:w="11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3" w:hRule="atLeast"/>
        </w:trPr>
        <w:tc>
          <w:tcPr>
            <w:tcW w:w="102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5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3" w:hRule="atLeast"/>
        </w:trPr>
        <w:tc>
          <w:tcPr>
            <w:tcW w:w="102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89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5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1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2" w:hRule="atLeast"/>
        </w:trPr>
        <w:tc>
          <w:tcPr>
            <w:tcW w:w="102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97"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c>
          <w:tcPr>
            <w:tcW w:w="375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c>
          <w:tcPr>
            <w:tcW w:w="11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2" w:hRule="atLeast"/>
        </w:trPr>
        <w:tc>
          <w:tcPr>
            <w:tcW w:w="102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9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5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2" w:hRule="atLeast"/>
        </w:trPr>
        <w:tc>
          <w:tcPr>
            <w:tcW w:w="102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9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5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3" w:hRule="atLeast"/>
        </w:trPr>
        <w:tc>
          <w:tcPr>
            <w:tcW w:w="1021"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8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5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1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6" w:hRule="atLeast"/>
        </w:trPr>
        <w:tc>
          <w:tcPr>
            <w:tcW w:w="102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908"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8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免除基本殡葬服务费的数量</w:t>
            </w:r>
          </w:p>
        </w:tc>
        <w:tc>
          <w:tcPr>
            <w:tcW w:w="1424" w:type="dxa"/>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3项</w:t>
            </w:r>
          </w:p>
        </w:tc>
        <w:tc>
          <w:tcPr>
            <w:tcW w:w="1553"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3项</w:t>
            </w:r>
          </w:p>
        </w:tc>
        <w:tc>
          <w:tcPr>
            <w:tcW w:w="11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9" w:hRule="atLeast"/>
        </w:trPr>
        <w:tc>
          <w:tcPr>
            <w:tcW w:w="102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843" w:type="dxa"/>
            <w:gridSpan w:val="3"/>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对鹿泉居民免除基本殡葬服务费业务工作完成率</w:t>
            </w:r>
          </w:p>
        </w:tc>
        <w:tc>
          <w:tcPr>
            <w:tcW w:w="1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72"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4" w:hRule="atLeast"/>
        </w:trPr>
        <w:tc>
          <w:tcPr>
            <w:tcW w:w="102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8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对鹿泉居民免除基本殡葬服务费及时率</w:t>
            </w:r>
          </w:p>
        </w:tc>
        <w:tc>
          <w:tcPr>
            <w:tcW w:w="1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2" w:hRule="atLeast"/>
        </w:trPr>
        <w:tc>
          <w:tcPr>
            <w:tcW w:w="102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8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免除三项基本殡葬服务费标准</w:t>
            </w:r>
          </w:p>
        </w:tc>
        <w:tc>
          <w:tcPr>
            <w:tcW w:w="1424" w:type="dxa"/>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实际免除三项基本殡葬服务费标准</w:t>
            </w:r>
            <w:r>
              <w:rPr>
                <w:rFonts w:hint="default" w:ascii="宋体" w:hAnsi="宋体" w:eastAsia="宋体" w:cs="宋体"/>
                <w:i w:val="0"/>
                <w:iCs w:val="0"/>
                <w:color w:val="000000"/>
                <w:kern w:val="0"/>
                <w:sz w:val="16"/>
                <w:szCs w:val="16"/>
                <w:u w:val="none"/>
                <w:lang w:val="en-US" w:eastAsia="zh-CN" w:bidi="ar"/>
              </w:rPr>
              <w:t>630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具</w:t>
            </w:r>
          </w:p>
        </w:tc>
        <w:tc>
          <w:tcPr>
            <w:tcW w:w="1553"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实际免除三项基本殡葬服务费标准</w:t>
            </w:r>
            <w:r>
              <w:rPr>
                <w:rFonts w:hint="default" w:ascii="宋体" w:hAnsi="宋体" w:eastAsia="宋体" w:cs="宋体"/>
                <w:i w:val="0"/>
                <w:iCs w:val="0"/>
                <w:color w:val="000000"/>
                <w:kern w:val="0"/>
                <w:sz w:val="16"/>
                <w:szCs w:val="16"/>
                <w:u w:val="none"/>
                <w:lang w:val="en-US" w:eastAsia="zh-CN" w:bidi="ar"/>
              </w:rPr>
              <w:t>630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具</w:t>
            </w:r>
          </w:p>
        </w:tc>
        <w:tc>
          <w:tcPr>
            <w:tcW w:w="11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19" w:hRule="atLeast"/>
        </w:trPr>
        <w:tc>
          <w:tcPr>
            <w:tcW w:w="102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08"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8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执行数占预算数的比例</w:t>
            </w:r>
          </w:p>
        </w:tc>
        <w:tc>
          <w:tcPr>
            <w:tcW w:w="1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5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102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908"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8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能够持续免除基本殡葬服务费的时间</w:t>
            </w:r>
          </w:p>
        </w:tc>
        <w:tc>
          <w:tcPr>
            <w:tcW w:w="1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5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1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trPr>
        <w:tc>
          <w:tcPr>
            <w:tcW w:w="102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08" w:type="dxa"/>
            <w:gridSpan w:val="2"/>
            <w:tcBorders>
              <w:top w:val="single" w:color="000000" w:sz="4" w:space="0"/>
              <w:left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843" w:type="dxa"/>
            <w:gridSpan w:val="3"/>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免除三项基本殡葬服务费覆盖率</w:t>
            </w:r>
          </w:p>
        </w:tc>
        <w:tc>
          <w:tcPr>
            <w:tcW w:w="1424" w:type="dxa"/>
            <w:gridSpan w:val="3"/>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553" w:type="dxa"/>
            <w:gridSpan w:val="2"/>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9" w:hRule="atLeast"/>
        </w:trPr>
        <w:tc>
          <w:tcPr>
            <w:tcW w:w="102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08"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843" w:type="dxa"/>
            <w:gridSpan w:val="3"/>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丧户人群对免除三项基本殡葬服务费的满意度</w:t>
            </w:r>
          </w:p>
        </w:tc>
        <w:tc>
          <w:tcPr>
            <w:tcW w:w="1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5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172"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3" w:hRule="atLeast"/>
        </w:trPr>
        <w:tc>
          <w:tcPr>
            <w:tcW w:w="102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647"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1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74" w:hRule="atLeast"/>
        </w:trPr>
        <w:tc>
          <w:tcPr>
            <w:tcW w:w="1021"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19"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tbl>
      <w:tblPr>
        <w:tblStyle w:val="13"/>
        <w:tblpPr w:leftFromText="180" w:rightFromText="180" w:vertAnchor="text" w:horzAnchor="page" w:tblpX="1945" w:tblpY="704"/>
        <w:tblOverlap w:val="never"/>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80"/>
        <w:gridCol w:w="837"/>
        <w:gridCol w:w="889"/>
        <w:gridCol w:w="866"/>
        <w:gridCol w:w="1412"/>
        <w:gridCol w:w="1420"/>
        <w:gridCol w:w="1567"/>
        <w:gridCol w:w="10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43" w:hRule="atLeast"/>
        </w:trPr>
        <w:tc>
          <w:tcPr>
            <w:tcW w:w="9000" w:type="dxa"/>
            <w:gridSpan w:val="8"/>
            <w:tcBorders>
              <w:top w:val="nil"/>
              <w:left w:val="nil"/>
              <w:bottom w:val="nil"/>
              <w:right w:val="nil"/>
            </w:tcBorders>
            <w:shd w:val="clear" w:color="auto" w:fill="auto"/>
            <w:noWrap/>
            <w:vAlign w:val="center"/>
          </w:tcPr>
          <w:p>
            <w:pPr>
              <w:pStyle w:val="4"/>
              <w:keepNext/>
              <w:keepLines/>
              <w:pageBreakBefore w:val="0"/>
              <w:widowControl w:val="0"/>
              <w:numPr>
                <w:ilvl w:val="0"/>
                <w:numId w:val="0"/>
              </w:numPr>
              <w:kinsoku/>
              <w:wordWrap/>
              <w:overflowPunct/>
              <w:topLinePunct w:val="0"/>
              <w:autoSpaceDE/>
              <w:autoSpaceDN/>
              <w:bidi w:val="0"/>
              <w:adjustRightInd w:val="0"/>
              <w:snapToGrid w:val="0"/>
              <w:spacing w:line="560" w:lineRule="exact"/>
              <w:ind w:leftChars="0"/>
              <w:jc w:val="center"/>
              <w:textAlignment w:val="auto"/>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trPr>
        <w:tc>
          <w:tcPr>
            <w:tcW w:w="9000"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98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592" w:type="dxa"/>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石家庄市鹿泉区殡葬管理所</w:t>
            </w:r>
          </w:p>
        </w:tc>
        <w:tc>
          <w:tcPr>
            <w:tcW w:w="1412"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42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67"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029"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9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惠民政策鹿泉居民骨灰盒</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9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2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9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9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94.27</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94.27</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94.27</w:t>
            </w:r>
          </w:p>
        </w:tc>
        <w:tc>
          <w:tcPr>
            <w:tcW w:w="10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7" w:hRule="atLeast"/>
        </w:trPr>
        <w:tc>
          <w:tcPr>
            <w:tcW w:w="9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94.27</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94.27</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94.27</w:t>
            </w:r>
          </w:p>
        </w:tc>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9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9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59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43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2" w:hRule="atLeast"/>
        </w:trPr>
        <w:tc>
          <w:tcPr>
            <w:tcW w:w="9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59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对户籍在鹿泉内的城乡居（村）民免费赠送一个普通骨灰盒</w:t>
            </w:r>
          </w:p>
        </w:tc>
        <w:tc>
          <w:tcPr>
            <w:tcW w:w="43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对户籍在鹿泉内的城乡居（村）民免费赠送一个普通骨灰盒</w:t>
            </w:r>
          </w:p>
        </w:tc>
        <w:tc>
          <w:tcPr>
            <w:tcW w:w="10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auto"/>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3" w:hRule="atLeast"/>
        </w:trPr>
        <w:tc>
          <w:tcPr>
            <w:tcW w:w="9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5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43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9" w:hRule="atLeast"/>
        </w:trPr>
        <w:tc>
          <w:tcPr>
            <w:tcW w:w="9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5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43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trPr>
        <w:tc>
          <w:tcPr>
            <w:tcW w:w="98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2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6"/>
                <w:szCs w:val="16"/>
                <w:u w:val="none"/>
              </w:rPr>
            </w:pPr>
            <w:r>
              <w:rPr>
                <w:rFonts w:hint="eastAsia" w:ascii="宋体" w:hAnsi="宋体" w:eastAsia="宋体" w:cs="宋体"/>
                <w:i w:val="0"/>
                <w:iCs w:val="0"/>
                <w:color w:val="auto"/>
                <w:kern w:val="0"/>
                <w:sz w:val="16"/>
                <w:szCs w:val="16"/>
                <w:u w:val="none"/>
                <w:lang w:val="en-US" w:eastAsia="zh-CN" w:bidi="ar"/>
              </w:rPr>
              <w:t>实际完成值</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产出指标（40）</w:t>
            </w:r>
          </w:p>
        </w:tc>
        <w:tc>
          <w:tcPr>
            <w:tcW w:w="88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2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全年预计免除骨灰盒数量</w:t>
            </w:r>
          </w:p>
        </w:tc>
        <w:tc>
          <w:tcPr>
            <w:tcW w:w="142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≤1900个</w:t>
            </w:r>
          </w:p>
        </w:tc>
        <w:tc>
          <w:tcPr>
            <w:tcW w:w="1567"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cs="宋体"/>
                <w:i w:val="0"/>
                <w:iCs w:val="0"/>
                <w:color w:val="auto"/>
                <w:kern w:val="0"/>
                <w:sz w:val="16"/>
                <w:szCs w:val="16"/>
                <w:u w:val="none"/>
                <w:lang w:val="en-US" w:eastAsia="zh-CN" w:bidi="ar"/>
              </w:rPr>
              <w:t>1997</w:t>
            </w:r>
            <w:r>
              <w:rPr>
                <w:rFonts w:hint="eastAsia" w:ascii="宋体" w:hAnsi="宋体" w:eastAsia="宋体" w:cs="宋体"/>
                <w:i w:val="0"/>
                <w:iCs w:val="0"/>
                <w:color w:val="auto"/>
                <w:kern w:val="0"/>
                <w:sz w:val="16"/>
                <w:szCs w:val="16"/>
                <w:u w:val="none"/>
                <w:lang w:val="en-US" w:eastAsia="zh-CN" w:bidi="ar"/>
              </w:rPr>
              <w:t>个</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9" w:hRule="atLeast"/>
        </w:trPr>
        <w:tc>
          <w:tcPr>
            <w:tcW w:w="9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质量指标</w:t>
            </w:r>
          </w:p>
        </w:tc>
        <w:tc>
          <w:tcPr>
            <w:tcW w:w="2278"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惠民殡葬政策覆盖群体</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02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7" w:hRule="atLeast"/>
        </w:trPr>
        <w:tc>
          <w:tcPr>
            <w:tcW w:w="9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时效指标</w:t>
            </w:r>
          </w:p>
        </w:tc>
        <w:tc>
          <w:tcPr>
            <w:tcW w:w="22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对鹿泉居民赠送骨灰盒及时率</w:t>
            </w:r>
          </w:p>
        </w:tc>
        <w:tc>
          <w:tcPr>
            <w:tcW w:w="142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及时</w:t>
            </w:r>
          </w:p>
        </w:tc>
        <w:tc>
          <w:tcPr>
            <w:tcW w:w="1567"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及时</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2" w:hRule="atLeast"/>
        </w:trPr>
        <w:tc>
          <w:tcPr>
            <w:tcW w:w="9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成本指标</w:t>
            </w:r>
          </w:p>
        </w:tc>
        <w:tc>
          <w:tcPr>
            <w:tcW w:w="22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免费赠送骨灰盒标准</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实际免费赠送骨灰盒标准500元/个</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387</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个</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1" w:hRule="atLeast"/>
        </w:trPr>
        <w:tc>
          <w:tcPr>
            <w:tcW w:w="9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w:t>
            </w:r>
          </w:p>
        </w:tc>
        <w:tc>
          <w:tcPr>
            <w:tcW w:w="22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执行数占预算数的比例</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1" w:hRule="atLeast"/>
        </w:trPr>
        <w:tc>
          <w:tcPr>
            <w:tcW w:w="9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效益指标（40）</w:t>
            </w:r>
          </w:p>
        </w:tc>
        <w:tc>
          <w:tcPr>
            <w:tcW w:w="88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可持续影响指标</w:t>
            </w:r>
          </w:p>
        </w:tc>
        <w:tc>
          <w:tcPr>
            <w:tcW w:w="22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能够持续较好地为鹿泉区居（村)民免除一个普通骨灰盒费用时间。</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9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vMerge w:val="continue"/>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88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生态效益指标</w:t>
            </w:r>
          </w:p>
        </w:tc>
        <w:tc>
          <w:tcPr>
            <w:tcW w:w="22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赠送骨灰盒，提高火化率实现节约土地</w:t>
            </w:r>
          </w:p>
        </w:tc>
        <w:tc>
          <w:tcPr>
            <w:tcW w:w="14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节约</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节约</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1" w:hRule="atLeast"/>
        </w:trPr>
        <w:tc>
          <w:tcPr>
            <w:tcW w:w="9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8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tc>
        <w:tc>
          <w:tcPr>
            <w:tcW w:w="2278"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丧户人群对免除骨灰盒服务的满意程度</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≥95%</w:t>
            </w:r>
          </w:p>
        </w:tc>
        <w:tc>
          <w:tcPr>
            <w:tcW w:w="1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≥95%</w:t>
            </w:r>
          </w:p>
        </w:tc>
        <w:tc>
          <w:tcPr>
            <w:tcW w:w="102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9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9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总分</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2" w:hRule="atLeast"/>
        </w:trPr>
        <w:tc>
          <w:tcPr>
            <w:tcW w:w="9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0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无</w:t>
            </w:r>
          </w:p>
        </w:tc>
      </w:tr>
    </w:tbl>
    <w:p>
      <w:pPr>
        <w:pageBreakBefore w:val="0"/>
        <w:widowControl w:val="0"/>
        <w:numPr>
          <w:ilvl w:val="0"/>
          <w:numId w:val="0"/>
        </w:numPr>
        <w:kinsoku/>
        <w:wordWrap/>
        <w:overflowPunct/>
        <w:topLinePunct w:val="0"/>
        <w:autoSpaceDE/>
        <w:autoSpaceDN/>
        <w:bidi w:val="0"/>
        <w:adjustRightInd w:val="0"/>
        <w:snapToGrid w:val="0"/>
        <w:spacing w:line="240" w:lineRule="exact"/>
        <w:ind w:firstLine="640" w:firstLineChars="200"/>
        <w:jc w:val="both"/>
        <w:textAlignment w:val="auto"/>
        <w:rPr>
          <w:rFonts w:hint="eastAsia" w:ascii="仿宋_GB2312" w:hAnsi="仿宋_GB2312" w:eastAsia="仿宋_GB2312" w:cs="仿宋_GB2312"/>
          <w:sz w:val="32"/>
          <w:szCs w:val="32"/>
          <w:lang w:val="en-US" w:eastAsia="zh-CN"/>
        </w:rPr>
      </w:pPr>
    </w:p>
    <w:p>
      <w:pPr>
        <w:pageBreakBefore w:val="0"/>
        <w:widowControl w:val="0"/>
        <w:numPr>
          <w:ilvl w:val="0"/>
          <w:numId w:val="0"/>
        </w:numPr>
        <w:kinsoku/>
        <w:wordWrap/>
        <w:overflowPunct/>
        <w:topLinePunct w:val="0"/>
        <w:autoSpaceDE/>
        <w:autoSpaceDN/>
        <w:bidi w:val="0"/>
        <w:adjustRightInd w:val="0"/>
        <w:snapToGrid w:val="0"/>
        <w:spacing w:line="240" w:lineRule="exact"/>
        <w:jc w:val="both"/>
        <w:textAlignment w:val="auto"/>
        <w:rPr>
          <w:rFonts w:hint="eastAsia" w:ascii="仿宋_GB2312" w:hAnsi="仿宋_GB2312" w:eastAsia="仿宋_GB2312" w:cs="仿宋_GB2312"/>
          <w:sz w:val="32"/>
          <w:szCs w:val="32"/>
          <w:lang w:val="en-US" w:eastAsia="zh-CN"/>
        </w:rPr>
      </w:pPr>
    </w:p>
    <w:p>
      <w:pPr>
        <w:pageBreakBefore w:val="0"/>
        <w:widowControl w:val="0"/>
        <w:numPr>
          <w:ilvl w:val="0"/>
          <w:numId w:val="0"/>
        </w:numPr>
        <w:kinsoku/>
        <w:wordWrap/>
        <w:overflowPunct/>
        <w:topLinePunct w:val="0"/>
        <w:autoSpaceDE/>
        <w:autoSpaceDN/>
        <w:bidi w:val="0"/>
        <w:adjustRightInd w:val="0"/>
        <w:snapToGrid w:val="0"/>
        <w:spacing w:line="240" w:lineRule="exact"/>
        <w:jc w:val="both"/>
        <w:textAlignment w:val="auto"/>
        <w:rPr>
          <w:rFonts w:hint="eastAsia" w:ascii="仿宋_GB2312" w:hAnsi="仿宋_GB2312" w:eastAsia="仿宋_GB2312" w:cs="仿宋_GB2312"/>
          <w:sz w:val="32"/>
          <w:szCs w:val="32"/>
          <w:lang w:val="en-US" w:eastAsia="zh-CN"/>
        </w:rPr>
      </w:pPr>
    </w:p>
    <w:tbl>
      <w:tblPr>
        <w:tblStyle w:val="13"/>
        <w:tblpPr w:leftFromText="180" w:rightFromText="180" w:vertAnchor="text" w:horzAnchor="page" w:tblpX="1811" w:tblpY="51"/>
        <w:tblOverlap w:val="never"/>
        <w:tblW w:w="892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99"/>
        <w:gridCol w:w="914"/>
        <w:gridCol w:w="886"/>
        <w:gridCol w:w="805"/>
        <w:gridCol w:w="1050"/>
        <w:gridCol w:w="1445"/>
        <w:gridCol w:w="1200"/>
        <w:gridCol w:w="152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927" w:type="dxa"/>
            <w:gridSpan w:val="8"/>
            <w:tcBorders>
              <w:top w:val="nil"/>
              <w:left w:val="nil"/>
              <w:bottom w:val="nil"/>
              <w:right w:val="nil"/>
            </w:tcBorders>
            <w:shd w:val="clear" w:color="auto" w:fill="auto"/>
            <w:noWrap/>
            <w:vAlign w:val="center"/>
          </w:tcPr>
          <w:p>
            <w:pPr>
              <w:pStyle w:val="4"/>
              <w:keepNext/>
              <w:keepLines/>
              <w:pageBreakBefore w:val="0"/>
              <w:widowControl w:val="0"/>
              <w:numPr>
                <w:ilvl w:val="0"/>
                <w:numId w:val="0"/>
              </w:numPr>
              <w:kinsoku/>
              <w:wordWrap/>
              <w:overflowPunct/>
              <w:topLinePunct w:val="0"/>
              <w:autoSpaceDE/>
              <w:autoSpaceDN/>
              <w:bidi w:val="0"/>
              <w:adjustRightInd w:val="0"/>
              <w:snapToGrid w:val="0"/>
              <w:spacing w:line="560" w:lineRule="exact"/>
              <w:ind w:leftChars="0"/>
              <w:jc w:val="center"/>
              <w:textAlignment w:val="auto"/>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927"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99"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605" w:type="dxa"/>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石家庄市鹿泉区殡葬管理所</w:t>
            </w:r>
          </w:p>
        </w:tc>
        <w:tc>
          <w:tcPr>
            <w:tcW w:w="105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44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28"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09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收费业务费</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1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8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8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资金到位情况</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资金执行情况</w:t>
            </w:r>
          </w:p>
        </w:tc>
        <w:tc>
          <w:tcPr>
            <w:tcW w:w="15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预算数：</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c>
          <w:tcPr>
            <w:tcW w:w="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到位数：</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c>
          <w:tcPr>
            <w:tcW w:w="14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c>
          <w:tcPr>
            <w:tcW w:w="15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10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其中：财政资金</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c>
          <w:tcPr>
            <w:tcW w:w="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其中：财政资金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c>
          <w:tcPr>
            <w:tcW w:w="14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其中：财政资金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c>
          <w:tcPr>
            <w:tcW w:w="15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5" w:hRule="atLeast"/>
        </w:trPr>
        <w:tc>
          <w:tcPr>
            <w:tcW w:w="10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其他</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其他</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其他</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5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6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年度预期目标</w:t>
            </w:r>
          </w:p>
        </w:tc>
        <w:tc>
          <w:tcPr>
            <w:tcW w:w="36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具体完成情况</w:t>
            </w:r>
          </w:p>
        </w:tc>
        <w:tc>
          <w:tcPr>
            <w:tcW w:w="15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0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殡葬服务收费，保障殡仪馆业务生产活动的正常进行。</w:t>
            </w:r>
          </w:p>
        </w:tc>
        <w:tc>
          <w:tcPr>
            <w:tcW w:w="36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保障殡仪馆业务生产活动的正常进行。</w:t>
            </w:r>
          </w:p>
        </w:tc>
        <w:tc>
          <w:tcPr>
            <w:tcW w:w="15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36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5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36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5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99"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18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4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实际完成值</w:t>
            </w:r>
          </w:p>
        </w:tc>
        <w:tc>
          <w:tcPr>
            <w:tcW w:w="15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109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4"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产出指标（40）</w:t>
            </w:r>
          </w:p>
        </w:tc>
        <w:tc>
          <w:tcPr>
            <w:tcW w:w="88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18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收费数量</w:t>
            </w:r>
          </w:p>
        </w:tc>
        <w:tc>
          <w:tcPr>
            <w:tcW w:w="144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每年火化的人数≥3000具</w:t>
            </w:r>
          </w:p>
        </w:tc>
        <w:tc>
          <w:tcPr>
            <w:tcW w:w="12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2679具</w:t>
            </w:r>
          </w:p>
        </w:tc>
        <w:tc>
          <w:tcPr>
            <w:tcW w:w="15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3" w:hRule="atLeast"/>
        </w:trPr>
        <w:tc>
          <w:tcPr>
            <w:tcW w:w="109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4"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质量指标</w:t>
            </w:r>
          </w:p>
        </w:tc>
        <w:tc>
          <w:tcPr>
            <w:tcW w:w="1855"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收费规范性</w:t>
            </w:r>
          </w:p>
        </w:tc>
        <w:tc>
          <w:tcPr>
            <w:tcW w:w="14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完全按标准收费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完全按照标准收费</w:t>
            </w:r>
          </w:p>
        </w:tc>
        <w:tc>
          <w:tcPr>
            <w:tcW w:w="152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2" w:hRule="atLeast"/>
        </w:trPr>
        <w:tc>
          <w:tcPr>
            <w:tcW w:w="109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时效指标</w:t>
            </w:r>
          </w:p>
        </w:tc>
        <w:tc>
          <w:tcPr>
            <w:tcW w:w="18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殡葬服务收费及时性</w:t>
            </w:r>
          </w:p>
        </w:tc>
        <w:tc>
          <w:tcPr>
            <w:tcW w:w="14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殡葬服务收费及时性</w:t>
            </w:r>
          </w:p>
        </w:tc>
        <w:tc>
          <w:tcPr>
            <w:tcW w:w="12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及时</w:t>
            </w:r>
          </w:p>
        </w:tc>
        <w:tc>
          <w:tcPr>
            <w:tcW w:w="15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50" w:hRule="atLeast"/>
        </w:trPr>
        <w:tc>
          <w:tcPr>
            <w:tcW w:w="109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成本指标</w:t>
            </w:r>
          </w:p>
        </w:tc>
        <w:tc>
          <w:tcPr>
            <w:tcW w:w="1855"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殡葬服务收费标准</w:t>
            </w:r>
          </w:p>
        </w:tc>
        <w:tc>
          <w:tcPr>
            <w:tcW w:w="14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收费标准(接送费、抬尸、火化、整容、穿脱衣）≥860元/具</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860元/具</w:t>
            </w:r>
          </w:p>
        </w:tc>
        <w:tc>
          <w:tcPr>
            <w:tcW w:w="152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8" w:hRule="atLeast"/>
        </w:trPr>
        <w:tc>
          <w:tcPr>
            <w:tcW w:w="109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8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w:t>
            </w:r>
          </w:p>
        </w:tc>
        <w:tc>
          <w:tcPr>
            <w:tcW w:w="18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执行数占预算数的比例</w:t>
            </w:r>
          </w:p>
        </w:tc>
        <w:tc>
          <w:tcPr>
            <w:tcW w:w="14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5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4" w:hRule="atLeast"/>
        </w:trPr>
        <w:tc>
          <w:tcPr>
            <w:tcW w:w="109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4"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效益指标（40）</w:t>
            </w:r>
          </w:p>
        </w:tc>
        <w:tc>
          <w:tcPr>
            <w:tcW w:w="88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可持续影响指标</w:t>
            </w:r>
          </w:p>
        </w:tc>
        <w:tc>
          <w:tcPr>
            <w:tcW w:w="18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殡葬服务收费的时间</w:t>
            </w:r>
          </w:p>
        </w:tc>
        <w:tc>
          <w:tcPr>
            <w:tcW w:w="14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15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3" w:hRule="atLeast"/>
        </w:trPr>
        <w:tc>
          <w:tcPr>
            <w:tcW w:w="109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8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tc>
        <w:tc>
          <w:tcPr>
            <w:tcW w:w="1855"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火化家属满意度</w:t>
            </w:r>
          </w:p>
        </w:tc>
        <w:tc>
          <w:tcPr>
            <w:tcW w:w="14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火化家属对服务的满意程度≥95%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火化家属对服务的满意程度≥95%</w:t>
            </w:r>
          </w:p>
        </w:tc>
        <w:tc>
          <w:tcPr>
            <w:tcW w:w="152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09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3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总分</w:t>
            </w:r>
          </w:p>
        </w:tc>
        <w:tc>
          <w:tcPr>
            <w:tcW w:w="15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2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无</w:t>
            </w:r>
          </w:p>
        </w:tc>
      </w:tr>
    </w:tbl>
    <w:p>
      <w:pPr>
        <w:pageBreakBefore w:val="0"/>
        <w:widowControl w:val="0"/>
        <w:numPr>
          <w:ilvl w:val="0"/>
          <w:numId w:val="0"/>
        </w:numPr>
        <w:kinsoku/>
        <w:wordWrap/>
        <w:overflowPunct/>
        <w:topLinePunct w:val="0"/>
        <w:autoSpaceDE/>
        <w:autoSpaceDN/>
        <w:bidi w:val="0"/>
        <w:adjustRightInd w:val="0"/>
        <w:snapToGrid w:val="0"/>
        <w:spacing w:line="240" w:lineRule="exact"/>
        <w:jc w:val="both"/>
        <w:textAlignment w:val="auto"/>
        <w:rPr>
          <w:rFonts w:hint="eastAsia" w:ascii="仿宋_GB2312" w:hAnsi="仿宋_GB2312" w:eastAsia="仿宋_GB2312" w:cs="仿宋_GB2312"/>
          <w:sz w:val="32"/>
          <w:szCs w:val="32"/>
          <w:lang w:val="en-US" w:eastAsia="zh-CN"/>
        </w:rPr>
      </w:pPr>
    </w:p>
    <w:p>
      <w:pPr>
        <w:pageBreakBefore w:val="0"/>
        <w:widowControl w:val="0"/>
        <w:numPr>
          <w:ilvl w:val="0"/>
          <w:numId w:val="0"/>
        </w:numPr>
        <w:kinsoku/>
        <w:wordWrap/>
        <w:overflowPunct/>
        <w:topLinePunct w:val="0"/>
        <w:autoSpaceDE/>
        <w:autoSpaceDN/>
        <w:bidi w:val="0"/>
        <w:adjustRightInd w:val="0"/>
        <w:snapToGrid w:val="0"/>
        <w:spacing w:line="240" w:lineRule="exact"/>
        <w:jc w:val="both"/>
        <w:textAlignment w:val="auto"/>
        <w:rPr>
          <w:rFonts w:hint="eastAsia" w:ascii="仿宋_GB2312" w:hAnsi="仿宋_GB2312" w:eastAsia="仿宋_GB2312" w:cs="仿宋_GB2312"/>
          <w:sz w:val="32"/>
          <w:szCs w:val="32"/>
          <w:lang w:val="en-US" w:eastAsia="zh-CN"/>
        </w:rPr>
      </w:pPr>
    </w:p>
    <w:p>
      <w:pPr>
        <w:pageBreakBefore w:val="0"/>
        <w:widowControl w:val="0"/>
        <w:numPr>
          <w:ilvl w:val="0"/>
          <w:numId w:val="0"/>
        </w:numPr>
        <w:kinsoku/>
        <w:wordWrap/>
        <w:overflowPunct/>
        <w:topLinePunct w:val="0"/>
        <w:autoSpaceDE/>
        <w:autoSpaceDN/>
        <w:bidi w:val="0"/>
        <w:adjustRightInd w:val="0"/>
        <w:snapToGrid w:val="0"/>
        <w:spacing w:line="240" w:lineRule="exact"/>
        <w:jc w:val="both"/>
        <w:textAlignment w:val="auto"/>
        <w:rPr>
          <w:rFonts w:hint="eastAsia" w:ascii="仿宋_GB2312" w:hAnsi="仿宋_GB2312" w:eastAsia="仿宋_GB2312" w:cs="仿宋_GB2312"/>
          <w:sz w:val="32"/>
          <w:szCs w:val="32"/>
          <w:lang w:val="en-US" w:eastAsia="zh-CN"/>
        </w:rPr>
      </w:pPr>
    </w:p>
    <w:p>
      <w:pPr>
        <w:pageBreakBefore w:val="0"/>
        <w:widowControl w:val="0"/>
        <w:numPr>
          <w:ilvl w:val="0"/>
          <w:numId w:val="0"/>
        </w:numPr>
        <w:kinsoku/>
        <w:wordWrap/>
        <w:overflowPunct/>
        <w:topLinePunct w:val="0"/>
        <w:autoSpaceDE/>
        <w:autoSpaceDN/>
        <w:bidi w:val="0"/>
        <w:adjustRightInd w:val="0"/>
        <w:snapToGrid w:val="0"/>
        <w:spacing w:line="240" w:lineRule="exact"/>
        <w:jc w:val="both"/>
        <w:textAlignment w:val="auto"/>
        <w:rPr>
          <w:rFonts w:hint="eastAsia" w:ascii="仿宋_GB2312" w:hAnsi="仿宋_GB2312" w:eastAsia="仿宋_GB2312" w:cs="仿宋_GB2312"/>
          <w:sz w:val="32"/>
          <w:szCs w:val="32"/>
          <w:lang w:val="en-US" w:eastAsia="zh-CN"/>
        </w:rPr>
      </w:pPr>
    </w:p>
    <w:p>
      <w:pPr>
        <w:pageBreakBefore w:val="0"/>
        <w:widowControl w:val="0"/>
        <w:numPr>
          <w:ilvl w:val="0"/>
          <w:numId w:val="0"/>
        </w:numPr>
        <w:kinsoku/>
        <w:wordWrap/>
        <w:overflowPunct/>
        <w:topLinePunct w:val="0"/>
        <w:autoSpaceDE/>
        <w:autoSpaceDN/>
        <w:bidi w:val="0"/>
        <w:adjustRightInd w:val="0"/>
        <w:snapToGrid w:val="0"/>
        <w:spacing w:line="240" w:lineRule="exact"/>
        <w:jc w:val="both"/>
        <w:textAlignment w:val="auto"/>
        <w:rPr>
          <w:rFonts w:hint="eastAsia" w:ascii="仿宋_GB2312" w:hAnsi="仿宋_GB2312" w:eastAsia="仿宋_GB2312" w:cs="仿宋_GB2312"/>
          <w:sz w:val="32"/>
          <w:szCs w:val="32"/>
          <w:lang w:val="en-US" w:eastAsia="zh-CN"/>
        </w:rPr>
      </w:pPr>
    </w:p>
    <w:p>
      <w:pPr>
        <w:pageBreakBefore w:val="0"/>
        <w:widowControl w:val="0"/>
        <w:numPr>
          <w:ilvl w:val="0"/>
          <w:numId w:val="0"/>
        </w:numPr>
        <w:kinsoku/>
        <w:wordWrap/>
        <w:overflowPunct/>
        <w:topLinePunct w:val="0"/>
        <w:autoSpaceDE/>
        <w:autoSpaceDN/>
        <w:bidi w:val="0"/>
        <w:adjustRightInd w:val="0"/>
        <w:snapToGrid w:val="0"/>
        <w:spacing w:line="240" w:lineRule="exact"/>
        <w:jc w:val="both"/>
        <w:textAlignment w:val="auto"/>
        <w:rPr>
          <w:rFonts w:hint="eastAsia" w:ascii="仿宋_GB2312" w:hAnsi="仿宋_GB2312" w:eastAsia="仿宋_GB2312" w:cs="仿宋_GB2312"/>
          <w:sz w:val="32"/>
          <w:szCs w:val="32"/>
          <w:lang w:val="en-US" w:eastAsia="zh-CN"/>
        </w:rPr>
      </w:pPr>
    </w:p>
    <w:p>
      <w:pPr>
        <w:pageBreakBefore w:val="0"/>
        <w:widowControl w:val="0"/>
        <w:numPr>
          <w:ilvl w:val="0"/>
          <w:numId w:val="0"/>
        </w:numPr>
        <w:kinsoku/>
        <w:wordWrap/>
        <w:overflowPunct/>
        <w:topLinePunct w:val="0"/>
        <w:autoSpaceDE/>
        <w:autoSpaceDN/>
        <w:bidi w:val="0"/>
        <w:adjustRightInd w:val="0"/>
        <w:snapToGrid w:val="0"/>
        <w:spacing w:line="240" w:lineRule="exact"/>
        <w:jc w:val="both"/>
        <w:textAlignment w:val="auto"/>
        <w:rPr>
          <w:rFonts w:hint="eastAsia" w:ascii="仿宋_GB2312" w:hAnsi="仿宋_GB2312" w:eastAsia="仿宋_GB2312" w:cs="仿宋_GB2312"/>
          <w:sz w:val="32"/>
          <w:szCs w:val="32"/>
          <w:lang w:val="en-US" w:eastAsia="zh-CN"/>
        </w:rPr>
      </w:pPr>
    </w:p>
    <w:p>
      <w:pPr>
        <w:pageBreakBefore w:val="0"/>
        <w:widowControl w:val="0"/>
        <w:numPr>
          <w:ilvl w:val="0"/>
          <w:numId w:val="0"/>
        </w:numPr>
        <w:kinsoku/>
        <w:wordWrap/>
        <w:overflowPunct/>
        <w:topLinePunct w:val="0"/>
        <w:autoSpaceDE/>
        <w:autoSpaceDN/>
        <w:bidi w:val="0"/>
        <w:adjustRightInd w:val="0"/>
        <w:snapToGrid w:val="0"/>
        <w:spacing w:line="240" w:lineRule="exact"/>
        <w:jc w:val="both"/>
        <w:textAlignment w:val="auto"/>
        <w:rPr>
          <w:rFonts w:hint="eastAsia" w:ascii="仿宋_GB2312" w:hAnsi="仿宋_GB2312" w:eastAsia="仿宋_GB2312" w:cs="仿宋_GB2312"/>
          <w:sz w:val="32"/>
          <w:szCs w:val="32"/>
          <w:lang w:val="en-US" w:eastAsia="zh-CN"/>
        </w:rPr>
      </w:pPr>
    </w:p>
    <w:p>
      <w:pPr>
        <w:widowControl w:val="0"/>
        <w:numPr>
          <w:ilvl w:val="0"/>
          <w:numId w:val="0"/>
        </w:numPr>
        <w:adjustRightInd w:val="0"/>
        <w:snapToGrid w:val="0"/>
        <w:spacing w:line="580" w:lineRule="exact"/>
        <w:ind w:firstLine="640" w:firstLineChars="200"/>
        <w:jc w:val="both"/>
        <w:rPr>
          <w:rFonts w:hint="eastAsia" w:ascii="仿宋_GB2312" w:hAnsi="仿宋_GB2312" w:eastAsia="仿宋_GB2312" w:cs="仿宋_GB2312"/>
          <w:sz w:val="32"/>
          <w:szCs w:val="32"/>
          <w:lang w:val="en-US" w:eastAsia="zh-CN"/>
        </w:rPr>
      </w:pPr>
    </w:p>
    <w:tbl>
      <w:tblPr>
        <w:tblStyle w:val="13"/>
        <w:tblW w:w="882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6"/>
        <w:gridCol w:w="696"/>
        <w:gridCol w:w="869"/>
        <w:gridCol w:w="934"/>
        <w:gridCol w:w="1005"/>
        <w:gridCol w:w="1356"/>
        <w:gridCol w:w="1350"/>
        <w:gridCol w:w="15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822" w:type="dxa"/>
            <w:gridSpan w:val="8"/>
            <w:tcBorders>
              <w:top w:val="nil"/>
              <w:left w:val="nil"/>
              <w:bottom w:val="nil"/>
              <w:right w:val="nil"/>
            </w:tcBorders>
            <w:shd w:val="clear" w:color="auto" w:fill="auto"/>
            <w:noWrap/>
            <w:vAlign w:val="center"/>
          </w:tcPr>
          <w:p>
            <w:pPr>
              <w:pStyle w:val="4"/>
              <w:keepNext/>
              <w:keepLines/>
              <w:pageBreakBefore w:val="0"/>
              <w:widowControl w:val="0"/>
              <w:numPr>
                <w:ilvl w:val="0"/>
                <w:numId w:val="0"/>
              </w:numPr>
              <w:kinsoku/>
              <w:wordWrap/>
              <w:overflowPunct/>
              <w:topLinePunct w:val="0"/>
              <w:autoSpaceDE/>
              <w:autoSpaceDN/>
              <w:bidi w:val="0"/>
              <w:adjustRightInd w:val="0"/>
              <w:snapToGrid w:val="0"/>
              <w:spacing w:line="560" w:lineRule="exact"/>
              <w:ind w:leftChars="0"/>
              <w:jc w:val="center"/>
              <w:textAlignment w:val="auto"/>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822"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499" w:type="dxa"/>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石家庄市鹿泉区殡葬管理所</w:t>
            </w:r>
          </w:p>
        </w:tc>
        <w:tc>
          <w:tcPr>
            <w:tcW w:w="100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356"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35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96"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除尘设备维护费</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3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7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9.684</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9.684</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9.684</w:t>
            </w:r>
          </w:p>
        </w:tc>
        <w:tc>
          <w:tcPr>
            <w:tcW w:w="15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9.684</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9.684</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9.684</w:t>
            </w:r>
          </w:p>
        </w:tc>
        <w:tc>
          <w:tcPr>
            <w:tcW w:w="15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4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1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更换2台火化炉滤芯和1台焚烧炉滤芯；使更换后的2台火化炉和1台焚烧炉尾气处理污染物的排放标准达到GB13801-2015标准；排放无黑烟，达到林格曼0级；二噁英的排放符合国家标准要求</w:t>
            </w:r>
          </w:p>
        </w:tc>
        <w:tc>
          <w:tcPr>
            <w:tcW w:w="371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kern w:val="0"/>
                <w:sz w:val="16"/>
                <w:szCs w:val="16"/>
                <w:u w:val="none"/>
                <w:lang w:val="en-US" w:eastAsia="zh-CN" w:bidi="ar"/>
              </w:rPr>
              <w:t>更换2台火化炉滤芯和1台焚烧炉滤芯；使更换后的2台火化炉和1台焚烧炉尾气处理污染物的排放标准达到GB13801-2015标准；排放无黑烟，达到林格曼0级；二噁英的排放符合国家标准要求</w:t>
            </w:r>
          </w:p>
        </w:tc>
        <w:tc>
          <w:tcPr>
            <w:tcW w:w="15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1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1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1"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86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预计更换滤芯的炉子数量</w:t>
            </w:r>
          </w:p>
        </w:tc>
        <w:tc>
          <w:tcPr>
            <w:tcW w:w="135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实际更换≥3套滤芯炉子</w:t>
            </w:r>
          </w:p>
        </w:tc>
        <w:tc>
          <w:tcPr>
            <w:tcW w:w="135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3</w:t>
            </w:r>
            <w:r>
              <w:rPr>
                <w:rFonts w:hint="eastAsia" w:ascii="宋体" w:hAnsi="宋体" w:eastAsia="宋体" w:cs="宋体"/>
                <w:i w:val="0"/>
                <w:iCs w:val="0"/>
                <w:color w:val="000000"/>
                <w:kern w:val="0"/>
                <w:sz w:val="16"/>
                <w:szCs w:val="16"/>
                <w:u w:val="none"/>
                <w:lang w:val="en-US" w:eastAsia="zh-CN" w:bidi="ar"/>
              </w:rPr>
              <w:t>台</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939"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更换后达到标准</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尾气处理污染物排放达到达到GB13801-2015标准</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达到标准</w:t>
            </w:r>
          </w:p>
        </w:tc>
        <w:tc>
          <w:tcPr>
            <w:tcW w:w="15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维护除尘设备及时率</w:t>
            </w:r>
          </w:p>
        </w:tc>
        <w:tc>
          <w:tcPr>
            <w:tcW w:w="135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除尘设备维护费实际支出是否控制在预算内</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是</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是</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6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执行数占预算数的比例</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r>
              <w:rPr>
                <w:rFonts w:hint="default" w:ascii="宋体" w:hAnsi="宋体" w:eastAsia="宋体" w:cs="宋体"/>
                <w:i w:val="0"/>
                <w:iCs w:val="0"/>
                <w:color w:val="000000"/>
                <w:kern w:val="0"/>
                <w:sz w:val="16"/>
                <w:szCs w:val="16"/>
                <w:u w:val="none"/>
                <w:lang w:val="en-US" w:eastAsia="zh-CN" w:bidi="ar"/>
              </w:rPr>
              <w:t>%</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8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除尘设备污染治理设施的可持续性</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排放物标准</w:t>
            </w:r>
          </w:p>
        </w:tc>
        <w:tc>
          <w:tcPr>
            <w:tcW w:w="135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更换后烟雾排放达到无黑烟达到林格曼0级</w:t>
            </w:r>
          </w:p>
        </w:tc>
        <w:tc>
          <w:tcPr>
            <w:tcW w:w="135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烟雾排放达到无黑烟达到林格曼0级</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预计二噁英排放情况</w:t>
            </w:r>
          </w:p>
        </w:tc>
        <w:tc>
          <w:tcPr>
            <w:tcW w:w="135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实际二噁英的排放达到符合国家标准要求</w:t>
            </w:r>
          </w:p>
        </w:tc>
        <w:tc>
          <w:tcPr>
            <w:tcW w:w="135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二噁英的排放达到符合国家标准要求</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39"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对尾气除尘设备滤芯更换后的满意度≥95%</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≥95%</w:t>
            </w:r>
          </w:p>
        </w:tc>
        <w:tc>
          <w:tcPr>
            <w:tcW w:w="15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21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lang w:val="en-US"/>
              </w:rPr>
            </w:pPr>
            <w:r>
              <w:rPr>
                <w:rFonts w:hint="eastAsia" w:cs="Calibri"/>
                <w:i w:val="0"/>
                <w:iCs w:val="0"/>
                <w:color w:val="000000"/>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0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0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无</w:t>
            </w:r>
          </w:p>
        </w:tc>
      </w:tr>
    </w:tbl>
    <w:tbl>
      <w:tblPr>
        <w:tblStyle w:val="13"/>
        <w:tblpPr w:leftFromText="180" w:rightFromText="180" w:vertAnchor="text" w:horzAnchor="page" w:tblpX="1903" w:tblpY="639"/>
        <w:tblOverlap w:val="never"/>
        <w:tblW w:w="88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6"/>
        <w:gridCol w:w="696"/>
        <w:gridCol w:w="869"/>
        <w:gridCol w:w="934"/>
        <w:gridCol w:w="1005"/>
        <w:gridCol w:w="1356"/>
        <w:gridCol w:w="1350"/>
        <w:gridCol w:w="1596"/>
      </w:tblGrid>
      <w:tr>
        <w:tblPrEx>
          <w:shd w:val="clear" w:color="auto" w:fill="auto"/>
          <w:tblCellMar>
            <w:top w:w="0" w:type="dxa"/>
            <w:left w:w="108" w:type="dxa"/>
            <w:bottom w:w="0" w:type="dxa"/>
            <w:right w:w="108" w:type="dxa"/>
          </w:tblCellMar>
        </w:tblPrEx>
        <w:trPr>
          <w:trHeight w:val="1098" w:hRule="atLeast"/>
        </w:trPr>
        <w:tc>
          <w:tcPr>
            <w:tcW w:w="8822" w:type="dxa"/>
            <w:gridSpan w:val="8"/>
            <w:tcBorders>
              <w:top w:val="nil"/>
              <w:left w:val="nil"/>
              <w:bottom w:val="nil"/>
              <w:right w:val="nil"/>
            </w:tcBorders>
            <w:shd w:val="clear" w:color="auto" w:fill="auto"/>
            <w:noWrap/>
            <w:vAlign w:val="center"/>
          </w:tcPr>
          <w:p>
            <w:pPr>
              <w:pStyle w:val="4"/>
              <w:keepNext/>
              <w:keepLines/>
              <w:pageBreakBefore w:val="0"/>
              <w:widowControl w:val="0"/>
              <w:numPr>
                <w:ilvl w:val="0"/>
                <w:numId w:val="0"/>
              </w:numPr>
              <w:kinsoku/>
              <w:wordWrap/>
              <w:overflowPunct/>
              <w:topLinePunct w:val="0"/>
              <w:autoSpaceDE/>
              <w:autoSpaceDN/>
              <w:bidi w:val="0"/>
              <w:adjustRightInd w:val="0"/>
              <w:snapToGrid w:val="0"/>
              <w:spacing w:line="560" w:lineRule="exact"/>
              <w:ind w:leftChars="0"/>
              <w:jc w:val="center"/>
              <w:textAlignment w:val="auto"/>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822"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1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499" w:type="dxa"/>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石家庄市鹿泉区殡葬管理所</w:t>
            </w:r>
          </w:p>
        </w:tc>
        <w:tc>
          <w:tcPr>
            <w:tcW w:w="100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356"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35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96"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石财预【2023】14号关于下达疫情防控财力补助资金的通知-殡葬行业一线从业人员补助</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3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7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26</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26</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26</w:t>
            </w:r>
          </w:p>
        </w:tc>
        <w:tc>
          <w:tcPr>
            <w:tcW w:w="15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26</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26</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26</w:t>
            </w:r>
          </w:p>
        </w:tc>
        <w:tc>
          <w:tcPr>
            <w:tcW w:w="15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4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1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全力做好殡葬服务保障，实现疫情防控平稳转段和社会秩序稳定重要作用。</w:t>
            </w:r>
          </w:p>
        </w:tc>
        <w:tc>
          <w:tcPr>
            <w:tcW w:w="371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kern w:val="0"/>
                <w:sz w:val="16"/>
                <w:szCs w:val="16"/>
                <w:u w:val="none"/>
                <w:lang w:val="en-US" w:eastAsia="zh-CN" w:bidi="ar"/>
              </w:rPr>
              <w:t>做好殡葬服务保障，实现疫情防控平稳转段和社会秩序稳定重要作用。</w:t>
            </w:r>
          </w:p>
        </w:tc>
        <w:tc>
          <w:tcPr>
            <w:tcW w:w="15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1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1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1"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86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疫情防控补助资金人数</w:t>
            </w:r>
          </w:p>
        </w:tc>
        <w:tc>
          <w:tcPr>
            <w:tcW w:w="135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疫情防控补助资金人数</w:t>
            </w:r>
          </w:p>
        </w:tc>
        <w:tc>
          <w:tcPr>
            <w:tcW w:w="135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21人</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939"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补助资金发放完成率（%）</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殡葬临时补助资金发放完成率（%）</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100%</w:t>
            </w:r>
          </w:p>
        </w:tc>
        <w:tc>
          <w:tcPr>
            <w:tcW w:w="15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成本指标</w:t>
            </w:r>
          </w:p>
        </w:tc>
        <w:tc>
          <w:tcPr>
            <w:tcW w:w="1939"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直接接触遗体相关人员成本</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一线关键岗位工作人员成本</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200元/人/天</w:t>
            </w:r>
          </w:p>
        </w:tc>
        <w:tc>
          <w:tcPr>
            <w:tcW w:w="15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工作任务完成及时率</w:t>
            </w:r>
          </w:p>
        </w:tc>
        <w:tc>
          <w:tcPr>
            <w:tcW w:w="135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工作任务完成及时率</w:t>
            </w:r>
          </w:p>
        </w:tc>
        <w:tc>
          <w:tcPr>
            <w:tcW w:w="135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直接接触遗体相关人员成本</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直接接触遗体相关人员成本</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300元/人/天</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6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执行数占预算数的比例</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r>
              <w:rPr>
                <w:rFonts w:hint="default" w:ascii="宋体" w:hAnsi="宋体" w:eastAsia="宋体" w:cs="宋体"/>
                <w:i w:val="0"/>
                <w:iCs w:val="0"/>
                <w:color w:val="000000"/>
                <w:kern w:val="0"/>
                <w:sz w:val="16"/>
                <w:szCs w:val="16"/>
                <w:u w:val="none"/>
                <w:lang w:val="en-US" w:eastAsia="zh-CN" w:bidi="ar"/>
              </w:rPr>
              <w:t>%</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8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任务计划完成率</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任务计划完成率</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为城乡居民提供基本殡葬服务水平</w:t>
            </w:r>
          </w:p>
        </w:tc>
        <w:tc>
          <w:tcPr>
            <w:tcW w:w="135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为城乡居民提供基本殡葬服务水平</w:t>
            </w:r>
          </w:p>
        </w:tc>
        <w:tc>
          <w:tcPr>
            <w:tcW w:w="135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39"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补助资金对象的满意度</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补助资金对象的满意度</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5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21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lang w:val="en-US"/>
              </w:rPr>
            </w:pPr>
            <w:r>
              <w:rPr>
                <w:rFonts w:hint="eastAsia" w:cs="Calibri"/>
                <w:i w:val="0"/>
                <w:iCs w:val="0"/>
                <w:color w:val="000000"/>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0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0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无</w:t>
            </w:r>
          </w:p>
        </w:tc>
      </w:tr>
    </w:tbl>
    <w:tbl>
      <w:tblPr>
        <w:tblStyle w:val="13"/>
        <w:tblW w:w="990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3"/>
        <w:gridCol w:w="906"/>
        <w:gridCol w:w="600"/>
        <w:gridCol w:w="624"/>
        <w:gridCol w:w="441"/>
        <w:gridCol w:w="621"/>
        <w:gridCol w:w="159"/>
        <w:gridCol w:w="840"/>
        <w:gridCol w:w="561"/>
        <w:gridCol w:w="54"/>
        <w:gridCol w:w="737"/>
        <w:gridCol w:w="249"/>
        <w:gridCol w:w="454"/>
        <w:gridCol w:w="756"/>
        <w:gridCol w:w="125"/>
        <w:gridCol w:w="1153"/>
        <w:gridCol w:w="197"/>
        <w:gridCol w:w="13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2"/>
          <w:wBefore w:w="93" w:type="dxa"/>
          <w:wAfter w:w="1533" w:type="dxa"/>
          <w:trHeight w:val="753" w:hRule="atLeast"/>
        </w:trPr>
        <w:tc>
          <w:tcPr>
            <w:tcW w:w="8280" w:type="dxa"/>
            <w:gridSpan w:val="15"/>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w:t>
            </w:r>
            <w:r>
              <w:rPr>
                <w:rFonts w:hint="eastAsia" w:ascii="方正小标宋_GBK" w:hAnsi="方正小标宋_GBK" w:eastAsia="方正小标宋_GBK" w:cs="方正小标宋_GBK"/>
                <w:i w:val="0"/>
                <w:color w:val="000000"/>
                <w:kern w:val="0"/>
                <w:sz w:val="40"/>
                <w:szCs w:val="40"/>
                <w:u w:val="none"/>
                <w:lang w:val="en-US" w:eastAsia="zh-CN" w:bidi="ar"/>
              </w:rPr>
              <w:t>单位</w:t>
            </w:r>
            <w:r>
              <w:rPr>
                <w:rFonts w:hint="default" w:ascii="方正小标宋_GBK" w:hAnsi="方正小标宋_GBK" w:eastAsia="方正小标宋_GBK" w:cs="方正小标宋_GBK"/>
                <w:i w:val="0"/>
                <w:color w:val="000000"/>
                <w:kern w:val="0"/>
                <w:sz w:val="40"/>
                <w:szCs w:val="40"/>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2"/>
          <w:wBefore w:w="93" w:type="dxa"/>
          <w:wAfter w:w="1533" w:type="dxa"/>
          <w:trHeight w:val="285" w:hRule="atLeast"/>
        </w:trPr>
        <w:tc>
          <w:tcPr>
            <w:tcW w:w="8280" w:type="dxa"/>
            <w:gridSpan w:val="15"/>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CellMar>
            <w:top w:w="0" w:type="dxa"/>
            <w:left w:w="0" w:type="dxa"/>
            <w:bottom w:w="0" w:type="dxa"/>
            <w:right w:w="0" w:type="dxa"/>
          </w:tblCellMar>
        </w:tblPrEx>
        <w:trPr>
          <w:gridBefore w:val="1"/>
          <w:gridAfter w:val="2"/>
          <w:wBefore w:w="93" w:type="dxa"/>
          <w:wAfter w:w="1533" w:type="dxa"/>
          <w:trHeight w:val="356" w:hRule="atLeast"/>
        </w:trPr>
        <w:tc>
          <w:tcPr>
            <w:tcW w:w="1506"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填报单位：石家庄市鹿泉区福利彩票销售管理中心</w:t>
            </w:r>
          </w:p>
        </w:tc>
        <w:tc>
          <w:tcPr>
            <w:tcW w:w="1065"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5"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40" w:type="dxa"/>
            <w:gridSpan w:val="3"/>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78"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514" w:hRule="atLeast"/>
        </w:trPr>
        <w:tc>
          <w:tcPr>
            <w:tcW w:w="1506"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Style w:val="27"/>
                <w:lang w:val="en-US" w:eastAsia="zh-CN" w:bidi="ar"/>
              </w:rPr>
              <w:t>基本情况</w:t>
            </w: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福利彩票销售管理中心人员工资社保补助</w:t>
            </w:r>
          </w:p>
        </w:tc>
        <w:tc>
          <w:tcPr>
            <w:tcW w:w="6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474"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石家庄市鹿泉区福利彩票销售管理中心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514" w:hRule="atLeast"/>
        </w:trPr>
        <w:tc>
          <w:tcPr>
            <w:tcW w:w="15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84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1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9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2"/>
          <w:wBefore w:w="93" w:type="dxa"/>
          <w:wAfter w:w="1533" w:type="dxa"/>
          <w:trHeight w:val="267" w:hRule="atLeast"/>
        </w:trPr>
        <w:tc>
          <w:tcPr>
            <w:tcW w:w="15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88.97</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6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88.97</w:t>
            </w: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lang w:val="en-US"/>
              </w:rPr>
            </w:pPr>
            <w:r>
              <w:rPr>
                <w:rFonts w:hint="eastAsia" w:ascii="Calibri" w:hAnsi="Calibri" w:eastAsia="宋体" w:cs="Calibri"/>
                <w:i w:val="0"/>
                <w:color w:val="000000"/>
                <w:kern w:val="0"/>
                <w:sz w:val="16"/>
                <w:szCs w:val="16"/>
                <w:u w:val="none"/>
                <w:lang w:val="en-US" w:eastAsia="zh-CN" w:bidi="ar"/>
              </w:rPr>
              <w:t>88.97</w:t>
            </w:r>
          </w:p>
        </w:tc>
        <w:tc>
          <w:tcPr>
            <w:tcW w:w="12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2"/>
          <w:wBefore w:w="93" w:type="dxa"/>
          <w:wAfter w:w="1533" w:type="dxa"/>
          <w:trHeight w:val="514" w:hRule="atLeast"/>
        </w:trPr>
        <w:tc>
          <w:tcPr>
            <w:tcW w:w="15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88.97</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6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88.97</w:t>
            </w: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88.97</w:t>
            </w: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267" w:hRule="atLeast"/>
        </w:trPr>
        <w:tc>
          <w:tcPr>
            <w:tcW w:w="15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16"/>
                <w:szCs w:val="16"/>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6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267" w:hRule="atLeast"/>
        </w:trPr>
        <w:tc>
          <w:tcPr>
            <w:tcW w:w="15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68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281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312" w:hRule="atLeast"/>
        </w:trPr>
        <w:tc>
          <w:tcPr>
            <w:tcW w:w="15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8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保障人员工资福利。</w:t>
            </w:r>
          </w:p>
        </w:tc>
        <w:tc>
          <w:tcPr>
            <w:tcW w:w="2811"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保障人员工资福利。</w:t>
            </w:r>
          </w:p>
        </w:tc>
        <w:tc>
          <w:tcPr>
            <w:tcW w:w="12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312" w:hRule="atLeast"/>
        </w:trPr>
        <w:tc>
          <w:tcPr>
            <w:tcW w:w="15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8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11"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312" w:hRule="atLeast"/>
        </w:trPr>
        <w:tc>
          <w:tcPr>
            <w:tcW w:w="15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8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11"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2"/>
          <w:wBefore w:w="93" w:type="dxa"/>
          <w:wAfter w:w="1533" w:type="dxa"/>
          <w:trHeight w:val="514" w:hRule="atLeast"/>
        </w:trPr>
        <w:tc>
          <w:tcPr>
            <w:tcW w:w="1506" w:type="dxa"/>
            <w:gridSpan w:val="2"/>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Style w:val="27"/>
                <w:lang w:val="en-US" w:eastAsia="zh-CN" w:bidi="ar"/>
              </w:rPr>
              <w:t>年度绩效指标完成情况</w:t>
            </w:r>
          </w:p>
        </w:tc>
        <w:tc>
          <w:tcPr>
            <w:tcW w:w="106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1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2"/>
          <w:wBefore w:w="93" w:type="dxa"/>
          <w:wAfter w:w="1533" w:type="dxa"/>
          <w:trHeight w:val="514" w:hRule="atLeast"/>
        </w:trPr>
        <w:tc>
          <w:tcPr>
            <w:tcW w:w="1506"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780" w:type="dxa"/>
            <w:gridSpan w:val="2"/>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1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保障人数</w:t>
            </w: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7人</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7人</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2"/>
          <w:wBefore w:w="93" w:type="dxa"/>
          <w:wAfter w:w="1533" w:type="dxa"/>
          <w:trHeight w:val="514" w:hRule="atLeast"/>
        </w:trPr>
        <w:tc>
          <w:tcPr>
            <w:tcW w:w="1506"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1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工资福利发放精准性</w:t>
            </w: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2"/>
          <w:wBefore w:w="93" w:type="dxa"/>
          <w:wAfter w:w="1533" w:type="dxa"/>
          <w:trHeight w:val="760" w:hRule="atLeast"/>
        </w:trPr>
        <w:tc>
          <w:tcPr>
            <w:tcW w:w="1506"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1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工资福利发放的及时性</w:t>
            </w: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按规定时间发放</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按规定时间发放</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267" w:hRule="atLeast"/>
        </w:trPr>
        <w:tc>
          <w:tcPr>
            <w:tcW w:w="1506"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1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工资发放标准</w:t>
            </w: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按规定执行</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按规定执行</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2"/>
          <w:wBefore w:w="93" w:type="dxa"/>
          <w:wAfter w:w="1533" w:type="dxa"/>
          <w:trHeight w:val="514" w:hRule="atLeast"/>
        </w:trPr>
        <w:tc>
          <w:tcPr>
            <w:tcW w:w="1506"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90.48%</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1007" w:hRule="atLeast"/>
        </w:trPr>
        <w:tc>
          <w:tcPr>
            <w:tcW w:w="1506"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78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1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加强工作人员归属感</w:t>
            </w: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保持干部队伍相对稳定</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保持干部队伍相对稳定</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514" w:hRule="atLeast"/>
        </w:trPr>
        <w:tc>
          <w:tcPr>
            <w:tcW w:w="1506"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1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单位人员满意度</w:t>
            </w:r>
          </w:p>
        </w:tc>
        <w:tc>
          <w:tcPr>
            <w:tcW w:w="14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2"/>
          <w:wBefore w:w="93" w:type="dxa"/>
          <w:wAfter w:w="1533" w:type="dxa"/>
          <w:trHeight w:val="267" w:hRule="atLeast"/>
        </w:trPr>
        <w:tc>
          <w:tcPr>
            <w:tcW w:w="1506"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96"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lang w:val="en-US"/>
              </w:rPr>
            </w:pPr>
            <w:r>
              <w:rPr>
                <w:rFonts w:hint="eastAsia" w:ascii="Calibri" w:hAnsi="Calibri" w:eastAsia="宋体" w:cs="Calibri"/>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2"/>
          <w:wBefore w:w="93" w:type="dxa"/>
          <w:wAfter w:w="1533" w:type="dxa"/>
          <w:trHeight w:val="609" w:hRule="atLeast"/>
        </w:trPr>
        <w:tc>
          <w:tcPr>
            <w:tcW w:w="150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27"/>
                <w:lang w:val="en-US" w:eastAsia="zh-CN" w:bidi="ar"/>
              </w:rPr>
              <w:t>存在问题、原因及下一步整改措施</w:t>
            </w:r>
          </w:p>
        </w:tc>
        <w:tc>
          <w:tcPr>
            <w:tcW w:w="6774"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jc w:val="center"/>
        </w:trPr>
        <w:tc>
          <w:tcPr>
            <w:tcW w:w="9906" w:type="dxa"/>
            <w:gridSpan w:val="18"/>
            <w:tcBorders>
              <w:top w:val="nil"/>
              <w:left w:val="nil"/>
              <w:bottom w:val="nil"/>
              <w:right w:val="nil"/>
            </w:tcBorders>
            <w:shd w:val="clear" w:color="auto" w:fill="auto"/>
            <w:vAlign w:val="center"/>
          </w:tcPr>
          <w:p>
            <w:pPr>
              <w:pStyle w:val="4"/>
              <w:numPr>
                <w:ilvl w:val="0"/>
                <w:numId w:val="0"/>
              </w:numPr>
              <w:bidi w:val="0"/>
              <w:ind w:leftChars="0"/>
              <w:jc w:val="cente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906" w:type="dxa"/>
            <w:gridSpan w:val="1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jc w:val="center"/>
        </w:trPr>
        <w:tc>
          <w:tcPr>
            <w:tcW w:w="99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62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石财社【2021】101号关于提前下达2022年中央财政困难群众基本生活救助补助资金的通知-孤儿基本生活费</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6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7.470668</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7.470668</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7.470668</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7.470668</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7.470668</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7.470668</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2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发放查找不到生父母或视同孤儿的孤儿生活补贴，散居孤儿人数约62人,每人每月1100元；机构孤儿人数约18人,每人每月1600元。通过发放生活费，让每个孤儿的生活都得到基本保障。</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3725"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发放查找不到生父母或视同孤儿的孤儿生活补贴，散居孤儿人数约61人,每人每月1400元；机构孤儿人数约10人,每人每月1900元。通过发放生活费，让每个孤儿的生活都得到了基本保障。</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94.5</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93"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效益指标（50）</w:t>
            </w:r>
          </w:p>
        </w:tc>
        <w:tc>
          <w:tcPr>
            <w:tcW w:w="1062" w:type="dxa"/>
            <w:gridSpan w:val="2"/>
            <w:vMerge w:val="restart"/>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18</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发放散居孤儿生活费和事实无人抚养儿童生活补贴的人数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62</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孤儿补助资金发放的及时率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1600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发放散居孤儿基本生活费和事实无人抚养儿童生活补贴的标准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1100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宋体" w:hAnsi="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孤儿和事实无人抚养儿童基本生活保障率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106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政策知晓率</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受益人口满意度</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80</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00" w:type="dxa"/>
            <w:gridSpan w:val="6"/>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7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99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890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gridSpan w:val="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c>
          <w:tcPr>
            <w:tcW w:w="106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jc w:val="center"/>
        </w:trPr>
        <w:tc>
          <w:tcPr>
            <w:tcW w:w="9906" w:type="dxa"/>
            <w:gridSpan w:val="18"/>
            <w:tcBorders>
              <w:top w:val="nil"/>
              <w:left w:val="nil"/>
              <w:bottom w:val="nil"/>
              <w:right w:val="nil"/>
            </w:tcBorders>
            <w:shd w:val="clear" w:color="auto" w:fill="auto"/>
            <w:vAlign w:val="center"/>
          </w:tcPr>
          <w:p>
            <w:pPr>
              <w:pStyle w:val="4"/>
              <w:numPr>
                <w:ilvl w:val="0"/>
                <w:numId w:val="0"/>
              </w:numPr>
              <w:bidi w:val="0"/>
              <w:ind w:leftChars="0"/>
              <w:jc w:val="cente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906" w:type="dxa"/>
            <w:gridSpan w:val="1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jc w:val="center"/>
        </w:trPr>
        <w:tc>
          <w:tcPr>
            <w:tcW w:w="99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62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石财社【2022】98号关于提前下达2023年中央财政困难群众救助补助资金预算的通知-孤儿生活费</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6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27</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27</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27</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27</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27</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27</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2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发放查找不到生父母或视同孤儿的孤儿生活补贴，散居孤儿和事实无人抚养儿童人数约60人,每人每月1400元；机构孤儿人数约13人,每人每月1900元。通过发放生活费，让每个孤儿的生活都得到基本保障。</w:t>
            </w:r>
          </w:p>
        </w:tc>
        <w:tc>
          <w:tcPr>
            <w:tcW w:w="3725"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发放查找不到生父母或视同孤儿的孤儿生活补贴，散居孤儿人数61人,每人每月1400元；机构孤儿人数10人,每人每月1900元。通过发放生活费，让每个孤儿的生活都得到基本保障。</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98.4</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93"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效益指标（50）</w:t>
            </w:r>
          </w:p>
        </w:tc>
        <w:tc>
          <w:tcPr>
            <w:tcW w:w="1062" w:type="dxa"/>
            <w:gridSpan w:val="2"/>
            <w:vMerge w:val="restart"/>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13</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发放散居孤儿生活费和事实无人抚养儿童生活补贴的人数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60</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孤儿补助资金发放的及时率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1900元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发放散居孤儿基本生活费和事实无人抚养儿童生活补贴的标准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Calibri" w:hAnsi="Calibri" w:eastAsia="宋体" w:cs="Calibri"/>
                <w:i w:val="0"/>
                <w:iCs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孤儿和事实无人抚养儿童基本生活保障率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106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政策知晓率</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受益人口满意度</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73</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00" w:type="dxa"/>
            <w:gridSpan w:val="6"/>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7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99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890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gridSpan w:val="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c>
          <w:tcPr>
            <w:tcW w:w="106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9906" w:type="dxa"/>
            <w:gridSpan w:val="18"/>
            <w:tcBorders>
              <w:top w:val="nil"/>
              <w:left w:val="nil"/>
              <w:bottom w:val="nil"/>
              <w:right w:val="nil"/>
            </w:tcBorders>
            <w:shd w:val="clear" w:color="auto" w:fill="auto"/>
            <w:vAlign w:val="center"/>
          </w:tcPr>
          <w:p>
            <w:pPr>
              <w:pStyle w:val="4"/>
              <w:numPr>
                <w:ilvl w:val="0"/>
                <w:numId w:val="0"/>
              </w:numPr>
              <w:bidi w:val="0"/>
              <w:ind w:leftChars="0"/>
              <w:jc w:val="cente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906" w:type="dxa"/>
            <w:gridSpan w:val="1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jc w:val="center"/>
        </w:trPr>
        <w:tc>
          <w:tcPr>
            <w:tcW w:w="99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62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石财社【2022】87号关于提前下达2023年省级财政困难群众基本生活补助预算的通知-孤儿生活费</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6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30</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2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发放查找不到生父母或视同孤儿的孤儿生活补贴，散居孤儿和事实无人抚养儿童人数约60人,每人每月1400元；机构孤儿人数约13人,每人每月1900元。通过发放生活费，让每个孤儿的生活都得到基本保障。</w:t>
            </w:r>
          </w:p>
        </w:tc>
        <w:tc>
          <w:tcPr>
            <w:tcW w:w="3725"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发放查找不到生父母或视同孤儿的孤儿生活补贴，散居孤儿人数61人,每人每月1400元；机构孤儿人数10人,每人每月1900元。通过发放生活费，让每个孤儿的生活都得到基本保障。</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98.4</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3"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效益指标（50）</w:t>
            </w:r>
          </w:p>
        </w:tc>
        <w:tc>
          <w:tcPr>
            <w:tcW w:w="1062" w:type="dxa"/>
            <w:gridSpan w:val="2"/>
            <w:vMerge w:val="restart"/>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13</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发放散居孤儿生活费和事实无人抚养儿童生活补贴的人数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60</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孤儿补助资金发放的及时率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1900元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发放散居孤儿基本生活费和事实无人抚养儿童生活补贴的标准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Calibri" w:hAnsi="Calibri" w:eastAsia="宋体" w:cs="Calibri"/>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孤儿和事实无人抚养儿童基本生活保障率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106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政策知晓率</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受益人口满意度</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73</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00" w:type="dxa"/>
            <w:gridSpan w:val="6"/>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7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99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890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gridSpan w:val="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c>
          <w:tcPr>
            <w:tcW w:w="106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9906" w:type="dxa"/>
            <w:gridSpan w:val="18"/>
            <w:tcBorders>
              <w:top w:val="nil"/>
              <w:left w:val="nil"/>
              <w:bottom w:val="nil"/>
              <w:right w:val="nil"/>
            </w:tcBorders>
            <w:shd w:val="clear" w:color="auto" w:fill="auto"/>
            <w:vAlign w:val="center"/>
          </w:tcPr>
          <w:p>
            <w:pPr>
              <w:pStyle w:val="4"/>
              <w:numPr>
                <w:ilvl w:val="0"/>
                <w:numId w:val="0"/>
              </w:numPr>
              <w:bidi w:val="0"/>
              <w:ind w:leftChars="0"/>
              <w:jc w:val="cente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906" w:type="dxa"/>
            <w:gridSpan w:val="1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jc w:val="center"/>
        </w:trPr>
        <w:tc>
          <w:tcPr>
            <w:tcW w:w="99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62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rPr>
              <w:t>石财社【2022】49号关于提前下达2022年市级困难群众基本生活救助补助资金的通知-孤儿基本生活费</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6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3.15</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3.15</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3.15</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3.15</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3.15</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3.15</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2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发放查找不到生父母或视同孤儿的孤儿生活补贴，散居孤儿人数约62人,每人每月1100元；机构孤儿人数约18人,每人每月1600元。通过发放生活费，让每个孤儿的生活都得到基本保障。</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3725"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发放查找不到生父母或视同孤儿的孤儿生活补贴，散居孤儿人数61人,每人每月1100元；机构孤儿人数18人,每人每月1600元。通过发放生活费，让每个孤儿的生活都得到基本保障。</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94.5</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93"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效益指标（50）</w:t>
            </w:r>
          </w:p>
        </w:tc>
        <w:tc>
          <w:tcPr>
            <w:tcW w:w="1062" w:type="dxa"/>
            <w:gridSpan w:val="2"/>
            <w:vMerge w:val="restart"/>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18</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发放散居孤儿生活费和事实无人抚养儿童生活补贴的人数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62</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孤儿补助资金发放的及时率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1100元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发放散居孤儿基本生活费和事实无人抚养儿童生活补贴的标准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6</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Calibri" w:hAnsi="Calibri" w:eastAsia="宋体" w:cs="Calibri"/>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孤儿和事实无人抚养儿童基本生活保障率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106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政策知晓率</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受益人口满意度</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80</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Calibri" w:hAnsi="Calibri" w:eastAsia="宋体" w:cs="Calibri"/>
                <w:i w:val="0"/>
                <w:iCs w:val="0"/>
                <w:color w:val="000000"/>
                <w:sz w:val="16"/>
                <w:szCs w:val="16"/>
                <w:u w:val="none"/>
                <w:lang w:val="en-US" w:eastAsia="zh-CN"/>
              </w:rPr>
              <w:t>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00" w:type="dxa"/>
            <w:gridSpan w:val="6"/>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7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99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890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gridSpan w:val="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c>
          <w:tcPr>
            <w:tcW w:w="106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9906" w:type="dxa"/>
            <w:gridSpan w:val="18"/>
            <w:tcBorders>
              <w:top w:val="nil"/>
              <w:left w:val="nil"/>
              <w:bottom w:val="nil"/>
              <w:right w:val="nil"/>
            </w:tcBorders>
            <w:shd w:val="clear" w:color="auto" w:fill="auto"/>
            <w:vAlign w:val="center"/>
          </w:tcPr>
          <w:p>
            <w:pPr>
              <w:pStyle w:val="4"/>
              <w:numPr>
                <w:ilvl w:val="0"/>
                <w:numId w:val="0"/>
              </w:numPr>
              <w:bidi w:val="0"/>
              <w:ind w:leftChars="0"/>
              <w:jc w:val="cente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906" w:type="dxa"/>
            <w:gridSpan w:val="1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jc w:val="center"/>
        </w:trPr>
        <w:tc>
          <w:tcPr>
            <w:tcW w:w="99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62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rPr>
              <w:t>关于提前下达2023年市级困难群众基本生活救助补助资金预算的通知-孤儿生活费</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6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30.57</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30.57</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18.955163</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30.57</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30.57</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18.955163</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2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发放查找不到生父母或视同孤儿的孤儿生活补贴，散居孤儿和事实无人抚养儿童人数约60人,每人每月1400元；机构孤儿人数约13人,每人每月1900元。通过发放生活费，让每个孤儿的生活都得到基本保障。</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3725"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发放查找不到生父母或视同孤儿的孤儿生活补贴，散居孤儿人数61人,每人每月1100元；机构孤儿人数10人,每人每月1600元。通过发放生活费，让每个孤儿的生活都得到基本保障。</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94.6</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3"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产出指标（50）</w:t>
            </w:r>
          </w:p>
        </w:tc>
        <w:tc>
          <w:tcPr>
            <w:tcW w:w="1062" w:type="dxa"/>
            <w:gridSpan w:val="2"/>
            <w:vMerge w:val="restart"/>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13</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发放散居孤儿生活费和事实无人抚养儿童生活补贴的人数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60</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孤儿补助资金发放的及时率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发放散居孤儿基本生活费和事实无人抚养儿童生活补贴的标准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Calibri" w:hAnsi="Calibri" w:eastAsia="宋体" w:cs="Calibri"/>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孤儿和事实无人抚养儿童基本生活保障率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62%</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106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政策知晓率</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受益人口满意度</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73</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Calibri" w:hAnsi="Calibri" w:eastAsia="宋体" w:cs="Calibri"/>
                <w:i w:val="0"/>
                <w:iCs w:val="0"/>
                <w:color w:val="000000"/>
                <w:sz w:val="16"/>
                <w:szCs w:val="16"/>
                <w:u w:val="none"/>
                <w:lang w:val="en-US" w:eastAsia="zh-CN"/>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00" w:type="dxa"/>
            <w:gridSpan w:val="6"/>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7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99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890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gridSpan w:val="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c>
          <w:tcPr>
            <w:tcW w:w="106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9906" w:type="dxa"/>
            <w:gridSpan w:val="18"/>
            <w:tcBorders>
              <w:top w:val="nil"/>
              <w:left w:val="nil"/>
              <w:bottom w:val="nil"/>
              <w:right w:val="nil"/>
            </w:tcBorders>
            <w:shd w:val="clear" w:color="auto" w:fill="auto"/>
            <w:vAlign w:val="center"/>
          </w:tcPr>
          <w:p>
            <w:pPr>
              <w:pStyle w:val="4"/>
              <w:numPr>
                <w:ilvl w:val="0"/>
                <w:numId w:val="0"/>
              </w:numPr>
              <w:bidi w:val="0"/>
              <w:ind w:leftChars="0"/>
              <w:jc w:val="cente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906" w:type="dxa"/>
            <w:gridSpan w:val="1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91"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84"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4" w:hRule="atLeast"/>
          <w:jc w:val="center"/>
        </w:trPr>
        <w:tc>
          <w:tcPr>
            <w:tcW w:w="99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62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rPr>
              <w:t>石财社【2022】118号石家庄市财政局关于提前下达2023年中央集中彩票公益金支持社会福利事业专项资金预算的通知-孤儿助学工程</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9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6.66622</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6.66622</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2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开展“孤儿助学工程”，资助11名孤儿考上普通全日制本科、专科学校完成学业，改善孤儿的学习条件</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3725"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开展了“孤儿助学工程”，资助9名孤儿考上普通全日制本科、专科学校完成学业，改善孤儿的学习条件</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94.5</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restart"/>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产出指标（50）</w:t>
            </w:r>
          </w:p>
        </w:tc>
        <w:tc>
          <w:tcPr>
            <w:tcW w:w="1062" w:type="dxa"/>
            <w:gridSpan w:val="2"/>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资助孤儿数量</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11 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孤儿助学政策覆盖率</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100 %</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助学金发放及时率</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100 %</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351" w:type="dxa"/>
            <w:gridSpan w:val="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助学金标准</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10000 元/人/年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10000 元/人/年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351" w:type="dxa"/>
            <w:gridSpan w:val="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66.7%</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lang w:eastAsia="zh-CN"/>
              </w:rPr>
            </w:pPr>
            <w:r>
              <w:rPr>
                <w:rFonts w:hint="eastAsia" w:ascii="宋体" w:hAnsi="宋体" w:eastAsia="宋体" w:cs="宋体"/>
                <w:i w:val="0"/>
                <w:iCs w:val="0"/>
                <w:color w:val="000000"/>
                <w:sz w:val="16"/>
                <w:szCs w:val="16"/>
                <w:u w:val="none"/>
                <w:lang w:eastAsia="zh-CN"/>
              </w:rPr>
              <w:t>效益指标（</w:t>
            </w:r>
            <w:r>
              <w:rPr>
                <w:rFonts w:hint="eastAsia" w:ascii="宋体" w:hAnsi="宋体" w:eastAsia="宋体" w:cs="宋体"/>
                <w:i w:val="0"/>
                <w:iCs w:val="0"/>
                <w:color w:val="000000"/>
                <w:sz w:val="16"/>
                <w:szCs w:val="16"/>
                <w:u w:val="none"/>
                <w:lang w:val="en-US" w:eastAsia="zh-CN"/>
              </w:rPr>
              <w:t>50</w:t>
            </w:r>
            <w:r>
              <w:rPr>
                <w:rFonts w:hint="eastAsia" w:ascii="宋体" w:hAnsi="宋体" w:eastAsia="宋体" w:cs="宋体"/>
                <w:i w:val="0"/>
                <w:iCs w:val="0"/>
                <w:color w:val="000000"/>
                <w:sz w:val="16"/>
                <w:szCs w:val="16"/>
                <w:u w:val="none"/>
                <w:lang w:eastAsia="zh-CN"/>
              </w:rPr>
              <w:t>）</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lang w:eastAsia="zh-CN"/>
              </w:rPr>
            </w:pPr>
            <w:r>
              <w:rPr>
                <w:rFonts w:hint="eastAsia" w:ascii="宋体" w:hAnsi="宋体" w:eastAsia="宋体" w:cs="宋体"/>
                <w:i w:val="0"/>
                <w:iCs w:val="0"/>
                <w:color w:val="000000"/>
                <w:sz w:val="16"/>
                <w:szCs w:val="16"/>
                <w:u w:val="none"/>
                <w:lang w:eastAsia="zh-CN"/>
              </w:rPr>
              <w:t>社会效益指标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受益孤儿数量</w:t>
            </w:r>
          </w:p>
        </w:tc>
        <w:tc>
          <w:tcPr>
            <w:tcW w:w="1584"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11 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Calibri" w:hAnsi="Calibri" w:eastAsia="宋体" w:cs="Calibri"/>
                <w:i w:val="0"/>
                <w:iCs w:val="0"/>
                <w:color w:val="000000"/>
                <w:sz w:val="16"/>
                <w:szCs w:val="16"/>
                <w:u w:val="none"/>
                <w:lang w:val="en-US" w:eastAsia="zh-CN"/>
              </w:rPr>
              <w:t>16.4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可持续影响时间</w:t>
            </w:r>
          </w:p>
        </w:tc>
        <w:tc>
          <w:tcPr>
            <w:tcW w:w="1584"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351" w:type="dxa"/>
            <w:gridSpan w:val="5"/>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7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99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890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gridSpan w:val="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c>
          <w:tcPr>
            <w:tcW w:w="106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91"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84"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jc w:val="center"/>
        </w:trPr>
        <w:tc>
          <w:tcPr>
            <w:tcW w:w="9906" w:type="dxa"/>
            <w:gridSpan w:val="18"/>
            <w:tcBorders>
              <w:top w:val="nil"/>
              <w:left w:val="nil"/>
              <w:bottom w:val="nil"/>
              <w:right w:val="nil"/>
            </w:tcBorders>
            <w:shd w:val="clear" w:color="auto" w:fill="auto"/>
            <w:vAlign w:val="center"/>
          </w:tcPr>
          <w:p>
            <w:pPr>
              <w:pStyle w:val="4"/>
              <w:numPr>
                <w:ilvl w:val="0"/>
                <w:numId w:val="0"/>
              </w:numPr>
              <w:bidi w:val="0"/>
              <w:ind w:leftChars="0"/>
              <w:jc w:val="cente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906" w:type="dxa"/>
            <w:gridSpan w:val="1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91"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84"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jc w:val="center"/>
        </w:trPr>
        <w:tc>
          <w:tcPr>
            <w:tcW w:w="99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62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rPr>
              <w:t>关于下达中央福利彩票公益金支持孤儿医疗康复明天计划资金的通知</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9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1.68</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1.68</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1.68</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1.68</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1.68</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1.68</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2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对6月份在册孤儿进行体检，标准为800元/人，做到应检尽检。通过体检为孤儿健康关爱提供支持。</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3725"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对6月份21名在册孤儿进行体检，标准为800元/人，做到应检尽检。通过体检为孤儿健康关爱提供支持。</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restart"/>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产出指标（50）</w:t>
            </w:r>
          </w:p>
        </w:tc>
        <w:tc>
          <w:tcPr>
            <w:tcW w:w="1062" w:type="dxa"/>
            <w:gridSpan w:val="2"/>
            <w:tcBorders>
              <w:top w:val="single" w:color="000000" w:sz="4" w:space="0"/>
              <w:left w:val="single" w:color="auto"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数量指标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6月份在册孤儿数量</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21 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质量指标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体检工作覆盖率</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100 %</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时效指标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体检工作按时完成率</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100 %</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成本指标</w:t>
            </w:r>
          </w:p>
        </w:tc>
        <w:tc>
          <w:tcPr>
            <w:tcW w:w="2351" w:type="dxa"/>
            <w:gridSpan w:val="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6月份在册孤儿体检标准</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800 元/人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10000 元/人/年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351" w:type="dxa"/>
            <w:gridSpan w:val="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lang w:eastAsia="zh-CN"/>
              </w:rPr>
            </w:pPr>
            <w:r>
              <w:rPr>
                <w:rFonts w:hint="eastAsia" w:ascii="宋体" w:hAnsi="宋体" w:eastAsia="宋体" w:cs="宋体"/>
                <w:i w:val="0"/>
                <w:iCs w:val="0"/>
                <w:color w:val="000000"/>
                <w:sz w:val="16"/>
                <w:szCs w:val="16"/>
                <w:u w:val="none"/>
                <w:lang w:eastAsia="zh-CN"/>
              </w:rPr>
              <w:t>效益指标（</w:t>
            </w:r>
            <w:r>
              <w:rPr>
                <w:rFonts w:hint="eastAsia" w:ascii="宋体" w:hAnsi="宋体" w:eastAsia="宋体" w:cs="宋体"/>
                <w:i w:val="0"/>
                <w:iCs w:val="0"/>
                <w:color w:val="000000"/>
                <w:sz w:val="16"/>
                <w:szCs w:val="16"/>
                <w:u w:val="none"/>
                <w:lang w:val="en-US" w:eastAsia="zh-CN"/>
              </w:rPr>
              <w:t>50</w:t>
            </w:r>
            <w:r>
              <w:rPr>
                <w:rFonts w:hint="eastAsia" w:ascii="宋体" w:hAnsi="宋体" w:eastAsia="宋体" w:cs="宋体"/>
                <w:i w:val="0"/>
                <w:iCs w:val="0"/>
                <w:color w:val="000000"/>
                <w:sz w:val="16"/>
                <w:szCs w:val="16"/>
                <w:u w:val="none"/>
                <w:lang w:eastAsia="zh-CN"/>
              </w:rPr>
              <w:t>）</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lang w:eastAsia="zh-CN"/>
              </w:rPr>
            </w:pPr>
            <w:r>
              <w:rPr>
                <w:rFonts w:hint="eastAsia" w:ascii="宋体" w:hAnsi="宋体" w:eastAsia="宋体" w:cs="宋体"/>
                <w:i w:val="0"/>
                <w:iCs w:val="0"/>
                <w:color w:val="000000"/>
                <w:sz w:val="16"/>
                <w:szCs w:val="16"/>
                <w:u w:val="none"/>
                <w:lang w:eastAsia="zh-CN"/>
              </w:rPr>
              <w:t>社会效益指标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孤儿健康关爱程度</w:t>
            </w:r>
          </w:p>
        </w:tc>
        <w:tc>
          <w:tcPr>
            <w:tcW w:w="1584"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Calibri" w:hAnsi="Calibri" w:eastAsia="宋体" w:cs="Calibri"/>
                <w:i w:val="0"/>
                <w:iCs w:val="0"/>
                <w:color w:val="000000"/>
                <w:kern w:val="0"/>
                <w:sz w:val="16"/>
                <w:szCs w:val="16"/>
                <w:u w:val="none"/>
                <w:lang w:val="en-US" w:eastAsia="zh-CN" w:bidi="ar"/>
              </w:rPr>
              <w:t>是</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是</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Calibri" w:hAnsi="Calibri" w:eastAsia="宋体" w:cs="Calibri"/>
                <w:i w:val="0"/>
                <w:iCs w:val="0"/>
                <w:color w:val="000000"/>
                <w:sz w:val="16"/>
                <w:szCs w:val="16"/>
                <w:u w:val="none"/>
                <w:lang w:val="en-US"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可持续影响时间</w:t>
            </w:r>
          </w:p>
        </w:tc>
        <w:tc>
          <w:tcPr>
            <w:tcW w:w="1584"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351" w:type="dxa"/>
            <w:gridSpan w:val="5"/>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7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99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890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gridSpan w:val="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c>
          <w:tcPr>
            <w:tcW w:w="106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91"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84"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9906" w:type="dxa"/>
            <w:gridSpan w:val="18"/>
            <w:tcBorders>
              <w:top w:val="nil"/>
              <w:left w:val="nil"/>
              <w:bottom w:val="nil"/>
              <w:right w:val="nil"/>
            </w:tcBorders>
            <w:shd w:val="clear" w:color="auto" w:fill="auto"/>
            <w:vAlign w:val="center"/>
          </w:tcPr>
          <w:p>
            <w:pPr>
              <w:pStyle w:val="4"/>
              <w:numPr>
                <w:ilvl w:val="0"/>
                <w:numId w:val="0"/>
              </w:numPr>
              <w:bidi w:val="0"/>
              <w:ind w:leftChars="0"/>
              <w:jc w:val="cente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906" w:type="dxa"/>
            <w:gridSpan w:val="1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91"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84"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4" w:hRule="atLeast"/>
          <w:jc w:val="center"/>
        </w:trPr>
        <w:tc>
          <w:tcPr>
            <w:tcW w:w="99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62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rPr>
              <w:t>关于提前下达2022年中央集中彩票公益金支持社会福利事业专项资金预算——助学金</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9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3.83354</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sz w:val="16"/>
                <w:szCs w:val="16"/>
              </w:rPr>
              <w:t>3.83354</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16"/>
                <w:szCs w:val="16"/>
                <w:u w:val="none"/>
                <w:lang w:val="en-US"/>
              </w:rPr>
            </w:pPr>
            <w:r>
              <w:rPr>
                <w:rFonts w:hint="eastAsia"/>
                <w:sz w:val="16"/>
                <w:szCs w:val="16"/>
              </w:rPr>
              <w:t>3.83354</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3.83354</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sz w:val="16"/>
                <w:szCs w:val="16"/>
              </w:rPr>
              <w:t>3.83354</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sz w:val="16"/>
                <w:szCs w:val="16"/>
              </w:rPr>
              <w:t>3.83354</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2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开展“孤儿助学工程”，资助8名孤儿考上普通全日制本科、专科学校完成学业，改善孤儿的学习条件</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3725"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开展了“孤儿助学工程”，资助了9名孤儿考上普通全日制本科、专科学校完成学业，改善孤儿的学习条件</w:t>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r>
              <w:rPr>
                <w:rFonts w:hint="eastAsia" w:ascii="宋体" w:hAnsi="宋体" w:eastAsia="宋体" w:cs="宋体"/>
                <w:i w:val="0"/>
                <w:iCs w:val="0"/>
                <w:color w:val="000000"/>
                <w:kern w:val="0"/>
                <w:sz w:val="16"/>
                <w:szCs w:val="16"/>
                <w:u w:val="none"/>
                <w:lang w:val="en-US" w:eastAsia="zh-CN" w:bidi="ar"/>
              </w:rPr>
              <w:tab/>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96.7</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restart"/>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产出指标（50）</w:t>
            </w:r>
          </w:p>
        </w:tc>
        <w:tc>
          <w:tcPr>
            <w:tcW w:w="1062" w:type="dxa"/>
            <w:gridSpan w:val="2"/>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资助孤儿数量</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w:t>
            </w:r>
            <w:r>
              <w:rPr>
                <w:rFonts w:hint="eastAsia" w:ascii="Calibri" w:hAnsi="Calibri" w:eastAsia="宋体" w:cs="Calibri"/>
                <w:i w:val="0"/>
                <w:iCs w:val="0"/>
                <w:color w:val="000000"/>
                <w:kern w:val="0"/>
                <w:sz w:val="16"/>
                <w:szCs w:val="16"/>
                <w:u w:val="none"/>
                <w:lang w:val="en-US" w:eastAsia="zh-CN" w:bidi="ar"/>
              </w:rPr>
              <w:t>8</w:t>
            </w:r>
            <w:r>
              <w:rPr>
                <w:rFonts w:hint="default" w:ascii="Calibri" w:hAnsi="Calibri" w:eastAsia="宋体" w:cs="Calibri"/>
                <w:i w:val="0"/>
                <w:iCs w:val="0"/>
                <w:color w:val="000000"/>
                <w:kern w:val="0"/>
                <w:sz w:val="16"/>
                <w:szCs w:val="16"/>
                <w:u w:val="none"/>
                <w:lang w:val="en-US" w:eastAsia="zh-CN" w:bidi="ar"/>
              </w:rPr>
              <w:t xml:space="preserve"> 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孤儿助学政策覆盖率</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100 %</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助学金发放及时率</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100 %</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351" w:type="dxa"/>
            <w:gridSpan w:val="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助学金标准</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10000 元/人/年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10000 元/人/年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351" w:type="dxa"/>
            <w:gridSpan w:val="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lang w:eastAsia="zh-CN"/>
              </w:rPr>
            </w:pPr>
            <w:r>
              <w:rPr>
                <w:rFonts w:hint="eastAsia" w:ascii="宋体" w:hAnsi="宋体" w:eastAsia="宋体" w:cs="宋体"/>
                <w:i w:val="0"/>
                <w:iCs w:val="0"/>
                <w:color w:val="000000"/>
                <w:sz w:val="16"/>
                <w:szCs w:val="16"/>
                <w:u w:val="none"/>
                <w:lang w:eastAsia="zh-CN"/>
              </w:rPr>
              <w:t>效益指标（</w:t>
            </w:r>
            <w:r>
              <w:rPr>
                <w:rFonts w:hint="eastAsia" w:ascii="宋体" w:hAnsi="宋体" w:eastAsia="宋体" w:cs="宋体"/>
                <w:i w:val="0"/>
                <w:iCs w:val="0"/>
                <w:color w:val="000000"/>
                <w:sz w:val="16"/>
                <w:szCs w:val="16"/>
                <w:u w:val="none"/>
                <w:lang w:val="en-US" w:eastAsia="zh-CN"/>
              </w:rPr>
              <w:t>50</w:t>
            </w:r>
            <w:r>
              <w:rPr>
                <w:rFonts w:hint="eastAsia" w:ascii="宋体" w:hAnsi="宋体" w:eastAsia="宋体" w:cs="宋体"/>
                <w:i w:val="0"/>
                <w:iCs w:val="0"/>
                <w:color w:val="000000"/>
                <w:sz w:val="16"/>
                <w:szCs w:val="16"/>
                <w:u w:val="none"/>
                <w:lang w:eastAsia="zh-CN"/>
              </w:rPr>
              <w:t>）</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lang w:eastAsia="zh-CN"/>
              </w:rPr>
            </w:pPr>
            <w:r>
              <w:rPr>
                <w:rFonts w:hint="eastAsia" w:ascii="宋体" w:hAnsi="宋体" w:eastAsia="宋体" w:cs="宋体"/>
                <w:i w:val="0"/>
                <w:iCs w:val="0"/>
                <w:color w:val="000000"/>
                <w:sz w:val="16"/>
                <w:szCs w:val="16"/>
                <w:u w:val="none"/>
                <w:lang w:eastAsia="zh-CN"/>
              </w:rPr>
              <w:t>社会效益指标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受益孤儿数量</w:t>
            </w:r>
          </w:p>
        </w:tc>
        <w:tc>
          <w:tcPr>
            <w:tcW w:w="1584"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xml:space="preserve">= </w:t>
            </w:r>
            <w:r>
              <w:rPr>
                <w:rFonts w:hint="eastAsia" w:ascii="Calibri" w:hAnsi="Calibri" w:eastAsia="宋体" w:cs="Calibri"/>
                <w:i w:val="0"/>
                <w:iCs w:val="0"/>
                <w:color w:val="000000"/>
                <w:kern w:val="0"/>
                <w:sz w:val="16"/>
                <w:szCs w:val="16"/>
                <w:u w:val="none"/>
                <w:lang w:val="en-US" w:eastAsia="zh-CN" w:bidi="ar"/>
              </w:rPr>
              <w:t>8</w:t>
            </w:r>
            <w:r>
              <w:rPr>
                <w:rFonts w:hint="default" w:ascii="Calibri" w:hAnsi="Calibri" w:eastAsia="宋体" w:cs="Calibri"/>
                <w:i w:val="0"/>
                <w:iCs w:val="0"/>
                <w:color w:val="000000"/>
                <w:kern w:val="0"/>
                <w:sz w:val="16"/>
                <w:szCs w:val="16"/>
                <w:u w:val="none"/>
                <w:lang w:val="en-US" w:eastAsia="zh-CN" w:bidi="ar"/>
              </w:rPr>
              <w:t xml:space="preserve"> 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Calibri" w:hAnsi="Calibri" w:eastAsia="宋体" w:cs="Calibri"/>
                <w:i w:val="0"/>
                <w:iCs w:val="0"/>
                <w:color w:val="000000"/>
                <w:sz w:val="16"/>
                <w:szCs w:val="16"/>
                <w:u w:val="none"/>
                <w:lang w:val="en-US" w:eastAsia="zh-CN"/>
              </w:rPr>
              <w:t>17.8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351"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可持续影响时间</w:t>
            </w:r>
          </w:p>
        </w:tc>
        <w:tc>
          <w:tcPr>
            <w:tcW w:w="1584"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351" w:type="dxa"/>
            <w:gridSpan w:val="5"/>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58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7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99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890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gridSpan w:val="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c>
          <w:tcPr>
            <w:tcW w:w="106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91"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84"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jc w:val="center"/>
        </w:trPr>
        <w:tc>
          <w:tcPr>
            <w:tcW w:w="9906" w:type="dxa"/>
            <w:gridSpan w:val="18"/>
            <w:tcBorders>
              <w:top w:val="nil"/>
              <w:left w:val="nil"/>
              <w:bottom w:val="nil"/>
              <w:right w:val="nil"/>
            </w:tcBorders>
            <w:shd w:val="clear" w:color="auto" w:fill="auto"/>
            <w:vAlign w:val="center"/>
          </w:tcPr>
          <w:p>
            <w:pPr>
              <w:pStyle w:val="4"/>
              <w:numPr>
                <w:ilvl w:val="0"/>
                <w:numId w:val="0"/>
              </w:numPr>
              <w:bidi w:val="0"/>
              <w:ind w:leftChars="0"/>
              <w:jc w:val="cente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906" w:type="dxa"/>
            <w:gridSpan w:val="1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4" w:hRule="atLeast"/>
          <w:jc w:val="center"/>
        </w:trPr>
        <w:tc>
          <w:tcPr>
            <w:tcW w:w="99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62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rPr>
              <w:t>2023孤儿基本生活费和事实无人抚养儿童生活补贴</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6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21.57</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21.57</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21.57</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21.57</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21.57</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21.57</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2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发放查找不到生父母或视同孤儿的孤儿生活补贴，散居孤儿和事实无人抚养儿童人数约60人,每人每月1400元；机构孤儿人数约13人,每人每月1900元。通过发放生活费，让每个孤儿的生活都得到基本保障。</w:t>
            </w:r>
          </w:p>
        </w:tc>
        <w:tc>
          <w:tcPr>
            <w:tcW w:w="3725"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发放查找不到生父母或视同孤儿的孤儿生活补贴，散居孤儿和事实无人抚养儿童人数约61人,每人每月1400元；机构孤儿人数约10人,每人每月1900元。通过发放生活费，让每个孤儿的生活都得到基本保障。</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98.4</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93"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效益指标（50）</w:t>
            </w:r>
          </w:p>
        </w:tc>
        <w:tc>
          <w:tcPr>
            <w:tcW w:w="1062" w:type="dxa"/>
            <w:gridSpan w:val="2"/>
            <w:vMerge w:val="restart"/>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13</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发放散居孤儿生活费和事实无人抚养儿童生活补贴的人数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60</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孤儿补助资金发放的及时率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1900元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发放散居孤儿基本生活费和事实无人抚养儿童生活补贴的标准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Calibri" w:hAnsi="Calibri" w:eastAsia="宋体" w:cs="Calibri"/>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孤儿和事实无人抚养儿童基本生活保障率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106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政策知晓率</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受益人口满意度</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73</w:t>
            </w:r>
            <w:r>
              <w:rPr>
                <w:rFonts w:hint="default" w:ascii="宋体" w:hAnsi="宋体" w:eastAsia="宋体" w:cs="宋体"/>
                <w:i w:val="0"/>
                <w:iCs w:val="0"/>
                <w:color w:val="000000"/>
                <w:kern w:val="0"/>
                <w:sz w:val="16"/>
                <w:szCs w:val="16"/>
                <w:u w:val="none"/>
                <w:lang w:val="en-US" w:eastAsia="zh-CN" w:bidi="ar"/>
              </w:rPr>
              <w:t>人</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71</w:t>
            </w:r>
            <w:r>
              <w:rPr>
                <w:rFonts w:hint="default"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33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00" w:type="dxa"/>
            <w:gridSpan w:val="6"/>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7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99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890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gridSpan w:val="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c>
          <w:tcPr>
            <w:tcW w:w="106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9906" w:type="dxa"/>
            <w:gridSpan w:val="18"/>
            <w:tcBorders>
              <w:top w:val="nil"/>
              <w:left w:val="nil"/>
              <w:bottom w:val="nil"/>
              <w:right w:val="nil"/>
            </w:tcBorders>
            <w:shd w:val="clear" w:color="auto" w:fill="auto"/>
            <w:vAlign w:val="center"/>
          </w:tcPr>
          <w:p>
            <w:pPr>
              <w:pStyle w:val="4"/>
              <w:numPr>
                <w:ilvl w:val="0"/>
                <w:numId w:val="0"/>
              </w:numPr>
              <w:bidi w:val="0"/>
              <w:ind w:leftChars="0"/>
              <w:jc w:val="cente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906" w:type="dxa"/>
            <w:gridSpan w:val="1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jc w:val="center"/>
        </w:trPr>
        <w:tc>
          <w:tcPr>
            <w:tcW w:w="99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62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rPr>
              <w:t>2023留守儿童、困境儿童、儿童福利院、托养机构、困难残疾人、困难老人春节慰问费用</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6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2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对各乡镇留守儿童、困境儿童（含散居孤儿）、儿童福利院、托养机构、困难残疾人、困难老人进行走访慰问，预计慰问各类对象50户。保障各类对象的基本生活，解决困难。</w:t>
            </w:r>
          </w:p>
        </w:tc>
        <w:tc>
          <w:tcPr>
            <w:tcW w:w="3725"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对各乡镇留守儿童、困境儿童（含散居孤儿）、儿童福利院、托养机构、困难残疾人、困难老人进行走访慰问，预计慰问各类对象50户。保障各类对象的基本生活，解决困难。</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3" w:hRule="atLeast"/>
          <w:jc w:val="center"/>
        </w:trPr>
        <w:tc>
          <w:tcPr>
            <w:tcW w:w="9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4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725"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2"/>
            <w:vMerge w:val="restart"/>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产出指标（50）</w:t>
            </w:r>
          </w:p>
        </w:tc>
        <w:tc>
          <w:tcPr>
            <w:tcW w:w="1062" w:type="dxa"/>
            <w:gridSpan w:val="2"/>
            <w:tcBorders>
              <w:top w:val="single" w:color="000000" w:sz="4" w:space="0"/>
              <w:left w:val="single" w:color="auto"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数量指标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春节慰问各类对象的户数</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50 户</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50户</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质量指标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春节慰问覆盖率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100 %</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时效指标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对各类对象春节慰问的完成率</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100 %</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100 %</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成本指标</w:t>
            </w:r>
          </w:p>
        </w:tc>
        <w:tc>
          <w:tcPr>
            <w:tcW w:w="2600" w:type="dxa"/>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对各类对象春节慰问的标准</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200 元/户</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xml:space="preserve"> 200 元/户</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99"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600"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restart"/>
            <w:tcBorders>
              <w:top w:val="single" w:color="auto"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社会效益指标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社会稳定水平</w:t>
            </w:r>
          </w:p>
        </w:tc>
        <w:tc>
          <w:tcPr>
            <w:tcW w:w="1335" w:type="dxa"/>
            <w:gridSpan w:val="3"/>
            <w:tcBorders>
              <w:top w:val="single" w:color="000000" w:sz="4" w:space="0"/>
              <w:left w:val="nil"/>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逐步提高</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逐步提高</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可持续影响指标</w:t>
            </w:r>
          </w:p>
        </w:tc>
        <w:tc>
          <w:tcPr>
            <w:tcW w:w="260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可持续影响时间</w:t>
            </w:r>
          </w:p>
        </w:tc>
        <w:tc>
          <w:tcPr>
            <w:tcW w:w="1335" w:type="dxa"/>
            <w:gridSpan w:val="3"/>
            <w:tcBorders>
              <w:top w:val="single" w:color="000000" w:sz="4" w:space="0"/>
              <w:left w:val="nil"/>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1 年</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2"/>
            <w:vMerge w:val="continue"/>
            <w:tcBorders>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2"/>
            <w:tcBorders>
              <w:top w:val="single" w:color="000000" w:sz="4" w:space="0"/>
              <w:left w:val="nil"/>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服务对象满意度指标</w:t>
            </w:r>
          </w:p>
        </w:tc>
        <w:tc>
          <w:tcPr>
            <w:tcW w:w="2600" w:type="dxa"/>
            <w:gridSpan w:val="6"/>
            <w:tcBorders>
              <w:top w:val="nil"/>
              <w:left w:val="nil"/>
              <w:bottom w:val="nil"/>
              <w:right w:val="nil"/>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受助对象满意度</w:t>
            </w:r>
          </w:p>
        </w:tc>
        <w:tc>
          <w:tcPr>
            <w:tcW w:w="133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6"/>
                <w:szCs w:val="16"/>
                <w:u w:val="none"/>
                <w:lang w:val="en-US" w:eastAsia="zh-CN" w:bidi="ar"/>
              </w:rPr>
            </w:pPr>
            <w:r>
              <w:rPr>
                <w:rFonts w:hint="default" w:ascii="Calibri" w:hAnsi="Calibri" w:eastAsia="宋体" w:cs="Calibri"/>
                <w:i w:val="0"/>
                <w:iCs w:val="0"/>
                <w:color w:val="000000"/>
                <w:kern w:val="0"/>
                <w:sz w:val="16"/>
                <w:szCs w:val="16"/>
                <w:u w:val="none"/>
                <w:lang w:val="en-US" w:eastAsia="zh-CN" w:bidi="ar"/>
              </w:rPr>
              <w:t>≥ 95 %</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999"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7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99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890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99"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gridSpan w:val="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c>
          <w:tcPr>
            <w:tcW w:w="106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56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p>
        </w:tc>
      </w:tr>
    </w:tbl>
    <w:tbl>
      <w:tblPr>
        <w:tblStyle w:val="13"/>
        <w:tblpPr w:leftFromText="180" w:rightFromText="180" w:vertAnchor="text" w:horzAnchor="page" w:tblpX="1644" w:tblpY="51"/>
        <w:tblOverlap w:val="never"/>
        <w:tblW w:w="973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36"/>
        <w:gridCol w:w="1080"/>
        <w:gridCol w:w="1312"/>
        <w:gridCol w:w="1173"/>
        <w:gridCol w:w="1300"/>
        <w:gridCol w:w="855"/>
        <w:gridCol w:w="1016"/>
        <w:gridCol w:w="13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408" w:type="dxa"/>
            <w:gridSpan w:val="8"/>
            <w:tcBorders>
              <w:top w:val="nil"/>
              <w:left w:val="nil"/>
              <w:bottom w:val="nil"/>
              <w:right w:val="nil"/>
            </w:tcBorders>
            <w:noWrap/>
            <w:vAlign w:val="center"/>
          </w:tcPr>
          <w:p>
            <w:pPr>
              <w:pStyle w:val="4"/>
              <w:numPr>
                <w:ilvl w:val="0"/>
                <w:numId w:val="0"/>
              </w:numPr>
              <w:bidi w:val="0"/>
              <w:ind w:leftChars="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08"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36" w:type="dxa"/>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392" w:type="dxa"/>
            <w:gridSpan w:val="2"/>
            <w:tcBorders>
              <w:top w:val="nil"/>
              <w:left w:val="nil"/>
              <w:bottom w:val="nil"/>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w:t>
            </w:r>
            <w:r>
              <w:rPr>
                <w:rFonts w:hint="eastAsia" w:ascii="宋体" w:hAnsi="宋体" w:cs="宋体"/>
                <w:i w:val="0"/>
                <w:iCs w:val="0"/>
                <w:color w:val="000000"/>
                <w:kern w:val="0"/>
                <w:sz w:val="16"/>
                <w:szCs w:val="16"/>
                <w:u w:val="none"/>
                <w:lang w:val="en-US" w:eastAsia="zh-CN" w:bidi="ar"/>
              </w:rPr>
              <w:t>救助站</w:t>
            </w:r>
          </w:p>
        </w:tc>
        <w:tc>
          <w:tcPr>
            <w:tcW w:w="1173"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1300"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855"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1016"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336" w:type="dxa"/>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1"/>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48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关于提前下达2022年中央财政困难群众救助补助资金预算的通知-流浪乞讨人员救助补助资金</w:t>
            </w:r>
          </w:p>
        </w:tc>
        <w:tc>
          <w:tcPr>
            <w:tcW w:w="1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207"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392"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47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871"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22.94</w:t>
            </w:r>
          </w:p>
        </w:tc>
        <w:tc>
          <w:tcPr>
            <w:tcW w:w="11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22.94</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7.53</w:t>
            </w:r>
          </w:p>
        </w:tc>
        <w:tc>
          <w:tcPr>
            <w:tcW w:w="133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22.94</w:t>
            </w:r>
          </w:p>
        </w:tc>
        <w:tc>
          <w:tcPr>
            <w:tcW w:w="11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22.94</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7.53</w:t>
            </w:r>
          </w:p>
        </w:tc>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ascii="Calibri" w:hAnsi="Calibri" w:eastAsia="宋体" w:cs="Calibri"/>
                <w:i w:val="0"/>
                <w:iCs w:val="0"/>
                <w:color w:val="000000"/>
                <w:sz w:val="21"/>
                <w:szCs w:val="21"/>
                <w:u w:val="none"/>
              </w:rPr>
            </w:pPr>
          </w:p>
        </w:tc>
        <w:tc>
          <w:tcPr>
            <w:tcW w:w="11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0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eastAsia="宋体" w:cs="宋体"/>
                <w:i w:val="0"/>
                <w:iCs w:val="0"/>
                <w:color w:val="000000"/>
                <w:sz w:val="16"/>
                <w:szCs w:val="16"/>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565"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171"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565"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default" w:ascii="宋体" w:hAnsi="宋体" w:eastAsia="宋体" w:cs="宋体"/>
                <w:i w:val="0"/>
                <w:iCs w:val="0"/>
                <w:color w:val="000000"/>
                <w:sz w:val="16"/>
                <w:szCs w:val="16"/>
                <w:u w:val="none"/>
                <w:lang w:val="en-US"/>
              </w:rPr>
              <w:t>为救助对象提供基本生活保障、站内突发疾病救治费和帮助其返乡等</w:t>
            </w:r>
            <w:r>
              <w:rPr>
                <w:rFonts w:hint="eastAsia" w:ascii="宋体" w:hAnsi="宋体" w:eastAsia="宋体" w:cs="宋体"/>
                <w:i w:val="0"/>
                <w:iCs w:val="0"/>
                <w:color w:val="000000"/>
                <w:sz w:val="16"/>
                <w:szCs w:val="16"/>
                <w:u w:val="none"/>
                <w:lang w:val="en-US" w:eastAsia="zh-CN"/>
              </w:rPr>
              <w:t>必需的</w:t>
            </w:r>
            <w:r>
              <w:rPr>
                <w:rFonts w:hint="default" w:ascii="宋体" w:hAnsi="宋体" w:eastAsia="宋体" w:cs="宋体"/>
                <w:i w:val="0"/>
                <w:iCs w:val="0"/>
                <w:color w:val="000000"/>
                <w:sz w:val="16"/>
                <w:szCs w:val="16"/>
                <w:u w:val="none"/>
                <w:lang w:val="en-US"/>
              </w:rPr>
              <w:t>支出</w:t>
            </w:r>
          </w:p>
        </w:tc>
        <w:tc>
          <w:tcPr>
            <w:tcW w:w="3171"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3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56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171"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56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171"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21"/>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47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1"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left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产出指标（50分）</w:t>
            </w:r>
          </w:p>
        </w:tc>
        <w:tc>
          <w:tcPr>
            <w:tcW w:w="1312" w:type="dxa"/>
            <w:vMerge w:val="restart"/>
            <w:tcBorders>
              <w:left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数量指标</w:t>
            </w:r>
          </w:p>
        </w:tc>
        <w:tc>
          <w:tcPr>
            <w:tcW w:w="247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cs="宋体"/>
                <w:i w:val="0"/>
                <w:iCs w:val="0"/>
                <w:color w:val="000000"/>
                <w:kern w:val="0"/>
                <w:sz w:val="16"/>
                <w:szCs w:val="16"/>
                <w:u w:val="none"/>
                <w:lang w:val="en-US" w:eastAsia="zh-CN" w:bidi="ar"/>
              </w:rPr>
              <w:t>流浪乞讨人员接受临时救助人数</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Calibri" w:hAnsi="Calibri" w:eastAsia="宋体" w:cs="Calibri"/>
                <w:i w:val="0"/>
                <w:iCs w:val="0"/>
                <w:color w:val="000000"/>
                <w:kern w:val="2"/>
                <w:sz w:val="16"/>
                <w:szCs w:val="16"/>
                <w:u w:val="none"/>
                <w:lang w:val="en-US" w:eastAsia="zh-CN" w:bidi="ar-SA"/>
              </w:rPr>
            </w:pPr>
            <w:r>
              <w:rPr>
                <w:rFonts w:hint="default" w:ascii="Arial" w:hAnsi="Arial" w:cs="Arial"/>
                <w:i w:val="0"/>
                <w:iCs w:val="0"/>
                <w:color w:val="000000"/>
                <w:kern w:val="0"/>
                <w:sz w:val="16"/>
                <w:szCs w:val="16"/>
                <w:u w:val="none"/>
                <w:lang w:val="en-US" w:eastAsia="zh-CN" w:bidi="ar"/>
              </w:rPr>
              <w:t>≥</w:t>
            </w:r>
            <w:r>
              <w:rPr>
                <w:rFonts w:hint="eastAsia" w:cs="Calibri"/>
                <w:i w:val="0"/>
                <w:iCs w:val="0"/>
                <w:color w:val="000000"/>
                <w:kern w:val="0"/>
                <w:sz w:val="16"/>
                <w:szCs w:val="16"/>
                <w:u w:val="none"/>
                <w:lang w:val="en-US" w:eastAsia="zh-CN" w:bidi="ar"/>
              </w:rPr>
              <w:t>150</w:t>
            </w:r>
            <w:r>
              <w:rPr>
                <w:rFonts w:hint="eastAsia" w:ascii="宋体" w:hAnsi="宋体" w:eastAsia="宋体" w:cs="宋体"/>
                <w:i w:val="0"/>
                <w:iCs w:val="0"/>
                <w:color w:val="000000"/>
                <w:kern w:val="0"/>
                <w:sz w:val="16"/>
                <w:szCs w:val="16"/>
                <w:u w:val="none"/>
                <w:lang w:val="en-US" w:eastAsia="zh-CN" w:bidi="ar"/>
              </w:rPr>
              <w:t>人</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Calibri" w:hAnsi="Calibri" w:eastAsia="宋体" w:cs="Calibri"/>
                <w:i w:val="0"/>
                <w:iCs w:val="0"/>
                <w:color w:val="000000"/>
                <w:kern w:val="2"/>
                <w:sz w:val="16"/>
                <w:szCs w:val="16"/>
                <w:u w:val="none"/>
                <w:lang w:val="en-US" w:eastAsia="zh-CN" w:bidi="ar-SA"/>
              </w:rPr>
            </w:pPr>
            <w:r>
              <w:rPr>
                <w:rFonts w:hint="eastAsia" w:ascii="宋体" w:hAnsi="宋体" w:cs="宋体"/>
                <w:i w:val="0"/>
                <w:iCs w:val="0"/>
                <w:color w:val="000000"/>
                <w:kern w:val="0"/>
                <w:sz w:val="16"/>
                <w:szCs w:val="16"/>
                <w:u w:val="none"/>
                <w:lang w:val="en-US" w:eastAsia="zh-CN" w:bidi="ar"/>
              </w:rPr>
              <w:t>46</w:t>
            </w:r>
            <w:r>
              <w:rPr>
                <w:rFonts w:hint="eastAsia"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2"/>
                <w:sz w:val="16"/>
                <w:szCs w:val="16"/>
                <w:u w:val="none"/>
                <w:lang w:val="en-US" w:eastAsia="zh-CN" w:bidi="ar-SA"/>
              </w:rPr>
            </w:pPr>
            <w:r>
              <w:rPr>
                <w:rFonts w:hint="eastAsia" w:cs="Calibri"/>
                <w:i w:val="0"/>
                <w:iCs w:val="0"/>
                <w:color w:val="000000"/>
                <w:kern w:val="2"/>
                <w:sz w:val="16"/>
                <w:szCs w:val="16"/>
                <w:u w:val="none"/>
                <w:lang w:val="en-US" w:eastAsia="zh-CN" w:bidi="ar-SA"/>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left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312" w:type="dxa"/>
            <w:vMerge w:val="continue"/>
            <w:tcBorders>
              <w:left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47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预计长期滞留人数</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≤15人</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0</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7"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312" w:type="dxa"/>
            <w:vMerge w:val="continue"/>
            <w:tcBorders>
              <w:top w:val="single" w:color="000000" w:sz="4" w:space="0"/>
              <w:left w:val="single" w:color="000000" w:sz="4" w:space="0"/>
              <w:bottom w:val="single" w:color="auto"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2473" w:type="dxa"/>
            <w:gridSpan w:val="2"/>
            <w:tcBorders>
              <w:top w:val="single" w:color="000000" w:sz="4" w:space="0"/>
              <w:left w:val="single" w:color="000000" w:sz="4" w:space="0"/>
              <w:bottom w:val="single" w:color="auto" w:sz="4" w:space="0"/>
              <w:right w:val="single" w:color="000000" w:sz="4" w:space="0"/>
            </w:tcBorders>
            <w:noWrap w:val="0"/>
            <w:vAlign w:val="center"/>
          </w:tcPr>
          <w:p>
            <w:pPr>
              <w:keepNext w:val="0"/>
              <w:keepLines w:val="0"/>
              <w:widowControl/>
              <w:suppressLineNumbers w:val="0"/>
              <w:jc w:val="left"/>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流浪乞讨人员救助服务率</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100%</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100%</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312"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473"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流浪乞讨人员救助服务保障</w:t>
            </w:r>
            <w:r>
              <w:rPr>
                <w:rFonts w:hint="eastAsia" w:ascii="宋体" w:hAnsi="宋体" w:eastAsia="宋体" w:cs="宋体"/>
                <w:i w:val="0"/>
                <w:iCs w:val="0"/>
                <w:color w:val="000000"/>
                <w:kern w:val="0"/>
                <w:sz w:val="16"/>
                <w:szCs w:val="16"/>
                <w:u w:val="none"/>
                <w:lang w:val="en-US" w:eastAsia="zh-CN" w:bidi="ar"/>
              </w:rPr>
              <w:t>率</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3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47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补助金及时发放</w:t>
            </w:r>
            <w:r>
              <w:rPr>
                <w:rFonts w:hint="eastAsia" w:ascii="宋体" w:hAnsi="宋体" w:eastAsia="宋体" w:cs="宋体"/>
                <w:i w:val="0"/>
                <w:iCs w:val="0"/>
                <w:color w:val="000000"/>
                <w:kern w:val="0"/>
                <w:sz w:val="16"/>
                <w:szCs w:val="16"/>
                <w:u w:val="none"/>
                <w:lang w:val="en-US" w:eastAsia="zh-CN" w:bidi="ar"/>
              </w:rPr>
              <w:t>率</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auto"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312" w:type="dxa"/>
            <w:tcBorders>
              <w:top w:val="single" w:color="000000" w:sz="4" w:space="0"/>
              <w:left w:val="single" w:color="000000" w:sz="4" w:space="0"/>
              <w:bottom w:val="single" w:color="auto"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47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流浪乞讨人员救助标准</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eastAsia" w:cs="Calibri"/>
                <w:i w:val="0"/>
                <w:iCs w:val="0"/>
                <w:color w:val="000000"/>
                <w:kern w:val="0"/>
                <w:sz w:val="16"/>
                <w:szCs w:val="16"/>
                <w:u w:val="none"/>
                <w:lang w:val="en-US" w:eastAsia="zh-CN" w:bidi="ar"/>
              </w:rPr>
              <w:t>20</w:t>
            </w:r>
            <w:r>
              <w:rPr>
                <w:rStyle w:val="29"/>
                <w:sz w:val="16"/>
                <w:szCs w:val="16"/>
                <w:lang w:val="en-US" w:eastAsia="zh-CN" w:bidi="ar"/>
              </w:rPr>
              <w:t>元</w:t>
            </w:r>
            <w:r>
              <w:rPr>
                <w:rStyle w:val="30"/>
                <w:rFonts w:eastAsia="宋体"/>
                <w:sz w:val="16"/>
                <w:szCs w:val="16"/>
                <w:lang w:val="en-US" w:eastAsia="zh-CN" w:bidi="ar"/>
              </w:rPr>
              <w:t>/</w:t>
            </w:r>
            <w:r>
              <w:rPr>
                <w:rStyle w:val="29"/>
                <w:sz w:val="16"/>
                <w:szCs w:val="16"/>
                <w:lang w:val="en-US" w:eastAsia="zh-CN" w:bidi="ar"/>
              </w:rPr>
              <w:t>人</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eastAsia" w:cs="Calibri"/>
                <w:i w:val="0"/>
                <w:iCs w:val="0"/>
                <w:color w:val="000000"/>
                <w:kern w:val="0"/>
                <w:sz w:val="16"/>
                <w:szCs w:val="16"/>
                <w:u w:val="none"/>
                <w:lang w:val="en-US" w:eastAsia="zh-CN" w:bidi="ar"/>
              </w:rPr>
              <w:t>20</w:t>
            </w:r>
            <w:r>
              <w:rPr>
                <w:rStyle w:val="29"/>
                <w:sz w:val="16"/>
                <w:szCs w:val="16"/>
                <w:lang w:val="en-US" w:eastAsia="zh-CN" w:bidi="ar"/>
              </w:rPr>
              <w:t>元</w:t>
            </w:r>
            <w:r>
              <w:rPr>
                <w:rStyle w:val="30"/>
                <w:rFonts w:eastAsia="宋体"/>
                <w:sz w:val="16"/>
                <w:szCs w:val="16"/>
                <w:lang w:val="en-US" w:eastAsia="zh-CN" w:bidi="ar"/>
              </w:rPr>
              <w:t>/</w:t>
            </w:r>
            <w:r>
              <w:rPr>
                <w:rStyle w:val="29"/>
                <w:sz w:val="16"/>
                <w:szCs w:val="16"/>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6"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auto" w:sz="4" w:space="0"/>
              <w:left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1312" w:type="dxa"/>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经济效益指标</w:t>
            </w:r>
          </w:p>
        </w:tc>
        <w:tc>
          <w:tcPr>
            <w:tcW w:w="2473" w:type="dxa"/>
            <w:gridSpan w:val="2"/>
            <w:tcBorders>
              <w:top w:val="nil"/>
              <w:left w:val="nil"/>
              <w:bottom w:val="single" w:color="auto" w:sz="4" w:space="0"/>
              <w:right w:val="nil"/>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保障流浪乞讨人员生存权益</w:t>
            </w:r>
          </w:p>
        </w:tc>
        <w:tc>
          <w:tcPr>
            <w:tcW w:w="855" w:type="dxa"/>
            <w:tcBorders>
              <w:top w:val="single" w:color="000000" w:sz="4" w:space="0"/>
              <w:left w:val="single" w:color="000000" w:sz="4" w:space="0"/>
              <w:bottom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100%</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保障</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left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312" w:type="dxa"/>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社会效益指标</w:t>
            </w:r>
          </w:p>
        </w:tc>
        <w:tc>
          <w:tcPr>
            <w:tcW w:w="2473" w:type="dxa"/>
            <w:gridSpan w:val="2"/>
            <w:tcBorders>
              <w:top w:val="nil"/>
              <w:left w:val="nil"/>
              <w:bottom w:val="single" w:color="auto"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受益人数</w:t>
            </w:r>
          </w:p>
        </w:tc>
        <w:tc>
          <w:tcPr>
            <w:tcW w:w="855" w:type="dxa"/>
            <w:tcBorders>
              <w:top w:val="single" w:color="000000" w:sz="4" w:space="0"/>
              <w:left w:val="single" w:color="000000" w:sz="4" w:space="0"/>
              <w:bottom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Style w:val="29"/>
                <w:rFonts w:hint="eastAsia"/>
                <w:sz w:val="16"/>
                <w:szCs w:val="16"/>
                <w:lang w:val="en-US" w:eastAsia="zh-CN" w:bidi="ar"/>
              </w:rPr>
              <w:t>&gt;150</w:t>
            </w:r>
            <w:r>
              <w:rPr>
                <w:rStyle w:val="29"/>
                <w:sz w:val="16"/>
                <w:szCs w:val="16"/>
                <w:lang w:val="en-US" w:eastAsia="zh-CN" w:bidi="ar"/>
              </w:rPr>
              <w:t>人</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Style w:val="29"/>
                <w:rFonts w:hint="eastAsia"/>
                <w:sz w:val="16"/>
                <w:szCs w:val="16"/>
                <w:lang w:val="en-US" w:eastAsia="zh-CN" w:bidi="ar"/>
              </w:rPr>
              <w:t>46</w:t>
            </w:r>
            <w:r>
              <w:rPr>
                <w:rStyle w:val="29"/>
                <w:sz w:val="16"/>
                <w:szCs w:val="16"/>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cs="Calibri"/>
                <w:i w:val="0"/>
                <w:iCs w:val="0"/>
                <w:color w:val="000000"/>
                <w:kern w:val="0"/>
                <w:sz w:val="16"/>
                <w:szCs w:val="16"/>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312" w:type="dxa"/>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可持续影响指标</w:t>
            </w:r>
          </w:p>
        </w:tc>
        <w:tc>
          <w:tcPr>
            <w:tcW w:w="2473" w:type="dxa"/>
            <w:gridSpan w:val="2"/>
            <w:tcBorders>
              <w:top w:val="single" w:color="auto" w:sz="4" w:space="0"/>
              <w:left w:val="nil"/>
              <w:bottom w:val="single" w:color="000000" w:sz="4" w:space="0"/>
              <w:right w:val="nil"/>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保障流浪乞讨人员基本生活</w:t>
            </w:r>
          </w:p>
        </w:tc>
        <w:tc>
          <w:tcPr>
            <w:tcW w:w="855" w:type="dxa"/>
            <w:tcBorders>
              <w:top w:val="single" w:color="000000" w:sz="4" w:space="0"/>
              <w:left w:val="single" w:color="000000" w:sz="4" w:space="0"/>
              <w:bottom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cs="Calibri"/>
                <w:i w:val="0"/>
                <w:iCs w:val="0"/>
                <w:color w:val="000000"/>
                <w:kern w:val="0"/>
                <w:sz w:val="16"/>
                <w:szCs w:val="16"/>
                <w:u w:val="none"/>
                <w:lang w:val="en-US" w:eastAsia="zh-CN" w:bidi="ar"/>
              </w:rPr>
              <w:t>15</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cs="Calibri"/>
                <w:i w:val="0"/>
                <w:iCs w:val="0"/>
                <w:color w:val="000000"/>
                <w:kern w:val="0"/>
                <w:sz w:val="16"/>
                <w:szCs w:val="16"/>
                <w:u w:val="none"/>
                <w:lang w:val="en-US" w:eastAsia="zh-CN" w:bidi="ar"/>
              </w:rPr>
              <w:t>保障</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cs="Calibri"/>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6"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0分）</w:t>
            </w:r>
          </w:p>
        </w:tc>
        <w:tc>
          <w:tcPr>
            <w:tcW w:w="1312"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473" w:type="dxa"/>
            <w:gridSpan w:val="2"/>
            <w:tcBorders>
              <w:top w:val="single" w:color="000000" w:sz="4" w:space="0"/>
              <w:left w:val="nil"/>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受益对象满意度</w:t>
            </w:r>
          </w:p>
        </w:tc>
        <w:tc>
          <w:tcPr>
            <w:tcW w:w="855"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Arial" w:hAnsi="Arial" w:eastAsia="宋体" w:cs="Arial"/>
                <w:i w:val="0"/>
                <w:iCs w:val="0"/>
                <w:color w:val="000000"/>
                <w:kern w:val="0"/>
                <w:sz w:val="16"/>
                <w:szCs w:val="16"/>
                <w:u w:val="none"/>
                <w:lang w:val="en-US" w:eastAsia="zh-CN" w:bidi="ar"/>
              </w:rPr>
              <w:t>≥</w:t>
            </w:r>
            <w:r>
              <w:rPr>
                <w:rFonts w:hint="default" w:ascii="Calibri" w:hAnsi="Calibri" w:eastAsia="宋体" w:cs="Calibri"/>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Arial" w:hAnsi="Arial" w:eastAsia="宋体" w:cs="Arial"/>
                <w:i w:val="0"/>
                <w:iCs w:val="0"/>
                <w:color w:val="000000"/>
                <w:kern w:val="0"/>
                <w:sz w:val="16"/>
                <w:szCs w:val="16"/>
                <w:u w:val="none"/>
                <w:lang w:val="en-US" w:eastAsia="zh-CN" w:bidi="ar"/>
              </w:rPr>
              <w:t>≥</w:t>
            </w:r>
            <w:r>
              <w:rPr>
                <w:rFonts w:hint="default" w:ascii="Calibri" w:hAnsi="Calibri" w:eastAsia="宋体" w:cs="Calibri"/>
                <w:i w:val="0"/>
                <w:iCs w:val="0"/>
                <w:color w:val="000000"/>
                <w:kern w:val="0"/>
                <w:sz w:val="16"/>
                <w:szCs w:val="16"/>
                <w:u w:val="none"/>
                <w:lang w:val="en-US" w:eastAsia="zh-CN" w:bidi="ar"/>
              </w:rPr>
              <w:t>95%</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eastAsia" w:cs="Calibri"/>
                <w:i w:val="0"/>
                <w:iCs w:val="0"/>
                <w:color w:val="000000"/>
                <w:kern w:val="0"/>
                <w:sz w:val="16"/>
                <w:szCs w:val="16"/>
                <w:u w:val="none"/>
                <w:lang w:val="en-US" w:eastAsia="zh-CN" w:bidi="ar"/>
              </w:rPr>
              <w:t>1</w:t>
            </w:r>
            <w:r>
              <w:rPr>
                <w:rFonts w:hint="default" w:ascii="Calibri" w:hAnsi="Calibri" w:eastAsia="宋体" w:cs="Calibri"/>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6736"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336" w:type="dxa"/>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1"/>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072" w:type="dxa"/>
            <w:gridSpan w:val="7"/>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无</w:t>
            </w:r>
          </w:p>
        </w:tc>
      </w:tr>
    </w:tbl>
    <w:tbl>
      <w:tblPr>
        <w:tblStyle w:val="13"/>
        <w:tblW w:w="934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218"/>
        <w:gridCol w:w="1080"/>
        <w:gridCol w:w="1080"/>
        <w:gridCol w:w="1246"/>
        <w:gridCol w:w="1020"/>
        <w:gridCol w:w="1335"/>
        <w:gridCol w:w="1350"/>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349" w:type="dxa"/>
            <w:gridSpan w:val="8"/>
            <w:tcBorders>
              <w:top w:val="nil"/>
              <w:left w:val="nil"/>
              <w:bottom w:val="nil"/>
              <w:right w:val="nil"/>
            </w:tcBorders>
            <w:noWrap/>
            <w:vAlign w:val="center"/>
          </w:tcPr>
          <w:p>
            <w:pPr>
              <w:pStyle w:val="4"/>
              <w:numPr>
                <w:ilvl w:val="0"/>
                <w:numId w:val="0"/>
              </w:numPr>
              <w:bidi w:val="0"/>
              <w:ind w:leftChars="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349"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gridSpan w:val="2"/>
            <w:tcBorders>
              <w:top w:val="nil"/>
              <w:left w:val="nil"/>
              <w:bottom w:val="nil"/>
              <w:right w:val="nil"/>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w:t>
            </w:r>
            <w:r>
              <w:rPr>
                <w:rFonts w:hint="eastAsia" w:ascii="宋体" w:hAnsi="宋体" w:cs="宋体"/>
                <w:i w:val="0"/>
                <w:iCs w:val="0"/>
                <w:color w:val="000000"/>
                <w:kern w:val="0"/>
                <w:sz w:val="16"/>
                <w:szCs w:val="16"/>
                <w:u w:val="none"/>
                <w:lang w:val="en-US" w:eastAsia="zh-CN" w:bidi="ar"/>
              </w:rPr>
              <w:t>救助站</w:t>
            </w:r>
          </w:p>
        </w:tc>
        <w:tc>
          <w:tcPr>
            <w:tcW w:w="0" w:type="auto"/>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2370" w:type="dxa"/>
            <w:gridSpan w:val="2"/>
            <w:tcBorders>
              <w:top w:val="nil"/>
              <w:left w:val="nil"/>
              <w:bottom w:val="nil"/>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1218" w:type="dxa"/>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流浪乞讨人员救助站经费</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705"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2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685"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12</w:t>
            </w:r>
          </w:p>
        </w:tc>
        <w:tc>
          <w:tcPr>
            <w:tcW w:w="12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12</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11.99</w:t>
            </w:r>
          </w:p>
        </w:tc>
        <w:tc>
          <w:tcPr>
            <w:tcW w:w="102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99.9%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121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12</w:t>
            </w:r>
          </w:p>
        </w:tc>
        <w:tc>
          <w:tcPr>
            <w:tcW w:w="12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12</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11.99</w:t>
            </w:r>
          </w:p>
        </w:tc>
        <w:tc>
          <w:tcPr>
            <w:tcW w:w="102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ascii="Calibri" w:hAnsi="Calibri" w:eastAsia="宋体" w:cs="Calibri"/>
                <w:i w:val="0"/>
                <w:iCs w:val="0"/>
                <w:color w:val="000000"/>
                <w:sz w:val="21"/>
                <w:szCs w:val="21"/>
                <w:u w:val="none"/>
              </w:rPr>
            </w:pPr>
          </w:p>
        </w:tc>
        <w:tc>
          <w:tcPr>
            <w:tcW w:w="12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eastAsia="宋体" w:cs="宋体"/>
                <w:i w:val="0"/>
                <w:iCs w:val="0"/>
                <w:color w:val="000000"/>
                <w:sz w:val="16"/>
                <w:szCs w:val="16"/>
                <w:u w:val="none"/>
              </w:rPr>
            </w:pP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5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eastAsia="宋体" w:cs="宋体"/>
                <w:i w:val="0"/>
                <w:iCs w:val="0"/>
                <w:color w:val="000000"/>
                <w:sz w:val="16"/>
                <w:szCs w:val="16"/>
                <w:u w:val="none"/>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6"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705"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21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406"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保障救助站各项工作的正常运行，提高救助率，提升受助人员生活水平</w:t>
            </w:r>
          </w:p>
        </w:tc>
        <w:tc>
          <w:tcPr>
            <w:tcW w:w="3705"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02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406"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eastAsia="宋体" w:cs="宋体"/>
                <w:i w:val="0"/>
                <w:iCs w:val="0"/>
                <w:color w:val="000000"/>
                <w:sz w:val="16"/>
                <w:szCs w:val="16"/>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121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406"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eastAsia="宋体" w:cs="宋体"/>
                <w:i w:val="0"/>
                <w:iCs w:val="0"/>
                <w:color w:val="000000"/>
                <w:sz w:val="16"/>
                <w:szCs w:val="16"/>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2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right w:val="single" w:color="000000" w:sz="4" w:space="0"/>
            </w:tcBorders>
            <w:noWrap w:val="0"/>
            <w:vAlign w:val="center"/>
          </w:tcPr>
          <w:p>
            <w:pPr>
              <w:jc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产出指标（50分）</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数量指标</w:t>
            </w:r>
          </w:p>
        </w:tc>
        <w:tc>
          <w:tcPr>
            <w:tcW w:w="22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备用的流浪乞讨人员棉衣、棉裤、被褥、大衣等数量</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lang w:val="en-US"/>
              </w:rPr>
            </w:pPr>
            <w:r>
              <w:rPr>
                <w:rFonts w:hint="eastAsia" w:ascii="宋体" w:hAnsi="宋体" w:eastAsia="宋体" w:cs="宋体"/>
                <w:i w:val="0"/>
                <w:iCs w:val="0"/>
                <w:color w:val="000000"/>
                <w:sz w:val="16"/>
                <w:szCs w:val="16"/>
                <w:u w:val="none"/>
              </w:rPr>
              <w:t>≤</w:t>
            </w:r>
            <w:r>
              <w:rPr>
                <w:rFonts w:hint="eastAsia" w:ascii="宋体" w:hAnsi="宋体" w:eastAsia="宋体" w:cs="宋体"/>
                <w:i w:val="0"/>
                <w:iCs w:val="0"/>
                <w:color w:val="000000"/>
                <w:kern w:val="0"/>
                <w:sz w:val="16"/>
                <w:szCs w:val="16"/>
                <w:u w:val="none"/>
                <w:lang w:val="en-US" w:eastAsia="zh-CN" w:bidi="ar"/>
              </w:rPr>
              <w:t>50</w:t>
            </w:r>
          </w:p>
        </w:tc>
        <w:tc>
          <w:tcPr>
            <w:tcW w:w="13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50</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18"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2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救助工作完成率</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3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2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流浪乞讨人员伙食费</w:t>
            </w:r>
          </w:p>
        </w:tc>
        <w:tc>
          <w:tcPr>
            <w:tcW w:w="133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500元/人/月</w:t>
            </w:r>
          </w:p>
        </w:tc>
        <w:tc>
          <w:tcPr>
            <w:tcW w:w="13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500元/人/月</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218"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auto"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266" w:type="dxa"/>
            <w:gridSpan w:val="2"/>
            <w:tcBorders>
              <w:top w:val="single" w:color="000000" w:sz="4" w:space="0"/>
              <w:left w:val="single" w:color="000000" w:sz="4" w:space="0"/>
              <w:bottom w:val="nil"/>
              <w:right w:val="nil"/>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流浪乞讨人员的救助率</w:t>
            </w:r>
          </w:p>
        </w:tc>
        <w:tc>
          <w:tcPr>
            <w:tcW w:w="0" w:type="auto"/>
            <w:tcBorders>
              <w:top w:val="single" w:color="000000" w:sz="4" w:space="0"/>
              <w:left w:val="single" w:color="000000" w:sz="4" w:space="0"/>
              <w:bottom w:val="single" w:color="000000" w:sz="4" w:space="0"/>
              <w:right w:val="single" w:color="000000" w:sz="4" w:space="0"/>
            </w:tcBorders>
            <w:noWrap/>
            <w:vAlign w:val="bottom"/>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ign w:val="bottom"/>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020"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218" w:type="dxa"/>
            <w:vMerge w:val="continue"/>
            <w:tcBorders>
              <w:top w:val="single" w:color="000000" w:sz="4" w:space="0"/>
              <w:left w:val="single" w:color="000000" w:sz="4" w:space="0"/>
              <w:bottom w:val="single" w:color="000000" w:sz="4" w:space="0"/>
              <w:right w:val="single" w:color="auto"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auto" w:sz="4" w:space="0"/>
              <w:left w:val="single" w:color="auto" w:sz="4" w:space="0"/>
              <w:bottom w:val="nil"/>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1080" w:type="dxa"/>
            <w:tcBorders>
              <w:top w:val="single" w:color="000000" w:sz="4" w:space="0"/>
              <w:left w:val="single" w:color="auto"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2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保障流浪乞讨人员生存权益</w:t>
            </w:r>
          </w:p>
        </w:tc>
        <w:tc>
          <w:tcPr>
            <w:tcW w:w="1335"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w:t>
            </w:r>
          </w:p>
        </w:tc>
        <w:tc>
          <w:tcPr>
            <w:tcW w:w="1350"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218" w:type="dxa"/>
            <w:vMerge w:val="continue"/>
            <w:tcBorders>
              <w:top w:val="single" w:color="000000" w:sz="4" w:space="0"/>
              <w:left w:val="single" w:color="000000" w:sz="4" w:space="0"/>
              <w:bottom w:val="single" w:color="000000" w:sz="4" w:space="0"/>
              <w:right w:val="single" w:color="auto" w:sz="4" w:space="0"/>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80" w:type="dxa"/>
            <w:tcBorders>
              <w:top w:val="single" w:color="000000" w:sz="4" w:space="0"/>
              <w:left w:val="single" w:color="auto"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可持续影响指标</w:t>
            </w:r>
          </w:p>
        </w:tc>
        <w:tc>
          <w:tcPr>
            <w:tcW w:w="22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保障流浪乞讨人员基本生活</w:t>
            </w:r>
          </w:p>
        </w:tc>
        <w:tc>
          <w:tcPr>
            <w:tcW w:w="1335"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≥95%</w:t>
            </w:r>
          </w:p>
        </w:tc>
        <w:tc>
          <w:tcPr>
            <w:tcW w:w="1350"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95%</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18"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服务对象满意度指标</w:t>
            </w:r>
          </w:p>
        </w:tc>
        <w:tc>
          <w:tcPr>
            <w:tcW w:w="22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受助人员满意度</w:t>
            </w:r>
          </w:p>
        </w:tc>
        <w:tc>
          <w:tcPr>
            <w:tcW w:w="1335"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350"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7111"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0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218" w:type="dxa"/>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131" w:type="dxa"/>
            <w:gridSpan w:val="7"/>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p>
        </w:tc>
        <w:tc>
          <w:tcPr>
            <w:tcW w:w="0" w:type="auto"/>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20" w:type="dxa"/>
            <w:tcBorders>
              <w:top w:val="nil"/>
              <w:left w:val="nil"/>
              <w:bottom w:val="nil"/>
              <w:right w:val="nil"/>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p>
        </w:tc>
      </w:tr>
    </w:tbl>
    <w:tbl>
      <w:tblPr>
        <w:tblStyle w:val="13"/>
        <w:tblpPr w:leftFromText="180" w:rightFromText="180" w:vertAnchor="text" w:horzAnchor="page" w:tblpX="854" w:tblpY="213"/>
        <w:tblOverlap w:val="never"/>
        <w:tblW w:w="10584" w:type="dxa"/>
        <w:tblInd w:w="0" w:type="dxa"/>
        <w:shd w:val="clear" w:color="auto" w:fill="auto"/>
        <w:tblLayout w:type="fixed"/>
        <w:tblCellMar>
          <w:top w:w="0" w:type="dxa"/>
          <w:left w:w="0" w:type="dxa"/>
          <w:bottom w:w="0" w:type="dxa"/>
          <w:right w:w="0" w:type="dxa"/>
        </w:tblCellMar>
      </w:tblPr>
      <w:tblGrid>
        <w:gridCol w:w="1139"/>
        <w:gridCol w:w="1079"/>
        <w:gridCol w:w="1079"/>
        <w:gridCol w:w="1514"/>
        <w:gridCol w:w="1409"/>
        <w:gridCol w:w="1217"/>
        <w:gridCol w:w="1079"/>
        <w:gridCol w:w="2068"/>
      </w:tblGrid>
      <w:tr>
        <w:tblPrEx>
          <w:shd w:val="clear" w:color="auto" w:fill="auto"/>
          <w:tblCellMar>
            <w:top w:w="0" w:type="dxa"/>
            <w:left w:w="0" w:type="dxa"/>
            <w:bottom w:w="0" w:type="dxa"/>
            <w:right w:w="0" w:type="dxa"/>
          </w:tblCellMar>
        </w:tblPrEx>
        <w:trPr>
          <w:trHeight w:val="375" w:hRule="atLeast"/>
        </w:trPr>
        <w:tc>
          <w:tcPr>
            <w:tcW w:w="1139"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p>
        </w:tc>
        <w:tc>
          <w:tcPr>
            <w:tcW w:w="1079"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79"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14"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09"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17"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79"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68"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510" w:hRule="atLeast"/>
        </w:trPr>
        <w:tc>
          <w:tcPr>
            <w:tcW w:w="10584"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shd w:val="clear" w:color="auto" w:fill="auto"/>
          <w:tblCellMar>
            <w:top w:w="0" w:type="dxa"/>
            <w:left w:w="0" w:type="dxa"/>
            <w:bottom w:w="0" w:type="dxa"/>
            <w:right w:w="0" w:type="dxa"/>
          </w:tblCellMar>
        </w:tblPrEx>
        <w:trPr>
          <w:trHeight w:val="345" w:hRule="atLeast"/>
        </w:trPr>
        <w:tc>
          <w:tcPr>
            <w:tcW w:w="10584"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2023年度）</w:t>
            </w:r>
          </w:p>
        </w:tc>
      </w:tr>
      <w:tr>
        <w:tblPrEx>
          <w:shd w:val="clear" w:color="auto" w:fill="auto"/>
          <w:tblCellMar>
            <w:top w:w="0" w:type="dxa"/>
            <w:left w:w="0" w:type="dxa"/>
            <w:bottom w:w="0" w:type="dxa"/>
            <w:right w:w="0" w:type="dxa"/>
          </w:tblCellMar>
        </w:tblPrEx>
        <w:trPr>
          <w:trHeight w:val="435" w:hRule="atLeast"/>
        </w:trPr>
        <w:tc>
          <w:tcPr>
            <w:tcW w:w="1139"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1079"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石家庄鹿泉区民政事业服务中心</w:t>
            </w:r>
          </w:p>
        </w:tc>
        <w:tc>
          <w:tcPr>
            <w:tcW w:w="1079"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514"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409"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17"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8"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495" w:hRule="atLeast"/>
        </w:trPr>
        <w:tc>
          <w:tcPr>
            <w:tcW w:w="113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31"/>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2023特困供养（集中）</w:t>
            </w:r>
          </w:p>
        </w:tc>
        <w:tc>
          <w:tcPr>
            <w:tcW w:w="14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36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314006-石家庄鹿泉区民政事业服务中心</w:t>
            </w:r>
          </w:p>
        </w:tc>
      </w:tr>
      <w:tr>
        <w:tblPrEx>
          <w:shd w:val="clear" w:color="auto" w:fill="auto"/>
          <w:tblCellMar>
            <w:top w:w="0" w:type="dxa"/>
            <w:left w:w="0" w:type="dxa"/>
            <w:bottom w:w="0" w:type="dxa"/>
            <w:right w:w="0" w:type="dxa"/>
          </w:tblCellMar>
        </w:tblPrEx>
        <w:trPr>
          <w:trHeight w:val="270" w:hRule="atLeast"/>
        </w:trPr>
        <w:tc>
          <w:tcPr>
            <w:tcW w:w="11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9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CellMar>
            <w:top w:w="0" w:type="dxa"/>
            <w:left w:w="0" w:type="dxa"/>
            <w:bottom w:w="0" w:type="dxa"/>
            <w:right w:w="0" w:type="dxa"/>
          </w:tblCellMar>
        </w:tblPrEx>
        <w:trPr>
          <w:trHeight w:val="285" w:hRule="atLeast"/>
        </w:trPr>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50</w:t>
            </w:r>
          </w:p>
        </w:tc>
        <w:tc>
          <w:tcPr>
            <w:tcW w:w="20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CellMar>
            <w:top w:w="0" w:type="dxa"/>
            <w:left w:w="0" w:type="dxa"/>
            <w:bottom w:w="0" w:type="dxa"/>
            <w:right w:w="0" w:type="dxa"/>
          </w:tblCellMar>
        </w:tblPrEx>
        <w:trPr>
          <w:trHeight w:val="420" w:hRule="atLeast"/>
        </w:trPr>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20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0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70" w:hRule="atLeast"/>
        </w:trPr>
        <w:tc>
          <w:tcPr>
            <w:tcW w:w="11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67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7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270" w:hRule="atLeast"/>
        </w:trPr>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7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给农村集中供养对象103人，城市特困人员4人，共计107人发放资金。解决他们突出苦难，满足基本生活需求，做到应救尽救，应养尽养。</w:t>
            </w:r>
          </w:p>
        </w:tc>
        <w:tc>
          <w:tcPr>
            <w:tcW w:w="37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给农村集中供养对象103人，城市特困人员4人，共计107人发放资金。解决他们突出苦难，满足基本生活需求，做到应救尽救，应养尽养。</w:t>
            </w:r>
          </w:p>
        </w:tc>
        <w:tc>
          <w:tcPr>
            <w:tcW w:w="20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7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60" w:hRule="atLeast"/>
        </w:trPr>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7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139"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31"/>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7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7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923"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21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7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6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CellMar>
            <w:top w:w="0" w:type="dxa"/>
            <w:left w:w="0" w:type="dxa"/>
            <w:bottom w:w="0" w:type="dxa"/>
            <w:right w:w="0" w:type="dxa"/>
          </w:tblCellMar>
        </w:tblPrEx>
        <w:trPr>
          <w:trHeight w:val="270" w:hRule="atLeast"/>
        </w:trPr>
        <w:tc>
          <w:tcPr>
            <w:tcW w:w="113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9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集中供养对象人数</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107人</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107人</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280" w:hRule="atLeast"/>
        </w:trPr>
        <w:tc>
          <w:tcPr>
            <w:tcW w:w="113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9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农村集中对象每年发放标准</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8300元/人/月</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8300</w:t>
            </w:r>
            <w:r>
              <w:rPr>
                <w:rFonts w:hint="eastAsia" w:ascii="宋体" w:hAnsi="宋体" w:eastAsia="宋体" w:cs="宋体"/>
                <w:i w:val="0"/>
                <w:color w:val="000000"/>
                <w:kern w:val="0"/>
                <w:sz w:val="16"/>
                <w:szCs w:val="16"/>
                <w:u w:val="none"/>
                <w:lang w:val="en-US" w:eastAsia="zh-CN" w:bidi="ar"/>
              </w:rPr>
              <w:t>元</w:t>
            </w:r>
            <w:r>
              <w:rPr>
                <w:rFonts w:hint="default"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r>
              <w:rPr>
                <w:rFonts w:hint="default"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CellMar>
            <w:top w:w="0" w:type="dxa"/>
            <w:left w:w="0" w:type="dxa"/>
            <w:bottom w:w="0" w:type="dxa"/>
            <w:right w:w="0" w:type="dxa"/>
          </w:tblCellMar>
        </w:tblPrEx>
        <w:trPr>
          <w:trHeight w:val="285" w:hRule="atLeast"/>
        </w:trPr>
        <w:tc>
          <w:tcPr>
            <w:tcW w:w="113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9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补助资金及时发放率</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CellMar>
            <w:top w:w="0" w:type="dxa"/>
            <w:left w:w="0" w:type="dxa"/>
            <w:bottom w:w="0" w:type="dxa"/>
            <w:right w:w="0" w:type="dxa"/>
          </w:tblCellMar>
        </w:tblPrEx>
        <w:trPr>
          <w:trHeight w:val="285" w:hRule="atLeast"/>
        </w:trPr>
        <w:tc>
          <w:tcPr>
            <w:tcW w:w="113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9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全护理对象的补助标准</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285元/人/月</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285元/人/月</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CellMar>
            <w:top w:w="0" w:type="dxa"/>
            <w:left w:w="0" w:type="dxa"/>
            <w:bottom w:w="0" w:type="dxa"/>
            <w:right w:w="0" w:type="dxa"/>
          </w:tblCellMar>
        </w:tblPrEx>
        <w:trPr>
          <w:trHeight w:val="285" w:hRule="atLeast"/>
        </w:trPr>
        <w:tc>
          <w:tcPr>
            <w:tcW w:w="113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9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100.00%</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CellMar>
            <w:top w:w="0" w:type="dxa"/>
            <w:left w:w="0" w:type="dxa"/>
            <w:bottom w:w="0" w:type="dxa"/>
            <w:right w:w="0" w:type="dxa"/>
          </w:tblCellMar>
        </w:tblPrEx>
        <w:trPr>
          <w:trHeight w:val="420" w:hRule="atLeast"/>
        </w:trPr>
        <w:tc>
          <w:tcPr>
            <w:tcW w:w="113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9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特困人员政策知晓率</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CellMar>
            <w:top w:w="0" w:type="dxa"/>
            <w:left w:w="0" w:type="dxa"/>
            <w:bottom w:w="0" w:type="dxa"/>
            <w:right w:w="0" w:type="dxa"/>
          </w:tblCellMar>
        </w:tblPrEx>
        <w:trPr>
          <w:trHeight w:val="285" w:hRule="atLeast"/>
        </w:trPr>
        <w:tc>
          <w:tcPr>
            <w:tcW w:w="113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9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受益人群人数</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107人</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107人</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CellMar>
            <w:top w:w="0" w:type="dxa"/>
            <w:left w:w="0" w:type="dxa"/>
            <w:bottom w:w="0" w:type="dxa"/>
            <w:right w:w="0" w:type="dxa"/>
          </w:tblCellMar>
        </w:tblPrEx>
        <w:trPr>
          <w:trHeight w:val="285" w:hRule="atLeast"/>
        </w:trPr>
        <w:tc>
          <w:tcPr>
            <w:tcW w:w="113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9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群众满意度</w:t>
            </w: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CellMar>
            <w:top w:w="0" w:type="dxa"/>
            <w:left w:w="0" w:type="dxa"/>
            <w:bottom w:w="0" w:type="dxa"/>
            <w:right w:w="0" w:type="dxa"/>
          </w:tblCellMar>
        </w:tblPrEx>
        <w:trPr>
          <w:trHeight w:val="285" w:hRule="atLeast"/>
        </w:trPr>
        <w:tc>
          <w:tcPr>
            <w:tcW w:w="113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377"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r>
        <w:tblPrEx>
          <w:tblCellMar>
            <w:top w:w="0" w:type="dxa"/>
            <w:left w:w="0" w:type="dxa"/>
            <w:bottom w:w="0" w:type="dxa"/>
            <w:right w:w="0" w:type="dxa"/>
          </w:tblCellMar>
        </w:tblPrEx>
        <w:trPr>
          <w:trHeight w:val="735" w:hRule="atLeast"/>
        </w:trPr>
        <w:tc>
          <w:tcPr>
            <w:tcW w:w="1139" w:type="dxa"/>
            <w:tcBorders>
              <w:top w:val="nil"/>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31"/>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4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r>
        <w:tblPrEx>
          <w:shd w:val="clear" w:color="auto" w:fill="auto"/>
          <w:tblCellMar>
            <w:top w:w="0" w:type="dxa"/>
            <w:left w:w="0" w:type="dxa"/>
            <w:bottom w:w="0" w:type="dxa"/>
            <w:right w:w="0" w:type="dxa"/>
          </w:tblCellMar>
        </w:tblPrEx>
        <w:trPr>
          <w:trHeight w:val="270" w:hRule="atLeast"/>
        </w:trPr>
        <w:tc>
          <w:tcPr>
            <w:tcW w:w="1139"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1079"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p>
        </w:tc>
        <w:tc>
          <w:tcPr>
            <w:tcW w:w="1079"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14"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09"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17"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9"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068"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r>
    </w:tbl>
    <w:tbl>
      <w:tblPr>
        <w:tblStyle w:val="13"/>
        <w:tblW w:w="9640" w:type="dxa"/>
        <w:tblInd w:w="0" w:type="dxa"/>
        <w:shd w:val="clear" w:color="auto" w:fill="auto"/>
        <w:tblLayout w:type="fixed"/>
        <w:tblCellMar>
          <w:top w:w="0" w:type="dxa"/>
          <w:left w:w="0" w:type="dxa"/>
          <w:bottom w:w="0" w:type="dxa"/>
          <w:right w:w="0" w:type="dxa"/>
        </w:tblCellMar>
      </w:tblPr>
      <w:tblGrid>
        <w:gridCol w:w="1136"/>
        <w:gridCol w:w="1011"/>
        <w:gridCol w:w="1011"/>
        <w:gridCol w:w="1167"/>
        <w:gridCol w:w="1321"/>
        <w:gridCol w:w="1012"/>
        <w:gridCol w:w="1043"/>
        <w:gridCol w:w="1939"/>
      </w:tblGrid>
      <w:tr>
        <w:tblPrEx>
          <w:shd w:val="clear" w:color="auto" w:fill="auto"/>
          <w:tblCellMar>
            <w:top w:w="0" w:type="dxa"/>
            <w:left w:w="0" w:type="dxa"/>
            <w:bottom w:w="0" w:type="dxa"/>
            <w:right w:w="0" w:type="dxa"/>
          </w:tblCellMar>
        </w:tblPrEx>
        <w:trPr>
          <w:trHeight w:val="417" w:hRule="atLeast"/>
        </w:trPr>
        <w:tc>
          <w:tcPr>
            <w:tcW w:w="1136"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p>
        </w:tc>
        <w:tc>
          <w:tcPr>
            <w:tcW w:w="1011"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11"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67"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12"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43"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39"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620" w:hRule="atLeast"/>
        </w:trPr>
        <w:tc>
          <w:tcPr>
            <w:tcW w:w="9640"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shd w:val="clear" w:color="auto" w:fill="auto"/>
          <w:tblCellMar>
            <w:top w:w="0" w:type="dxa"/>
            <w:left w:w="0" w:type="dxa"/>
            <w:bottom w:w="0" w:type="dxa"/>
            <w:right w:w="0" w:type="dxa"/>
          </w:tblCellMar>
        </w:tblPrEx>
        <w:trPr>
          <w:trHeight w:val="213" w:hRule="atLeast"/>
        </w:trPr>
        <w:tc>
          <w:tcPr>
            <w:tcW w:w="9640"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2023年度）</w:t>
            </w:r>
          </w:p>
        </w:tc>
      </w:tr>
      <w:tr>
        <w:tblPrEx>
          <w:shd w:val="clear" w:color="auto" w:fill="auto"/>
          <w:tblCellMar>
            <w:top w:w="0" w:type="dxa"/>
            <w:left w:w="0" w:type="dxa"/>
            <w:bottom w:w="0" w:type="dxa"/>
            <w:right w:w="0" w:type="dxa"/>
          </w:tblCellMar>
        </w:tblPrEx>
        <w:trPr>
          <w:trHeight w:val="213" w:hRule="atLeast"/>
        </w:trPr>
        <w:tc>
          <w:tcPr>
            <w:tcW w:w="1136"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3189" w:type="dxa"/>
            <w:gridSpan w:val="3"/>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石家庄鹿泉区民政事业服务中心</w:t>
            </w:r>
          </w:p>
        </w:tc>
        <w:tc>
          <w:tcPr>
            <w:tcW w:w="1321"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2"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43"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39"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23" w:hRule="atLeast"/>
        </w:trPr>
        <w:tc>
          <w:tcPr>
            <w:tcW w:w="1136" w:type="dxa"/>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民政事业服务中心运行经费（宜安敬老院运行）</w:t>
            </w:r>
          </w:p>
        </w:tc>
        <w:tc>
          <w:tcPr>
            <w:tcW w:w="132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99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石家庄鹿泉区民政事业服务中心</w:t>
            </w:r>
          </w:p>
        </w:tc>
      </w:tr>
      <w:tr>
        <w:tblPrEx>
          <w:shd w:val="clear" w:color="auto" w:fill="auto"/>
          <w:tblCellMar>
            <w:top w:w="0" w:type="dxa"/>
            <w:left w:w="0" w:type="dxa"/>
            <w:bottom w:w="0" w:type="dxa"/>
            <w:right w:w="0" w:type="dxa"/>
          </w:tblCellMar>
        </w:tblPrEx>
        <w:trPr>
          <w:trHeight w:val="220" w:hRule="atLeast"/>
        </w:trPr>
        <w:tc>
          <w:tcPr>
            <w:tcW w:w="11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02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48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20"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108.009655</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108.009655</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87.990345</w:t>
            </w:r>
          </w:p>
        </w:tc>
        <w:tc>
          <w:tcPr>
            <w:tcW w:w="19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81.47%</w:t>
            </w:r>
          </w:p>
        </w:tc>
      </w:tr>
      <w:tr>
        <w:tblPrEx>
          <w:shd w:val="clear" w:color="auto" w:fill="auto"/>
          <w:tblCellMar>
            <w:top w:w="0" w:type="dxa"/>
            <w:left w:w="0" w:type="dxa"/>
            <w:bottom w:w="0" w:type="dxa"/>
            <w:right w:w="0" w:type="dxa"/>
          </w:tblCellMar>
        </w:tblPrEx>
        <w:trPr>
          <w:trHeight w:val="423"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宋体" w:hAnsi="宋体" w:eastAsia="宋体" w:cs="宋体"/>
                <w:i w:val="0"/>
                <w:color w:val="000000"/>
                <w:sz w:val="16"/>
                <w:szCs w:val="16"/>
                <w:u w:val="none"/>
                <w:lang w:val="en-US" w:eastAsia="zh-CN"/>
              </w:rPr>
            </w:pPr>
            <w:r>
              <w:rPr>
                <w:rFonts w:hint="eastAsia" w:ascii="宋体" w:hAnsi="宋体" w:eastAsia="宋体" w:cs="宋体"/>
                <w:i w:val="0"/>
                <w:color w:val="000000"/>
                <w:sz w:val="16"/>
                <w:szCs w:val="16"/>
                <w:u w:val="none"/>
                <w:lang w:val="en-US" w:eastAsia="zh-CN"/>
              </w:rPr>
              <w:t>108.009655</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16"/>
                <w:szCs w:val="16"/>
                <w:u w:val="none"/>
                <w:lang w:val="en-US" w:eastAsia="zh-CN"/>
              </w:rPr>
            </w:pPr>
            <w:r>
              <w:rPr>
                <w:rFonts w:hint="eastAsia" w:ascii="宋体" w:hAnsi="宋体" w:eastAsia="宋体" w:cs="宋体"/>
                <w:i w:val="0"/>
                <w:color w:val="000000"/>
                <w:sz w:val="16"/>
                <w:szCs w:val="16"/>
                <w:u w:val="none"/>
                <w:lang w:val="en-US" w:eastAsia="zh-CN"/>
              </w:rPr>
              <w:t>108.009655</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87.990345</w:t>
            </w:r>
          </w:p>
        </w:tc>
        <w:tc>
          <w:tcPr>
            <w:tcW w:w="19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20"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0</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9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20" w:hRule="atLeast"/>
        </w:trPr>
        <w:tc>
          <w:tcPr>
            <w:tcW w:w="11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18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37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312"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18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保障民政事业服务中心的基本支出，提高敬老院的老人生活质量，使老人的生活更加舒适。</w:t>
            </w:r>
          </w:p>
        </w:tc>
        <w:tc>
          <w:tcPr>
            <w:tcW w:w="33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12"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18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12" w:hRule="atLeast"/>
        </w:trPr>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18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20" w:hRule="atLeast"/>
        </w:trPr>
        <w:tc>
          <w:tcPr>
            <w:tcW w:w="1136" w:type="dxa"/>
            <w:vMerge w:val="restar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1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1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488"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1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93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423"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产出指标</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工作人员工资成本</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实际工作人员工资成本</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53350</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元</w:t>
            </w:r>
            <w:r>
              <w:rPr>
                <w:rFonts w:hint="default" w:ascii="Calibri" w:hAnsi="Calibri" w:eastAsia="宋体" w:cs="Calibri"/>
                <w:i w:val="0"/>
                <w:color w:val="000000"/>
                <w:kern w:val="0"/>
                <w:sz w:val="20"/>
                <w:szCs w:val="20"/>
                <w:u w:val="none"/>
                <w:lang w:val="en-US" w:eastAsia="zh-CN" w:bidi="ar"/>
              </w:rPr>
              <w:t>/</w:t>
            </w:r>
            <w:r>
              <w:rPr>
                <w:rFonts w:hint="eastAsia" w:ascii="宋体" w:hAnsi="宋体" w:eastAsia="宋体" w:cs="宋体"/>
                <w:i w:val="0"/>
                <w:color w:val="000000"/>
                <w:kern w:val="0"/>
                <w:sz w:val="20"/>
                <w:szCs w:val="20"/>
                <w:u w:val="none"/>
                <w:lang w:val="en-US" w:eastAsia="zh-CN" w:bidi="ar"/>
              </w:rPr>
              <w:t>月</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shd w:val="clear" w:color="auto" w:fill="auto"/>
          <w:tblCellMar>
            <w:top w:w="0" w:type="dxa"/>
            <w:left w:w="0" w:type="dxa"/>
            <w:bottom w:w="0" w:type="dxa"/>
            <w:right w:w="0" w:type="dxa"/>
          </w:tblCellMar>
        </w:tblPrEx>
        <w:trPr>
          <w:trHeight w:val="423"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b/>
                <w:i w:val="0"/>
                <w:color w:val="000000"/>
                <w:sz w:val="20"/>
                <w:szCs w:val="20"/>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消防成本</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实际消防维护成本</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shd w:val="clear" w:color="auto" w:fill="auto"/>
          <w:tblCellMar>
            <w:top w:w="0" w:type="dxa"/>
            <w:left w:w="0" w:type="dxa"/>
            <w:bottom w:w="0" w:type="dxa"/>
            <w:right w:w="0" w:type="dxa"/>
          </w:tblCellMar>
        </w:tblPrEx>
        <w:trPr>
          <w:trHeight w:val="220"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b/>
                <w:i w:val="0"/>
                <w:color w:val="000000"/>
                <w:sz w:val="20"/>
                <w:szCs w:val="20"/>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燃料成本</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实际燃料成本</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shd w:val="clear" w:color="auto" w:fill="auto"/>
          <w:tblCellMar>
            <w:top w:w="0" w:type="dxa"/>
            <w:left w:w="0" w:type="dxa"/>
            <w:bottom w:w="0" w:type="dxa"/>
            <w:right w:w="0" w:type="dxa"/>
          </w:tblCellMar>
        </w:tblPrEx>
        <w:trPr>
          <w:trHeight w:val="220"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b/>
                <w:i w:val="0"/>
                <w:color w:val="000000"/>
                <w:sz w:val="20"/>
                <w:szCs w:val="20"/>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供暖面积</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实际供暖面积</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5500</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平方米</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shd w:val="clear" w:color="auto" w:fill="auto"/>
          <w:tblCellMar>
            <w:top w:w="0" w:type="dxa"/>
            <w:left w:w="0" w:type="dxa"/>
            <w:bottom w:w="0" w:type="dxa"/>
            <w:right w:w="0" w:type="dxa"/>
          </w:tblCellMar>
        </w:tblPrEx>
        <w:trPr>
          <w:trHeight w:val="423"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b/>
                <w:i w:val="0"/>
                <w:color w:val="000000"/>
                <w:sz w:val="20"/>
                <w:szCs w:val="20"/>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厢式变压器维保</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实际厢式变压器维保</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6</w:t>
            </w:r>
          </w:p>
        </w:tc>
      </w:tr>
      <w:tr>
        <w:tblPrEx>
          <w:shd w:val="clear" w:color="auto" w:fill="auto"/>
          <w:tblCellMar>
            <w:top w:w="0" w:type="dxa"/>
            <w:left w:w="0" w:type="dxa"/>
            <w:bottom w:w="0" w:type="dxa"/>
            <w:right w:w="0" w:type="dxa"/>
          </w:tblCellMar>
        </w:tblPrEx>
        <w:trPr>
          <w:trHeight w:val="423"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b/>
                <w:i w:val="0"/>
                <w:color w:val="000000"/>
                <w:sz w:val="20"/>
                <w:szCs w:val="20"/>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各项工作完成率</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本年实际完成各项工作率</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6</w:t>
            </w:r>
          </w:p>
        </w:tc>
      </w:tr>
      <w:tr>
        <w:tblPrEx>
          <w:shd w:val="clear" w:color="auto" w:fill="auto"/>
          <w:tblCellMar>
            <w:top w:w="0" w:type="dxa"/>
            <w:left w:w="0" w:type="dxa"/>
            <w:bottom w:w="0" w:type="dxa"/>
            <w:right w:w="0" w:type="dxa"/>
          </w:tblCellMar>
        </w:tblPrEx>
        <w:trPr>
          <w:trHeight w:val="423"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b/>
                <w:i w:val="0"/>
                <w:color w:val="000000"/>
                <w:sz w:val="20"/>
                <w:szCs w:val="20"/>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养老院老人</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实际养老院老人</w:t>
            </w:r>
            <w:r>
              <w:rPr>
                <w:rFonts w:hint="default" w:ascii="Calibri" w:hAnsi="Calibri" w:eastAsia="宋体" w:cs="Calibri"/>
                <w:i w:val="0"/>
                <w:color w:val="000000"/>
                <w:kern w:val="0"/>
                <w:sz w:val="20"/>
                <w:szCs w:val="20"/>
                <w:u w:val="none"/>
                <w:lang w:val="en-US" w:eastAsia="zh-CN" w:bidi="ar"/>
              </w:rPr>
              <w:t>58</w:t>
            </w:r>
            <w:r>
              <w:rPr>
                <w:rFonts w:hint="eastAsia" w:ascii="宋体" w:hAnsi="宋体" w:eastAsia="宋体" w:cs="宋体"/>
                <w:i w:val="0"/>
                <w:color w:val="000000"/>
                <w:kern w:val="0"/>
                <w:sz w:val="20"/>
                <w:szCs w:val="20"/>
                <w:u w:val="none"/>
                <w:lang w:val="en-US" w:eastAsia="zh-CN" w:bidi="ar"/>
              </w:rPr>
              <w:t>人</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58</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6</w:t>
            </w:r>
          </w:p>
        </w:tc>
      </w:tr>
      <w:tr>
        <w:tblPrEx>
          <w:shd w:val="clear" w:color="auto" w:fill="auto"/>
          <w:tblCellMar>
            <w:top w:w="0" w:type="dxa"/>
            <w:left w:w="0" w:type="dxa"/>
            <w:bottom w:w="0" w:type="dxa"/>
            <w:right w:w="0" w:type="dxa"/>
          </w:tblCellMar>
        </w:tblPrEx>
        <w:trPr>
          <w:trHeight w:val="626"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b/>
                <w:i w:val="0"/>
                <w:color w:val="000000"/>
                <w:sz w:val="20"/>
                <w:szCs w:val="20"/>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工作人员工资发放及时率</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实际工作人员工资发放及时率</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6</w:t>
            </w:r>
          </w:p>
        </w:tc>
      </w:tr>
      <w:tr>
        <w:tblPrEx>
          <w:shd w:val="clear" w:color="auto" w:fill="auto"/>
          <w:tblCellMar>
            <w:top w:w="0" w:type="dxa"/>
            <w:left w:w="0" w:type="dxa"/>
            <w:bottom w:w="0" w:type="dxa"/>
            <w:right w:w="0" w:type="dxa"/>
          </w:tblCellMar>
        </w:tblPrEx>
        <w:trPr>
          <w:trHeight w:val="626"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效益指标</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受益人群</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合格受益人群人数占受益人群人数</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58</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15</w:t>
            </w:r>
          </w:p>
        </w:tc>
      </w:tr>
      <w:tr>
        <w:tblPrEx>
          <w:shd w:val="clear" w:color="auto" w:fill="auto"/>
          <w:tblCellMar>
            <w:top w:w="0" w:type="dxa"/>
            <w:left w:w="0" w:type="dxa"/>
            <w:bottom w:w="0" w:type="dxa"/>
            <w:right w:w="0" w:type="dxa"/>
          </w:tblCellMar>
        </w:tblPrEx>
        <w:trPr>
          <w:trHeight w:val="829"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b/>
                <w:i w:val="0"/>
                <w:color w:val="000000"/>
                <w:sz w:val="20"/>
                <w:szCs w:val="20"/>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敬老院稳定水平</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通过日常运行经费的维护使敬老院达到稳定水平</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default" w:ascii="Calibri" w:hAnsi="Calibri" w:eastAsia="宋体" w:cs="Calibri"/>
                <w:i w:val="0"/>
                <w:color w:val="000000"/>
                <w:sz w:val="20"/>
                <w:szCs w:val="20"/>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逐步提高</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15</w:t>
            </w:r>
          </w:p>
        </w:tc>
      </w:tr>
      <w:tr>
        <w:tblPrEx>
          <w:shd w:val="clear" w:color="auto" w:fill="auto"/>
          <w:tblCellMar>
            <w:top w:w="0" w:type="dxa"/>
            <w:left w:w="0" w:type="dxa"/>
            <w:bottom w:w="0" w:type="dxa"/>
            <w:right w:w="0" w:type="dxa"/>
          </w:tblCellMar>
        </w:tblPrEx>
        <w:trPr>
          <w:trHeight w:val="220"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满意度指标</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服务对象满意度指标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受益群众满意</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受益群众满意数量占总数比例</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CellMar>
            <w:top w:w="0" w:type="dxa"/>
            <w:left w:w="0" w:type="dxa"/>
            <w:bottom w:w="0" w:type="dxa"/>
            <w:right w:w="0" w:type="dxa"/>
          </w:tblCellMar>
        </w:tblPrEx>
        <w:trPr>
          <w:trHeight w:val="423"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预算执行率</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default" w:ascii="Calibri" w:hAnsi="Calibri" w:eastAsia="宋体" w:cs="Calibri"/>
                <w:i w:val="0"/>
                <w:color w:val="000000"/>
                <w:sz w:val="20"/>
                <w:szCs w:val="20"/>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default" w:ascii="Calibri" w:hAnsi="Calibri" w:eastAsia="宋体" w:cs="Calibri"/>
                <w:i w:val="0"/>
                <w:color w:val="000000"/>
                <w:sz w:val="20"/>
                <w:szCs w:val="20"/>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99.67%</w:t>
            </w: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8</w:t>
            </w:r>
          </w:p>
        </w:tc>
      </w:tr>
      <w:tr>
        <w:tblPrEx>
          <w:shd w:val="clear" w:color="auto" w:fill="auto"/>
          <w:tblCellMar>
            <w:top w:w="0" w:type="dxa"/>
            <w:left w:w="0" w:type="dxa"/>
            <w:bottom w:w="0" w:type="dxa"/>
            <w:right w:w="0" w:type="dxa"/>
          </w:tblCellMar>
        </w:tblPrEx>
        <w:trPr>
          <w:trHeight w:val="220" w:hRule="atLeast"/>
        </w:trPr>
        <w:tc>
          <w:tcPr>
            <w:tcW w:w="1136"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c>
          <w:tcPr>
            <w:tcW w:w="555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98</w:t>
            </w:r>
          </w:p>
        </w:tc>
      </w:tr>
      <w:tr>
        <w:tblPrEx>
          <w:shd w:val="clear" w:color="auto" w:fill="auto"/>
          <w:tblCellMar>
            <w:top w:w="0" w:type="dxa"/>
            <w:left w:w="0" w:type="dxa"/>
            <w:bottom w:w="0" w:type="dxa"/>
            <w:right w:w="0" w:type="dxa"/>
          </w:tblCellMar>
        </w:tblPrEx>
        <w:trPr>
          <w:trHeight w:val="626" w:hRule="atLeast"/>
        </w:trPr>
        <w:tc>
          <w:tcPr>
            <w:tcW w:w="11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850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r>
        <w:tblPrEx>
          <w:shd w:val="clear" w:color="auto" w:fill="auto"/>
          <w:tblCellMar>
            <w:top w:w="0" w:type="dxa"/>
            <w:left w:w="0" w:type="dxa"/>
            <w:bottom w:w="0" w:type="dxa"/>
            <w:right w:w="0" w:type="dxa"/>
          </w:tblCellMar>
        </w:tblPrEx>
        <w:trPr>
          <w:trHeight w:val="213" w:hRule="atLeast"/>
        </w:trPr>
        <w:tc>
          <w:tcPr>
            <w:tcW w:w="1136"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1011"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p>
        </w:tc>
        <w:tc>
          <w:tcPr>
            <w:tcW w:w="1011"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67"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21"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12"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43"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1939"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p>
        </w:tc>
      </w:tr>
    </w:tbl>
    <w:p>
      <w:pPr>
        <w:numPr>
          <w:ilvl w:val="0"/>
          <w:numId w:val="0"/>
        </w:numPr>
        <w:adjustRightInd w:val="0"/>
        <w:snapToGrid w:val="0"/>
        <w:spacing w:line="580" w:lineRule="exact"/>
        <w:rPr>
          <w:rFonts w:hint="eastAsia" w:ascii="Times New Roman" w:hAnsi="Times New Roman" w:eastAsia="仿宋_GB2312" w:cs="Times New Roman"/>
          <w:b/>
          <w:bCs/>
          <w:sz w:val="32"/>
          <w:szCs w:val="32"/>
          <w:lang w:val="en-US" w:eastAsia="zh-CN"/>
        </w:rPr>
      </w:pPr>
    </w:p>
    <w:p>
      <w:pPr>
        <w:pStyle w:val="2"/>
        <w:rPr>
          <w:rFonts w:hint="eastAsia"/>
          <w:lang w:val="en-US" w:eastAsia="zh-CN"/>
        </w:rPr>
      </w:pPr>
    </w:p>
    <w:p>
      <w:pPr>
        <w:numPr>
          <w:ilvl w:val="0"/>
          <w:numId w:val="0"/>
        </w:num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（三）部门</w:t>
      </w:r>
      <w:r>
        <w:rPr>
          <w:rFonts w:hint="default" w:ascii="Times New Roman" w:hAnsi="Times New Roman" w:eastAsia="仿宋_GB2312" w:cs="Times New Roman"/>
          <w:b/>
          <w:bCs/>
          <w:sz w:val="32"/>
          <w:szCs w:val="32"/>
        </w:rPr>
        <w:t>评价项目绩效评价结果</w:t>
      </w:r>
    </w:p>
    <w:p>
      <w:pPr>
        <w:adjustRightInd w:val="0"/>
        <w:snapToGrid w:val="0"/>
        <w:spacing w:line="58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2023年鹿泉区民政局的预算编制规范、准确，各项经费足额纳入预算安排，确保了部门正常运转和专项工作的顺利开展，较好完成年初绩效目标任务。自我评价得分：部门预算管理49分，项目预算管理20分，绩效结果应用25分，部门综合得分94分，等级优秀。</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w:t>
      </w:r>
      <w:r>
        <w:rPr>
          <w:rFonts w:hint="eastAsia" w:ascii="仿宋_GB2312" w:hAnsi="Times New Roman" w:eastAsia="仿宋_GB2312" w:cs="仿宋_GB2312"/>
          <w:sz w:val="32"/>
          <w:szCs w:val="32"/>
          <w:lang w:eastAsia="zh-CN"/>
        </w:rPr>
        <w:t>国有资本经营预算</w:t>
      </w:r>
      <w:r>
        <w:rPr>
          <w:rFonts w:hint="default" w:ascii="Times New Roman" w:hAnsi="Times New Roman" w:eastAsia="仿宋_GB2312" w:cs="Times New Roman"/>
          <w:sz w:val="32"/>
          <w:szCs w:val="32"/>
        </w:rPr>
        <w:t>无收支及结转结余情况，故</w:t>
      </w:r>
      <w:r>
        <w:rPr>
          <w:rFonts w:hint="eastAsia" w:ascii="仿宋_GB2312" w:hAnsi="Times New Roman" w:eastAsia="仿宋_GB2312" w:cs="仿宋_GB2312"/>
          <w:sz w:val="32"/>
          <w:szCs w:val="32"/>
        </w:rPr>
        <w:t>国有资本经营预算财政拨款支出决算</w:t>
      </w:r>
      <w:r>
        <w:rPr>
          <w:rFonts w:hint="default" w:ascii="Times New Roman" w:hAnsi="Times New Roman" w:eastAsia="仿宋_GB2312" w:cs="Times New Roman"/>
          <w:sz w:val="32"/>
          <w:szCs w:val="32"/>
        </w:rPr>
        <w:t>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72"/>
          <w:szCs w:val="72"/>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72"/>
          <w:szCs w:val="72"/>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仿宋_GB2312" w:cs="Times New Roman"/>
          <w:sz w:val="32"/>
          <w:szCs w:val="32"/>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pStyle w:val="2"/>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14F03F8E-4672-44BF-AE09-5D0DA3161F9A}"/>
  </w:font>
  <w:font w:name="Arial">
    <w:panose1 w:val="020B0604020202020204"/>
    <w:charset w:val="01"/>
    <w:family w:val="swiss"/>
    <w:pitch w:val="default"/>
    <w:sig w:usb0="E0002EFF" w:usb1="C000785B" w:usb2="00000009" w:usb3="00000000" w:csb0="400001FF" w:csb1="FFFF0000"/>
    <w:embedRegular r:id="rId2" w:fontKey="{D27B4B5F-46D9-4422-9CE2-6B2F09003C9B}"/>
  </w:font>
  <w:font w:name="黑体">
    <w:panose1 w:val="02010600030101010101"/>
    <w:charset w:val="86"/>
    <w:family w:val="auto"/>
    <w:pitch w:val="default"/>
    <w:sig w:usb0="800002BF" w:usb1="38CF7CFA" w:usb2="00000016" w:usb3="00000000" w:csb0="00040001" w:csb1="00000000"/>
    <w:embedRegular r:id="rId3" w:fontKey="{F796BBE1-4D67-4972-8703-8A7E03A4933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40B23BF6-3BA1-47E3-A214-398137C547FB}"/>
  </w:font>
  <w:font w:name="仿宋">
    <w:panose1 w:val="02010609060101010101"/>
    <w:charset w:val="86"/>
    <w:family w:val="modern"/>
    <w:pitch w:val="default"/>
    <w:sig w:usb0="800002BF" w:usb1="38CF7CFA" w:usb2="00000016" w:usb3="00000000" w:csb0="00040001" w:csb1="00000000"/>
    <w:embedRegular r:id="rId5" w:fontKey="{DADDD334-D07C-4442-931A-BD25555B9454}"/>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魏碑简体">
    <w:panose1 w:val="02000000000000000000"/>
    <w:charset w:val="86"/>
    <w:family w:val="auto"/>
    <w:pitch w:val="default"/>
    <w:sig w:usb0="00000000" w:usb1="00000000" w:usb2="00000000" w:usb3="00000000" w:csb0="00000000" w:csb1="00000000"/>
    <w:embedRegular r:id="rId6" w:fontKey="{98190A7E-F05E-4B80-AC9D-29E95723389D}"/>
  </w:font>
  <w:font w:name="思源黑体 CN Heavy">
    <w:altName w:val="黑体"/>
    <w:panose1 w:val="00000000000000000000"/>
    <w:charset w:val="86"/>
    <w:family w:val="swiss"/>
    <w:pitch w:val="default"/>
    <w:sig w:usb0="00000000" w:usb1="00000000" w:usb2="00000016" w:usb3="00000000" w:csb0="00060107" w:csb1="00000000"/>
    <w:embedRegular r:id="rId7" w:fontKey="{9A674275-E5DC-48D7-87BD-3B8DF7724D16}"/>
  </w:font>
  <w:font w:name="楷体_GB2312">
    <w:panose1 w:val="02010609030101010101"/>
    <w:charset w:val="86"/>
    <w:family w:val="auto"/>
    <w:pitch w:val="default"/>
    <w:sig w:usb0="00000001" w:usb1="080E0000" w:usb2="00000000" w:usb3="00000000" w:csb0="00040000" w:csb1="00000000"/>
    <w:embedRegular r:id="rId8" w:fontKey="{910867C0-FA0D-40A7-8BBA-A31CCE4F9899}"/>
  </w:font>
  <w:font w:name="仿宋_GB2312">
    <w:panose1 w:val="02010609030101010101"/>
    <w:charset w:val="86"/>
    <w:family w:val="auto"/>
    <w:pitch w:val="default"/>
    <w:sig w:usb0="00000001" w:usb1="080E0000" w:usb2="00000000" w:usb3="00000000" w:csb0="00040000" w:csb1="00000000"/>
    <w:embedRegular r:id="rId9" w:fontKey="{EE395B9E-44BC-4F61-ADBA-35B683E607C5}"/>
  </w:font>
  <w:font w:name="ArialUnicodeMS">
    <w:altName w:val="Malgun Gothic"/>
    <w:panose1 w:val="00000000000000000000"/>
    <w:charset w:val="81"/>
    <w:family w:val="auto"/>
    <w:pitch w:val="default"/>
    <w:sig w:usb0="00000000" w:usb1="00000000" w:usb2="00000010" w:usb3="00000000" w:csb0="00080001" w:csb1="00000000"/>
    <w:embedRegular r:id="rId10" w:fontKey="{A0B14F73-E421-418A-923F-F51538BC83D5}"/>
  </w:font>
  <w:font w:name="方正仿宋_GB2312">
    <w:panose1 w:val="02000000000000000000"/>
    <w:charset w:val="86"/>
    <w:family w:val="auto"/>
    <w:pitch w:val="default"/>
    <w:sig w:usb0="00000000" w:usb1="00000000" w:usb2="00000000" w:usb3="00000000" w:csb0="00000000" w:csb1="00000000"/>
    <w:embedRegular r:id="rId11" w:fontKey="{0242E802-5C60-4D08-85FA-9007C84BEA31}"/>
  </w:font>
  <w:font w:name="方正小标宋_GBK">
    <w:panose1 w:val="02000000000000000000"/>
    <w:charset w:val="00"/>
    <w:family w:val="auto"/>
    <w:pitch w:val="default"/>
    <w:sig w:usb0="00000000" w:usb1="00000000" w:usb2="00000000" w:usb3="00000000" w:csb0="00000000" w:csb1="00000000"/>
    <w:embedRegular r:id="rId12" w:fontKey="{786519EF-FE4E-4305-B453-D0A68C2949A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4"/>
      <w:lvlText w:val="%1."/>
      <w:lvlJc w:val="left"/>
      <w:pPr>
        <w:ind w:left="425" w:hanging="425"/>
      </w:pPr>
      <w:rPr>
        <w:rFonts w:hint="default"/>
      </w:rPr>
    </w:lvl>
    <w:lvl w:ilvl="1" w:tentative="0">
      <w:start w:val="1"/>
      <w:numFmt w:val="decimal"/>
      <w:pStyle w:val="5"/>
      <w:lvlText w:val="%1.%2."/>
      <w:lvlJc w:val="left"/>
      <w:pPr>
        <w:ind w:left="567" w:hanging="567"/>
      </w:pPr>
      <w:rPr>
        <w:rFonts w:hint="default"/>
      </w:rPr>
    </w:lvl>
    <w:lvl w:ilvl="2" w:tentative="0">
      <w:start w:val="1"/>
      <w:numFmt w:val="decimal"/>
      <w:pStyle w:val="6"/>
      <w:lvlText w:val="%1.%2.%3."/>
      <w:lvlJc w:val="left"/>
      <w:pPr>
        <w:ind w:left="709" w:hanging="709"/>
      </w:pPr>
      <w:rPr>
        <w:rFonts w:hint="default"/>
      </w:rPr>
    </w:lvl>
    <w:lvl w:ilvl="3" w:tentative="0">
      <w:start w:val="1"/>
      <w:numFmt w:val="decimal"/>
      <w:pStyle w:val="7"/>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5F222FFA"/>
    <w:multiLevelType w:val="singleLevel"/>
    <w:tmpl w:val="5F222FFA"/>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ksImhkaWQiOiJhY2U3MTBmNGM0NzIyMzAwMzI2NmEwNDhlNDIzZDI0ZCIsInVzZXJDb3VudCI6MTd9"/>
  </w:docVars>
  <w:rsids>
    <w:rsidRoot w:val="00000000"/>
    <w:rsid w:val="00086151"/>
    <w:rsid w:val="00236F8C"/>
    <w:rsid w:val="006D2CCE"/>
    <w:rsid w:val="008E12CF"/>
    <w:rsid w:val="0096690D"/>
    <w:rsid w:val="00C65689"/>
    <w:rsid w:val="00CC2C8E"/>
    <w:rsid w:val="00F27B04"/>
    <w:rsid w:val="01616D62"/>
    <w:rsid w:val="01900E19"/>
    <w:rsid w:val="01A03C5A"/>
    <w:rsid w:val="01A5267D"/>
    <w:rsid w:val="02363AF1"/>
    <w:rsid w:val="024808A2"/>
    <w:rsid w:val="025C3821"/>
    <w:rsid w:val="02DA3B1B"/>
    <w:rsid w:val="02E57B4D"/>
    <w:rsid w:val="03216614"/>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56098D"/>
    <w:rsid w:val="08AB5AAF"/>
    <w:rsid w:val="09012C64"/>
    <w:rsid w:val="093B2E99"/>
    <w:rsid w:val="095D7943"/>
    <w:rsid w:val="09B61BF6"/>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05A8"/>
    <w:rsid w:val="136A5C00"/>
    <w:rsid w:val="13C527AC"/>
    <w:rsid w:val="141C06C1"/>
    <w:rsid w:val="14711797"/>
    <w:rsid w:val="147B6F17"/>
    <w:rsid w:val="14D42061"/>
    <w:rsid w:val="15081C8B"/>
    <w:rsid w:val="15090D5C"/>
    <w:rsid w:val="1537035C"/>
    <w:rsid w:val="154D32D9"/>
    <w:rsid w:val="15CF053D"/>
    <w:rsid w:val="15E0131A"/>
    <w:rsid w:val="162674A5"/>
    <w:rsid w:val="16457D9F"/>
    <w:rsid w:val="171F538F"/>
    <w:rsid w:val="17223EFF"/>
    <w:rsid w:val="17B713F6"/>
    <w:rsid w:val="184350A0"/>
    <w:rsid w:val="18541CC2"/>
    <w:rsid w:val="187B3DA8"/>
    <w:rsid w:val="18935485"/>
    <w:rsid w:val="18946C52"/>
    <w:rsid w:val="18A34206"/>
    <w:rsid w:val="18D11E19"/>
    <w:rsid w:val="18DE3B2C"/>
    <w:rsid w:val="1906685D"/>
    <w:rsid w:val="19111683"/>
    <w:rsid w:val="19353916"/>
    <w:rsid w:val="19B07C1B"/>
    <w:rsid w:val="19C10AF1"/>
    <w:rsid w:val="19EC209B"/>
    <w:rsid w:val="1A2672DE"/>
    <w:rsid w:val="1AA81D42"/>
    <w:rsid w:val="1AB433D9"/>
    <w:rsid w:val="1B1B11EE"/>
    <w:rsid w:val="1B337568"/>
    <w:rsid w:val="1B3719E0"/>
    <w:rsid w:val="1B6261C3"/>
    <w:rsid w:val="1B665B3C"/>
    <w:rsid w:val="1B731730"/>
    <w:rsid w:val="1B882BB5"/>
    <w:rsid w:val="1B906310"/>
    <w:rsid w:val="1B9B33C7"/>
    <w:rsid w:val="1B9D7FEC"/>
    <w:rsid w:val="1BA55461"/>
    <w:rsid w:val="1BC12045"/>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1FC021F5"/>
    <w:rsid w:val="2008768D"/>
    <w:rsid w:val="204C2B10"/>
    <w:rsid w:val="207D30AD"/>
    <w:rsid w:val="209064B9"/>
    <w:rsid w:val="20970D81"/>
    <w:rsid w:val="20D165D5"/>
    <w:rsid w:val="210878E6"/>
    <w:rsid w:val="210E1408"/>
    <w:rsid w:val="211069AD"/>
    <w:rsid w:val="21573FAB"/>
    <w:rsid w:val="2172069C"/>
    <w:rsid w:val="218E6D6E"/>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27B18"/>
    <w:rsid w:val="23BB6F9A"/>
    <w:rsid w:val="23FC3864"/>
    <w:rsid w:val="247D7230"/>
    <w:rsid w:val="24F25212"/>
    <w:rsid w:val="254B0AC6"/>
    <w:rsid w:val="25571AB6"/>
    <w:rsid w:val="255B0485"/>
    <w:rsid w:val="25B40AD6"/>
    <w:rsid w:val="25BE7872"/>
    <w:rsid w:val="25BF702A"/>
    <w:rsid w:val="25E742E7"/>
    <w:rsid w:val="25FA6065"/>
    <w:rsid w:val="2611374E"/>
    <w:rsid w:val="261F111C"/>
    <w:rsid w:val="26477410"/>
    <w:rsid w:val="264D2D17"/>
    <w:rsid w:val="26D50E55"/>
    <w:rsid w:val="270763D6"/>
    <w:rsid w:val="27181ABB"/>
    <w:rsid w:val="271A539C"/>
    <w:rsid w:val="274972D4"/>
    <w:rsid w:val="275048F0"/>
    <w:rsid w:val="275C72A5"/>
    <w:rsid w:val="27AA3D97"/>
    <w:rsid w:val="28400846"/>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6F5DF1"/>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CB4C58"/>
    <w:rsid w:val="30E55DD3"/>
    <w:rsid w:val="30E60399"/>
    <w:rsid w:val="310A6DB0"/>
    <w:rsid w:val="31356AA5"/>
    <w:rsid w:val="313E22F0"/>
    <w:rsid w:val="319040F7"/>
    <w:rsid w:val="31B0194C"/>
    <w:rsid w:val="31CE17D1"/>
    <w:rsid w:val="31D660E7"/>
    <w:rsid w:val="320F6F96"/>
    <w:rsid w:val="323E4515"/>
    <w:rsid w:val="3286389B"/>
    <w:rsid w:val="32B01824"/>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B74C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0DA2E09"/>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E64E4D"/>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8D96F3C"/>
    <w:rsid w:val="49067B2F"/>
    <w:rsid w:val="496008AE"/>
    <w:rsid w:val="49677E31"/>
    <w:rsid w:val="496C2225"/>
    <w:rsid w:val="49AE2880"/>
    <w:rsid w:val="49F42EAF"/>
    <w:rsid w:val="49F96FB8"/>
    <w:rsid w:val="4A337323"/>
    <w:rsid w:val="4A3679E8"/>
    <w:rsid w:val="4A5B28DC"/>
    <w:rsid w:val="4AA06B93"/>
    <w:rsid w:val="4AB36EBE"/>
    <w:rsid w:val="4ADB18EB"/>
    <w:rsid w:val="4AEE5418"/>
    <w:rsid w:val="4B0371D8"/>
    <w:rsid w:val="4B166259"/>
    <w:rsid w:val="4B96118E"/>
    <w:rsid w:val="4BAE1B66"/>
    <w:rsid w:val="4BED4708"/>
    <w:rsid w:val="4BF133DC"/>
    <w:rsid w:val="4C507D4A"/>
    <w:rsid w:val="4CDF5563"/>
    <w:rsid w:val="4CE623A9"/>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0028C4"/>
    <w:rsid w:val="531E524E"/>
    <w:rsid w:val="534072EB"/>
    <w:rsid w:val="538E2D0B"/>
    <w:rsid w:val="53922782"/>
    <w:rsid w:val="539C1424"/>
    <w:rsid w:val="53A639C0"/>
    <w:rsid w:val="53F00A24"/>
    <w:rsid w:val="53F63DBA"/>
    <w:rsid w:val="5448624E"/>
    <w:rsid w:val="546E2B1A"/>
    <w:rsid w:val="5482555F"/>
    <w:rsid w:val="54CD07A5"/>
    <w:rsid w:val="55050666"/>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8A496E"/>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AB3B03"/>
    <w:rsid w:val="5BB70DBD"/>
    <w:rsid w:val="5BBB2DD6"/>
    <w:rsid w:val="5BE263B6"/>
    <w:rsid w:val="5C653B42"/>
    <w:rsid w:val="5C8E5C5A"/>
    <w:rsid w:val="5C965E61"/>
    <w:rsid w:val="5CA76AD9"/>
    <w:rsid w:val="5D242A11"/>
    <w:rsid w:val="5D9217C2"/>
    <w:rsid w:val="5DA3431E"/>
    <w:rsid w:val="5DAD06BF"/>
    <w:rsid w:val="5DE23CB3"/>
    <w:rsid w:val="5DE97EEC"/>
    <w:rsid w:val="5DF43138"/>
    <w:rsid w:val="5DFA5EB0"/>
    <w:rsid w:val="5E0B583E"/>
    <w:rsid w:val="5E201A7B"/>
    <w:rsid w:val="5EB427B5"/>
    <w:rsid w:val="5EBD0484"/>
    <w:rsid w:val="5F2C5C7C"/>
    <w:rsid w:val="5F581B1E"/>
    <w:rsid w:val="5F975BA7"/>
    <w:rsid w:val="5FAA3375"/>
    <w:rsid w:val="5FC5273F"/>
    <w:rsid w:val="5FD41C37"/>
    <w:rsid w:val="60806DF2"/>
    <w:rsid w:val="61072DA5"/>
    <w:rsid w:val="611C0817"/>
    <w:rsid w:val="61224A52"/>
    <w:rsid w:val="61520CCB"/>
    <w:rsid w:val="61851A29"/>
    <w:rsid w:val="622D1522"/>
    <w:rsid w:val="622E0574"/>
    <w:rsid w:val="62683B6B"/>
    <w:rsid w:val="62AC5944"/>
    <w:rsid w:val="63084612"/>
    <w:rsid w:val="632731DA"/>
    <w:rsid w:val="637279B4"/>
    <w:rsid w:val="63817D2B"/>
    <w:rsid w:val="63B04E78"/>
    <w:rsid w:val="63BD1FA9"/>
    <w:rsid w:val="63D27965"/>
    <w:rsid w:val="63FF063D"/>
    <w:rsid w:val="64095516"/>
    <w:rsid w:val="641A2468"/>
    <w:rsid w:val="64372F20"/>
    <w:rsid w:val="64DC72D7"/>
    <w:rsid w:val="64E76BCD"/>
    <w:rsid w:val="653113E3"/>
    <w:rsid w:val="653619A6"/>
    <w:rsid w:val="65523D8C"/>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587D"/>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71398C"/>
    <w:rsid w:val="6C826EF9"/>
    <w:rsid w:val="6CAE4C93"/>
    <w:rsid w:val="6D0B1869"/>
    <w:rsid w:val="6D65402D"/>
    <w:rsid w:val="6D683822"/>
    <w:rsid w:val="6D8D136C"/>
    <w:rsid w:val="6DBF2759"/>
    <w:rsid w:val="6DC96F36"/>
    <w:rsid w:val="6DFA3EBF"/>
    <w:rsid w:val="6E3E63D2"/>
    <w:rsid w:val="6E5F7BE6"/>
    <w:rsid w:val="6E6918C6"/>
    <w:rsid w:val="6E8E495B"/>
    <w:rsid w:val="6EEB4AC4"/>
    <w:rsid w:val="6F115DAD"/>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2F77955"/>
    <w:rsid w:val="73177841"/>
    <w:rsid w:val="733774FE"/>
    <w:rsid w:val="73617E1B"/>
    <w:rsid w:val="736D7653"/>
    <w:rsid w:val="738035CB"/>
    <w:rsid w:val="7396335C"/>
    <w:rsid w:val="73DB2500"/>
    <w:rsid w:val="73F46595"/>
    <w:rsid w:val="74283FA2"/>
    <w:rsid w:val="742C135B"/>
    <w:rsid w:val="74463733"/>
    <w:rsid w:val="748A2F40"/>
    <w:rsid w:val="74F85778"/>
    <w:rsid w:val="75272439"/>
    <w:rsid w:val="758F1E9B"/>
    <w:rsid w:val="75CE266B"/>
    <w:rsid w:val="76120141"/>
    <w:rsid w:val="76C23B43"/>
    <w:rsid w:val="76FD6F97"/>
    <w:rsid w:val="770218E8"/>
    <w:rsid w:val="771137A7"/>
    <w:rsid w:val="7740283D"/>
    <w:rsid w:val="77C875A5"/>
    <w:rsid w:val="784654D3"/>
    <w:rsid w:val="784C3D32"/>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831D8D"/>
    <w:rsid w:val="7CAB0AC4"/>
    <w:rsid w:val="7CB93996"/>
    <w:rsid w:val="7CBE0F99"/>
    <w:rsid w:val="7CC0545F"/>
    <w:rsid w:val="7D4E45F1"/>
    <w:rsid w:val="7D733448"/>
    <w:rsid w:val="7DD3623A"/>
    <w:rsid w:val="7DFB6D82"/>
    <w:rsid w:val="7E046766"/>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4">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5">
    <w:name w:val="heading 2"/>
    <w:basedOn w:val="1"/>
    <w:next w:val="1"/>
    <w:link w:val="17"/>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6">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7">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rPr>
      <w:rFonts w:ascii="Times New Roman" w:hAnsi="Times New Roman" w:eastAsia="宋体" w:cs="Times New Roman"/>
    </w:rPr>
  </w:style>
  <w:style w:type="paragraph" w:styleId="3">
    <w:name w:val="Body Text Indent"/>
    <w:basedOn w:val="1"/>
    <w:unhideWhenUsed/>
    <w:qFormat/>
    <w:uiPriority w:val="99"/>
    <w:pPr>
      <w:spacing w:line="360" w:lineRule="auto"/>
      <w:ind w:firstLine="200" w:firstLineChars="200"/>
      <w:textAlignment w:val="baseline"/>
    </w:pPr>
    <w:rPr>
      <w:rFonts w:hint="eastAsia" w:ascii="Times New Roman" w:hAnsi="Times New Roman" w:eastAsia="宋体" w:cs="Times New Roman"/>
      <w:sz w:val="24"/>
    </w:rPr>
  </w:style>
  <w:style w:type="paragraph" w:styleId="8">
    <w:name w:val="annotation text"/>
    <w:basedOn w:val="1"/>
    <w:semiHidden/>
    <w:unhideWhenUsed/>
    <w:qFormat/>
    <w:uiPriority w:val="99"/>
    <w:pPr>
      <w:jc w:val="left"/>
    </w:pPr>
  </w:style>
  <w:style w:type="paragraph" w:styleId="9">
    <w:name w:val="Balloon Text"/>
    <w:basedOn w:val="1"/>
    <w:link w:val="26"/>
    <w:unhideWhenUsed/>
    <w:qFormat/>
    <w:uiPriority w:val="99"/>
    <w:rPr>
      <w:rFonts w:cstheme="minorBidi"/>
      <w:kern w:val="2"/>
      <w:sz w:val="18"/>
      <w:szCs w:val="18"/>
    </w:rPr>
  </w:style>
  <w:style w:type="paragraph" w:styleId="10">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1">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5"/>
    <w:qFormat/>
    <w:uiPriority w:val="0"/>
    <w:rPr>
      <w:rFonts w:ascii="Calibri Light" w:hAnsi="Calibri Light" w:eastAsia="宋体" w:cs="Times New Roman"/>
      <w:b/>
      <w:bCs/>
      <w:sz w:val="28"/>
      <w:szCs w:val="32"/>
    </w:rPr>
  </w:style>
  <w:style w:type="character" w:customStyle="1" w:styleId="18">
    <w:name w:val="页脚 Char"/>
    <w:basedOn w:val="15"/>
    <w:link w:val="10"/>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1"/>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9"/>
    <w:semiHidden/>
    <w:qFormat/>
    <w:uiPriority w:val="99"/>
    <w:rPr>
      <w:rFonts w:asciiTheme="minorHAnsi" w:hAnsiTheme="minorHAnsi" w:eastAsiaTheme="minorEastAsia" w:cstheme="minorBidi"/>
      <w:sz w:val="18"/>
      <w:szCs w:val="18"/>
      <w:lang w:val="en-US" w:eastAsia="zh-CN" w:bidi="ar-SA"/>
    </w:rPr>
  </w:style>
  <w:style w:type="character" w:customStyle="1" w:styleId="27">
    <w:name w:val="font21"/>
    <w:basedOn w:val="15"/>
    <w:qFormat/>
    <w:uiPriority w:val="0"/>
    <w:rPr>
      <w:rFonts w:hint="eastAsia" w:ascii="宋体" w:hAnsi="宋体" w:eastAsia="宋体" w:cs="宋体"/>
      <w:color w:val="000000"/>
      <w:sz w:val="16"/>
      <w:szCs w:val="16"/>
      <w:u w:val="none"/>
    </w:rPr>
  </w:style>
  <w:style w:type="character" w:customStyle="1" w:styleId="28">
    <w:name w:val="font71"/>
    <w:basedOn w:val="15"/>
    <w:qFormat/>
    <w:uiPriority w:val="0"/>
    <w:rPr>
      <w:rFonts w:hint="eastAsia" w:ascii="宋体" w:hAnsi="宋体" w:eastAsia="宋体" w:cs="宋体"/>
      <w:color w:val="000000"/>
      <w:sz w:val="16"/>
      <w:szCs w:val="16"/>
      <w:u w:val="none"/>
    </w:rPr>
  </w:style>
  <w:style w:type="character" w:customStyle="1" w:styleId="29">
    <w:name w:val="font111"/>
    <w:basedOn w:val="15"/>
    <w:qFormat/>
    <w:uiPriority w:val="0"/>
    <w:rPr>
      <w:rFonts w:hint="eastAsia" w:ascii="宋体" w:hAnsi="宋体" w:eastAsia="宋体" w:cs="宋体"/>
      <w:color w:val="000000"/>
      <w:sz w:val="21"/>
      <w:szCs w:val="21"/>
      <w:u w:val="none"/>
    </w:rPr>
  </w:style>
  <w:style w:type="character" w:customStyle="1" w:styleId="30">
    <w:name w:val="font12"/>
    <w:basedOn w:val="15"/>
    <w:qFormat/>
    <w:uiPriority w:val="0"/>
    <w:rPr>
      <w:rFonts w:hint="default" w:ascii="Calibri" w:hAnsi="Calibri" w:cs="Calibri"/>
      <w:color w:val="000000"/>
      <w:sz w:val="21"/>
      <w:szCs w:val="21"/>
      <w:u w:val="none"/>
    </w:rPr>
  </w:style>
  <w:style w:type="character" w:customStyle="1" w:styleId="31">
    <w:name w:val="font131"/>
    <w:basedOn w:val="15"/>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chart" Target="charts/chart5.xml"/><Relationship Id="rId22" Type="http://schemas.openxmlformats.org/officeDocument/2006/relationships/chart" Target="charts/chart4.xml"/><Relationship Id="rId21" Type="http://schemas.openxmlformats.org/officeDocument/2006/relationships/chart" Target="charts/chart3.xml"/><Relationship Id="rId20" Type="http://schemas.openxmlformats.org/officeDocument/2006/relationships/chart" Target="charts/chart2.xml"/><Relationship Id="rId2" Type="http://schemas.openxmlformats.org/officeDocument/2006/relationships/settings" Target="settings.xml"/><Relationship Id="rId19" Type="http://schemas.openxmlformats.org/officeDocument/2006/relationships/chart" Target="charts/chart1.xml"/><Relationship Id="rId18" Type="http://schemas.openxmlformats.org/officeDocument/2006/relationships/image" Target="media/image1.svg"/><Relationship Id="rId17" Type="http://schemas.openxmlformats.org/officeDocument/2006/relationships/image" Target="media/image5.png"/><Relationship Id="rId16" Type="http://schemas.openxmlformats.org/officeDocument/2006/relationships/image" Target="media/image4.jpeg"/><Relationship Id="rId15" Type="http://schemas.openxmlformats.org/officeDocument/2006/relationships/image" Target="media/image3.jpeg"/><Relationship Id="rId14" Type="http://schemas.openxmlformats.org/officeDocument/2006/relationships/image" Target="media/image2.jpe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8238.69</c:v>
                </c:pt>
                <c:pt idx="1">
                  <c:v>7878.95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47523556414593"/>
          <c:y val="0.0318742031449214"/>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303272355924588"/>
                  <c:y val="0.23268168295792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26165740517033"/>
                  <c:y val="0.10837229069273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89925102681807"/>
                  <c:y val="-0.0031874203144921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12755367.62</c:v>
                </c:pt>
                <c:pt idx="1">
                  <c:v>65956146.08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7874.48</c:v>
                </c:pt>
                <c:pt idx="1">
                  <c:v>7874.03</c:v>
                </c:pt>
                <c:pt idx="2">
                  <c:v>5047.94</c:v>
                </c:pt>
                <c:pt idx="3">
                  <c:v>5045.88</c:v>
                </c:pt>
                <c:pt idx="4">
                  <c:v>2826.54</c:v>
                </c:pt>
                <c:pt idx="5">
                  <c:v>2828.15</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7870.88</c:v>
                </c:pt>
                <c:pt idx="1">
                  <c:v>7871.15</c:v>
                </c:pt>
                <c:pt idx="2">
                  <c:v>6540.93</c:v>
                </c:pt>
                <c:pt idx="3">
                  <c:v>6541.2</c:v>
                </c:pt>
                <c:pt idx="4">
                  <c:v>1329.95</c:v>
                </c:pt>
                <c:pt idx="5">
                  <c:v>1329.95</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3788.72</c:v>
                </c:pt>
                <c:pt idx="1">
                  <c:v>3788.72</c:v>
                </c:pt>
                <c:pt idx="2">
                  <c:v>3388.74</c:v>
                </c:pt>
                <c:pt idx="3">
                  <c:v>3388.74</c:v>
                </c:pt>
                <c:pt idx="4">
                  <c:v>399.98</c:v>
                </c:pt>
                <c:pt idx="5">
                  <c:v>399.98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7870.88</c:v>
                </c:pt>
                <c:pt idx="1">
                  <c:v>7871.15</c:v>
                </c:pt>
                <c:pt idx="2">
                  <c:v>6540.93</c:v>
                </c:pt>
                <c:pt idx="3">
                  <c:v>6541.2</c:v>
                </c:pt>
                <c:pt idx="4">
                  <c:v>1329.95</c:v>
                </c:pt>
                <c:pt idx="5">
                  <c:v>1329.95</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0</c:v>
                </c:pt>
                <c:pt idx="6">
                  <c:v>6448.11</c:v>
                </c:pt>
                <c:pt idx="7">
                  <c:v>41.1</c:v>
                </c:pt>
                <c:pt idx="8">
                  <c:v>0</c:v>
                </c:pt>
                <c:pt idx="9">
                  <c:v>113.64</c:v>
                </c:pt>
                <c:pt idx="10">
                  <c:v>0</c:v>
                </c:pt>
                <c:pt idx="11">
                  <c:v>0</c:v>
                </c:pt>
                <c:pt idx="12">
                  <c:v>0</c:v>
                </c:pt>
                <c:pt idx="13">
                  <c:v>0</c:v>
                </c:pt>
                <c:pt idx="14">
                  <c:v>0</c:v>
                </c:pt>
                <c:pt idx="15">
                  <c:v>0</c:v>
                </c:pt>
                <c:pt idx="16">
                  <c:v>51.99</c:v>
                </c:pt>
                <c:pt idx="17">
                  <c:v>0</c:v>
                </c:pt>
                <c:pt idx="18">
                  <c:v>0</c:v>
                </c:pt>
                <c:pt idx="19">
                  <c:v>0</c:v>
                </c:pt>
                <c:pt idx="20">
                  <c:v>1146.79</c:v>
                </c:pt>
                <c:pt idx="21">
                  <c:v>69.52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10571</Words>
  <Characters>14419</Characters>
  <Lines>86</Lines>
  <Paragraphs>24</Paragraphs>
  <TotalTime>2</TotalTime>
  <ScaleCrop>false</ScaleCrop>
  <LinksUpToDate>false</LinksUpToDate>
  <CharactersWithSpaces>15020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2025-04-27T06:24:12Z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