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59264" behindDoc="1" locked="0" layoutInCell="1" allowOverlap="1">
            <wp:simplePos x="0" y="0"/>
            <wp:positionH relativeFrom="margin">
              <wp:posOffset>-2874010</wp:posOffset>
            </wp:positionH>
            <wp:positionV relativeFrom="margin">
              <wp:posOffset>320040</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4"/>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5"/>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6"/>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：石家庄市鹿泉区民政局（本级）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jc w:val="center"/>
        <w:rPr>
          <w:rFonts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80" w:firstLineChars="4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val="en-US" w:eastAsia="zh-CN"/>
        </w:rPr>
        <w:t>单位</w:t>
      </w:r>
      <w:bookmarkStart w:id="0" w:name="_GoBack"/>
      <w:bookmarkEnd w:id="0"/>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1280" w:firstLineChars="4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ageBreakBefore w:val="0"/>
        <w:widowControl/>
        <w:kinsoku/>
        <w:wordWrap/>
        <w:overflowPunct/>
        <w:topLinePunct w:val="0"/>
        <w:autoSpaceDE/>
        <w:autoSpaceDN/>
        <w:bidi w:val="0"/>
        <w:adjustRightInd/>
        <w:snapToGrid/>
        <w:spacing w:after="160"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主要</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职能</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rPr>
        <w:t>1.贯彻执行</w:t>
      </w:r>
      <w:r>
        <w:rPr>
          <w:rFonts w:hint="eastAsia" w:ascii="仿宋" w:hAnsi="仿宋" w:eastAsia="仿宋" w:cs="Times New Roman"/>
          <w:sz w:val="32"/>
          <w:szCs w:val="32"/>
          <w:lang w:val="en-US" w:eastAsia="zh-CN"/>
        </w:rPr>
        <w:t>国家、省、市民政事业发展</w:t>
      </w:r>
      <w:r>
        <w:rPr>
          <w:rFonts w:hint="eastAsia" w:ascii="仿宋" w:hAnsi="仿宋" w:eastAsia="仿宋" w:cs="Times New Roman"/>
          <w:sz w:val="32"/>
          <w:szCs w:val="32"/>
        </w:rPr>
        <w:t>法律法规</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规章、政策、规划</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拟订民政事业发展规划并组织实施。</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2.</w:t>
      </w:r>
      <w:r>
        <w:rPr>
          <w:rFonts w:hint="eastAsia" w:ascii="仿宋" w:hAnsi="仿宋" w:eastAsia="仿宋" w:cs="Times New Roman"/>
          <w:sz w:val="32"/>
          <w:szCs w:val="32"/>
          <w:lang w:val="en-US" w:eastAsia="zh-CN"/>
        </w:rPr>
        <w:t>拟订社会团体、社会服务机构等社会组织监督管理办法并组织实施，依法对全区社会组织进行管理和监督检查。负责区社会组织党委日常工作。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3.</w:t>
      </w:r>
      <w:r>
        <w:rPr>
          <w:rFonts w:hint="eastAsia" w:ascii="仿宋" w:hAnsi="仿宋" w:eastAsia="仿宋" w:cs="Times New Roman"/>
          <w:sz w:val="32"/>
          <w:szCs w:val="32"/>
          <w:lang w:val="en-US" w:eastAsia="zh-CN"/>
        </w:rPr>
        <w:t>贯彻执行社会救助有关政策和标准，统筹社会救助体系建设，负责城乡居民最低生活保障、特困人员救助供养、临时救助、生活无着流浪乞讨人员救助工作</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4.</w:t>
      </w:r>
      <w:r>
        <w:rPr>
          <w:rFonts w:hint="eastAsia" w:ascii="仿宋" w:hAnsi="仿宋" w:eastAsia="仿宋" w:cs="Times New Roman"/>
          <w:sz w:val="32"/>
          <w:szCs w:val="32"/>
          <w:lang w:val="en-US" w:eastAsia="zh-CN"/>
        </w:rPr>
        <w:t>拟订全区社区建设政策及基层群众自治管理办法；指导城乡社区治理体系和能力建设；提出加强和改进基层政权建设的建议，推动基层民主政治建设。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5.</w:t>
      </w:r>
      <w:r>
        <w:rPr>
          <w:rFonts w:hint="eastAsia" w:ascii="仿宋" w:hAnsi="仿宋" w:eastAsia="仿宋" w:cs="Times New Roman"/>
          <w:sz w:val="32"/>
          <w:szCs w:val="32"/>
          <w:lang w:val="en-US" w:eastAsia="zh-CN"/>
        </w:rPr>
        <w:t>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负责婚姻登记管理工作，推进婚俗改革。</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贯彻执行殡葬管理法律法规政策，拟订全区殡葬服务规范并组织实施，推进殡葬改革，指导殡葬服务机构做好相关工作。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8</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统筹推进、督促指导、监督管理全区养老服务工作。拟订全区养老服务体系建设规划、政策、标准并组织实施，承担老年人福利和特殊困难老年人救助工作。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会同相关部门做好残疾人权益保护相关工作，统筹推进残疾人福利制度建设和康复辅助器具产业发展。</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拟订全区儿童福利、儿童救助相关政策标准并组织实施。负责儿童收养登记管理工作，负责农村留守儿童关爱保护和困境儿童保障工作。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11</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负责促进全区慈善事业发展，拟订慈善信托、慈善组织活动管理办法，组织开展慈善捐助工作，负责社会公益性慈善捐赠监管工作，指导慈善精准扶贫帮扶工作，负责福利彩票管理工作。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12.拟订全区社会工作发展规划、志愿服务规范和标准并组织实施，会同有关部门推进社会工作人才队伍和志愿者队伍建设。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13.负责民政系统综合执法工作；按上级部署指导乡（镇、区）做好民政执法工作。</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rPr>
            </w:pPr>
            <w:r>
              <w:rPr>
                <w:rFonts w:hint="eastAsia" w:ascii="仿宋_GB2312" w:eastAsia="仿宋_GB2312" w:cs="仿宋_GB2312"/>
                <w:kern w:val="0"/>
                <w:sz w:val="28"/>
                <w:szCs w:val="28"/>
                <w:lang w:eastAsia="zh-CN"/>
              </w:rPr>
              <w:t>鹿泉区民政局（本级）</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lang w:eastAsia="zh-CN"/>
              </w:rPr>
              <w:t>行政单位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度单位</w:t>
      </w:r>
      <w:r>
        <w:rPr>
          <w:rFonts w:hint="eastAsia" w:ascii="黑体" w:hAnsi="宋体" w:eastAsia="黑体" w:cs="黑体"/>
          <w:i w:val="0"/>
          <w:iCs w:val="0"/>
          <w:caps w:val="0"/>
          <w:color w:val="000000"/>
          <w:spacing w:val="0"/>
          <w:sz w:val="72"/>
          <w:szCs w:val="72"/>
          <w:highlight w:val="none"/>
          <w:shd w:val="clear" w:fill="FFFFFF"/>
        </w:rPr>
        <w:t>决算报表</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1" w:type="default"/>
          <w:pgSz w:w="11906" w:h="16838"/>
          <w:pgMar w:top="1531" w:right="1984" w:bottom="1531" w:left="2098" w:header="851" w:footer="992" w:gutter="0"/>
          <w:cols w:space="720" w:num="1"/>
          <w:docGrid w:type="lines" w:linePitch="312" w:charSpace="0"/>
        </w:sectPr>
      </w:pP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编制单位：石家庄市鹿泉区民政局（本级）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5,436.22</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1,086.14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5,390.66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1,016.62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6,522.36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6,522.35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6,527.37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6,527.37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编制单位：石家庄市鹿泉区民政局（本级）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6,522.36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6,522.36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5,390.67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5,390.67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社会组织管理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2080207</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行政区划和地名管理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2,004.66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2,004.66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老年福利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2081004</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殡葬</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养老服务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最低生活保障</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1,424.60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1,424.60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城市最低生活保障金支出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农村最低生活保障金支出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1,376.41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临时救助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临时救助支出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特困人员救助供养</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581.87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581.87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农村特困人员救助供养支出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581.87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581.87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936.62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2296006</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用于残疾人事业的彩票公益金支出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kern w:val="0"/>
                <w:sz w:val="20"/>
                <w:szCs w:val="20"/>
                <w:highlight w:val="none"/>
                <w:u w:val="none"/>
                <w:lang w:val="en-US" w:eastAsia="zh-CN" w:bidi="ar-SA"/>
              </w:rPr>
            </w:pPr>
            <w:r>
              <w:rPr>
                <w:rFonts w:hint="eastAsia" w:ascii="仿宋" w:hAnsi="仿宋" w:eastAsia="仿宋" w:cs="仿宋"/>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编制单位：石家庄市鹿泉区民政局（本级）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6,522.35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733.24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5,789.11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5,390.66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687.69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4,702.97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743.39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社会组织管理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行政区划和地名管理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其他民政管理事务支出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2,004.66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2,004.66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老年福利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843.63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843.63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殡葬</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养老服务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残疾人生活和护理补贴</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最低生活保障</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特困人员救助供养</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农村特困人员救助供养支出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936.62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2296006</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用于残疾人事业的彩票公益金支出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地方政府专项债务付息支出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635"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其他地方自行试点项目收益专项债券付息支出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编制单位：石家庄市鹿泉区民政局（本级）</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5,436.22</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1,086.14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5,390.66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5,390.66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1,016.62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1,016.62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69.52</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6,522.36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6,522.35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5,436.21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1,086.14</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5.00</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6,527.37</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6,527.37</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5,441.23</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1,086.14</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3"/>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3"/>
        <w:gridCol w:w="3416"/>
        <w:gridCol w:w="329"/>
        <w:gridCol w:w="982"/>
        <w:gridCol w:w="1037"/>
        <w:gridCol w:w="383"/>
        <w:gridCol w:w="1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编制单位：石家庄市鹿泉区民政局（本级）</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5,436.21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733.24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4,702.97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5,390.66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687.69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4,702.97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民政管理事务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743.39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191.43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551.96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社会组织管理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行政区划和地名管理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基层政权建设和社区治理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其他民政管理事务支出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108.05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27.68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社会福利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2,004.66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2,004.66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老年福利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843.63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843.63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殡葬</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养老服务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残疾人事业</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残疾人生活和护理补贴</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最低生活保障</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1,424.60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城市最低生活保障金支出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农村最低生活保障金支出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1,376.41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临时救助支出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特困人员救助供养</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农村特困人员救助供养支出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581.87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编制单位：石家庄市鹿泉区民政局（本级）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321.81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261.86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72.76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41.46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66.55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21.65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41.52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6.82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6.92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149.56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471.37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编制单位：石家庄市鹿泉区民政局（本级）</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1,086.14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1,086.14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1,086.14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1,016.62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936.62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936.62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936.62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2296006</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用于残疾人事业的彩票公益金支出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地方政府专项债务付息支出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703" w:type="pct"/>
            <w:tcBorders>
              <w:top w:val="nil"/>
              <w:left w:val="nil"/>
              <w:bottom w:val="single" w:color="000000" w:sz="4" w:space="0"/>
              <w:right w:val="single" w:color="000000" w:sz="4" w:space="0"/>
            </w:tcBorders>
            <w:noWrap/>
            <w:vAlign w:val="center"/>
          </w:tcPr>
          <w:p>
            <w:pPr>
              <w:jc w:val="left"/>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69.52</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编制单位：石家庄市鹿泉区民政局（本级）</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注：本表反映单位本年度国有资本经营预算财政拨款支出情况。本单位本年度无相关收入（或支出、收支及结转结余等）情况，按要求空表列式。</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编制单位：石家庄市鹿泉区民政局（本级）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10.31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4.91</w:t>
            </w: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6.54</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4.71</w:t>
            </w: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1.83</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1.83</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度单位</w:t>
      </w:r>
      <w:r>
        <w:rPr>
          <w:rFonts w:hint="eastAsia" w:ascii="黑体" w:hAnsi="宋体" w:eastAsia="黑体" w:cs="黑体"/>
          <w:i w:val="0"/>
          <w:iCs w:val="0"/>
          <w:caps w:val="0"/>
          <w:color w:val="000000"/>
          <w:spacing w:val="-20"/>
          <w:sz w:val="72"/>
          <w:szCs w:val="72"/>
          <w:highlight w:val="none"/>
          <w:shd w:val="clear" w:fill="FFFFFF"/>
        </w:rPr>
        <w:t>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6,527.37</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2"/>
          <w:szCs w:val="32"/>
          <w:highlight w:val="none"/>
          <w:lang w:val="zh-CN"/>
        </w:rPr>
        <w:t>减少439.82万元</w:t>
      </w:r>
      <w:r>
        <w:rPr>
          <w:rFonts w:hint="eastAsia"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zh-CN"/>
        </w:rPr>
        <w:t>下降6.31%，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项目投资资金减少</w:t>
      </w:r>
      <w:r>
        <w:rPr>
          <w:rFonts w:hint="default" w:ascii="Times New Roman" w:hAnsi="Times New Roman" w:eastAsia="仿宋_GB2312" w:cs="Times New Roman"/>
          <w:kern w:val="2"/>
          <w:sz w:val="32"/>
          <w:szCs w:val="32"/>
          <w:lang w:val="en-US" w:eastAsia="zh-CN" w:bidi="ar-SA"/>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6,522.36</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6,522.36</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6,522.35万元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733.24万元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占11.24%；</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5,789.11万元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占88.76%；</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年度财政拨款本年收入6,522.36</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2"/>
          <w:szCs w:val="32"/>
          <w:highlight w:val="none"/>
          <w:lang w:val="zh-CN"/>
        </w:rPr>
        <w:t>减少83.94万元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2"/>
          <w:szCs w:val="32"/>
          <w:highlight w:val="none"/>
          <w:lang w:val="zh-CN"/>
        </w:rPr>
        <w:t>降低1.27%，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color w:val="auto"/>
          <w:kern w:val="2"/>
          <w:sz w:val="32"/>
          <w:szCs w:val="32"/>
          <w:lang w:val="zh-CN" w:eastAsia="zh-CN" w:bidi="ar-SA"/>
        </w:rPr>
        <w:t>；本年支出 6,522.35</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2"/>
          <w:szCs w:val="32"/>
          <w:highlight w:val="none"/>
          <w:lang w:val="zh-CN"/>
        </w:rPr>
        <w:t>减少83.25万元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2"/>
          <w:szCs w:val="32"/>
          <w:highlight w:val="none"/>
          <w:lang w:val="zh-CN"/>
        </w:rPr>
        <w:t>降低1.26%，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一般公共预算财政拨款本年收入5,436.22</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2"/>
          <w:szCs w:val="32"/>
          <w:highlight w:val="none"/>
          <w:lang w:val="zh-CN"/>
        </w:rPr>
        <w:t>增加1,445.89万元，增长36.23%，</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项目投资资金增加</w:t>
      </w:r>
      <w:r>
        <w:rPr>
          <w:rFonts w:hint="default" w:ascii="Times New Roman" w:hAnsi="Times New Roman" w:eastAsia="仿宋_GB2312" w:cs="Times New Roman"/>
          <w:kern w:val="2"/>
          <w:sz w:val="32"/>
          <w:szCs w:val="32"/>
          <w:lang w:val="zh-CN"/>
        </w:rPr>
        <w:t>；本年支出 5,436.21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增加1,446.58万元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增长36.26%，</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政府性基金预算财政拨款本年收入1,086.14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减少1,529.83万元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降低58.48%，</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kern w:val="2"/>
          <w:sz w:val="32"/>
          <w:szCs w:val="32"/>
          <w:lang w:val="zh-CN"/>
        </w:rPr>
        <w:t>；本年支出 1,086.14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减少1,529.83万元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2"/>
          <w:szCs w:val="32"/>
          <w:highlight w:val="none"/>
          <w:lang w:val="zh-CN"/>
        </w:rPr>
        <w:t>降低58.48%，</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项目投资资金减少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年度财政拨款本年收入6,522.36万元，完成年初预算的238.58%，比年初预算</w:t>
      </w:r>
      <w:r>
        <w:rPr>
          <w:rFonts w:hint="eastAsia" w:ascii="Times New Roman" w:hAnsi="Times New Roman" w:eastAsia="仿宋_GB2312" w:cs="Times New Roman"/>
          <w:sz w:val="32"/>
          <w:szCs w:val="32"/>
          <w:highlight w:val="none"/>
          <w:lang w:val="zh-CN"/>
        </w:rPr>
        <w:t>增加3,788.55万元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仿宋_GB2312" w:hAnsi="Times New Roman" w:eastAsia="仿宋_GB2312" w:cs="仿宋_GB2312"/>
          <w:sz w:val="32"/>
          <w:szCs w:val="32"/>
          <w:lang w:val="en-US" w:eastAsia="zh-CN"/>
        </w:rPr>
        <w:t>上级拨付专项资金的增加</w:t>
      </w:r>
      <w:r>
        <w:rPr>
          <w:rFonts w:hint="default" w:ascii="Times New Roman" w:hAnsi="Times New Roman" w:eastAsia="仿宋_GB2312" w:cs="Times New Roman"/>
          <w:color w:val="auto"/>
          <w:kern w:val="2"/>
          <w:sz w:val="32"/>
          <w:szCs w:val="32"/>
          <w:lang w:val="zh-CN" w:eastAsia="zh-CN" w:bidi="ar-SA"/>
        </w:rPr>
        <w:t>；本年支出6,522.35万元，完成年初预算的238.58%，比年初预算</w:t>
      </w:r>
      <w:r>
        <w:rPr>
          <w:rFonts w:hint="eastAsia" w:ascii="Times New Roman" w:hAnsi="Times New Roman" w:eastAsia="仿宋_GB2312" w:cs="Times New Roman"/>
          <w:sz w:val="32"/>
          <w:szCs w:val="32"/>
          <w:highlight w:val="none"/>
          <w:lang w:val="zh-CN"/>
        </w:rPr>
        <w:t>增加3,788.53万元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仿宋_GB2312" w:hAnsi="Times New Roman" w:eastAsia="仿宋_GB2312" w:cs="Wingdings"/>
          <w:sz w:val="32"/>
          <w:szCs w:val="32"/>
          <w:highlight w:val="none"/>
          <w:lang w:val="en-US" w:eastAsia="zh-CN"/>
        </w:rPr>
        <w:t>加</w:t>
      </w:r>
      <w:r>
        <w:rPr>
          <w:rFonts w:hint="eastAsia" w:ascii="Times New Roman" w:hAnsi="Times New Roman" w:eastAsia="仿宋_GB2312" w:cs="Times New Roman"/>
          <w:kern w:val="2"/>
          <w:sz w:val="32"/>
          <w:szCs w:val="32"/>
          <w:lang w:val="en-US" w:eastAsia="zh-CN"/>
        </w:rPr>
        <w:t>大了对民生保障类项目的支出</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收入5,436.22万元，完成年初预算的 217.83%，比年初预算</w:t>
      </w:r>
      <w:r>
        <w:rPr>
          <w:rFonts w:hint="eastAsia" w:ascii="Times New Roman" w:hAnsi="Times New Roman" w:eastAsia="仿宋_GB2312" w:cs="Times New Roman"/>
          <w:sz w:val="32"/>
          <w:szCs w:val="32"/>
          <w:highlight w:val="none"/>
          <w:lang w:val="zh-CN"/>
        </w:rPr>
        <w:t>增加2,940.55万元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仿宋_GB2312"/>
          <w:sz w:val="32"/>
          <w:szCs w:val="32"/>
          <w:lang w:val="en-US" w:eastAsia="zh-CN"/>
        </w:rPr>
        <w:t>上级拨付专项资金的增加</w:t>
      </w:r>
      <w:r>
        <w:rPr>
          <w:rFonts w:hint="default" w:ascii="Times New Roman" w:hAnsi="Times New Roman" w:eastAsia="仿宋_GB2312" w:cs="Times New Roman"/>
          <w:kern w:val="2"/>
          <w:sz w:val="32"/>
          <w:szCs w:val="32"/>
          <w:lang w:val="zh-CN"/>
        </w:rPr>
        <w:t>；本年支出5,436.21万元，完成年初预算的217.83%，比年初预算</w:t>
      </w:r>
      <w:r>
        <w:rPr>
          <w:rFonts w:hint="eastAsia" w:ascii="Times New Roman" w:hAnsi="Times New Roman" w:eastAsia="仿宋_GB2312" w:cs="Times New Roman"/>
          <w:sz w:val="32"/>
          <w:szCs w:val="32"/>
          <w:highlight w:val="none"/>
          <w:lang w:val="zh-CN"/>
        </w:rPr>
        <w:t>增加2,940.53万元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Wingdings"/>
          <w:sz w:val="32"/>
          <w:szCs w:val="32"/>
          <w:highlight w:val="none"/>
          <w:lang w:val="en-US" w:eastAsia="zh-CN"/>
        </w:rPr>
        <w:t>加大了对民生保障类项目的支出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政府性基金预算财政拨款本年收入1,086.14万元，完成年初预算的456.09%，比年初预算</w:t>
      </w:r>
      <w:r>
        <w:rPr>
          <w:rFonts w:hint="eastAsia" w:ascii="Times New Roman" w:hAnsi="Times New Roman" w:eastAsia="仿宋_GB2312" w:cs="Times New Roman"/>
          <w:sz w:val="32"/>
          <w:szCs w:val="32"/>
          <w:highlight w:val="none"/>
          <w:lang w:val="zh-CN"/>
        </w:rPr>
        <w:t>增加848万元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；本年支出1,086.14万元，完成年初预算的456.09%，比年初预算</w:t>
      </w:r>
      <w:r>
        <w:rPr>
          <w:rFonts w:hint="eastAsia" w:ascii="Times New Roman" w:hAnsi="Times New Roman" w:eastAsia="仿宋_GB2312" w:cs="Times New Roman"/>
          <w:sz w:val="32"/>
          <w:szCs w:val="32"/>
          <w:highlight w:val="none"/>
          <w:lang w:val="zh-CN"/>
        </w:rPr>
        <w:t>增加848万元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项目投资资金增加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2"/>
          <w:szCs w:val="32"/>
          <w:highlight w:val="none"/>
          <w:lang w:val="zh-CN"/>
        </w:rPr>
        <w:t>比年初预算</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2"/>
          <w:szCs w:val="32"/>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年度财政拨款支出6,522.35万元，主要用于以下方面：</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社会保障和就业 （类）支出5,390.66万元，占82.65%</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Wingdings"/>
          <w:sz w:val="32"/>
          <w:szCs w:val="32"/>
          <w:lang w:val="en-US" w:eastAsia="zh-CN"/>
        </w:rPr>
        <w:t>主要用于基本民生兜底保障、残疾人两项补贴、</w:t>
      </w:r>
      <w:r>
        <w:rPr>
          <w:rFonts w:hint="eastAsia" w:ascii="仿宋_GB2312" w:hAnsi="Times New Roman" w:eastAsia="仿宋_GB2312" w:cs="Wingdings"/>
          <w:sz w:val="32"/>
          <w:szCs w:val="32"/>
          <w:highlight w:val="none"/>
          <w:lang w:val="en-US" w:eastAsia="zh-CN"/>
        </w:rPr>
        <w:t>高龄津贴等支出</w:t>
      </w:r>
      <w:r>
        <w:rPr>
          <w:rFonts w:hint="default" w:ascii="Times New Roman" w:hAnsi="Times New Roman" w:eastAsia="仿宋_GB2312" w:cs="Times New Roman"/>
          <w:color w:val="auto"/>
          <w:kern w:val="2"/>
          <w:sz w:val="32"/>
          <w:szCs w:val="32"/>
          <w:lang w:val="zh-CN" w:eastAsia="zh-CN" w:bidi="ar-SA"/>
        </w:rPr>
        <w:t>；卫生健康（类）支出19.39万元，占0.3%</w:t>
      </w:r>
      <w:r>
        <w:rPr>
          <w:rFonts w:hint="eastAsia" w:ascii="Times New Roman" w:hAnsi="Times New Roman" w:eastAsia="仿宋_GB2312" w:cs="Times New Roman"/>
          <w:color w:val="auto"/>
          <w:kern w:val="2"/>
          <w:sz w:val="32"/>
          <w:szCs w:val="32"/>
          <w:lang w:val="zh-CN" w:eastAsia="zh-CN" w:bidi="ar-SA"/>
        </w:rPr>
        <w:t>，主要用于在职人员医疗保险支出</w:t>
      </w:r>
      <w:r>
        <w:rPr>
          <w:rFonts w:hint="default" w:ascii="Times New Roman" w:hAnsi="Times New Roman" w:eastAsia="仿宋_GB2312" w:cs="Times New Roman"/>
          <w:color w:val="auto"/>
          <w:kern w:val="2"/>
          <w:sz w:val="32"/>
          <w:szCs w:val="32"/>
          <w:lang w:val="zh-CN" w:eastAsia="zh-CN" w:bidi="ar-SA"/>
        </w:rPr>
        <w:t>；住房保障（类）支出26.16万元，占0.4%</w:t>
      </w:r>
      <w:r>
        <w:rPr>
          <w:rFonts w:hint="eastAsia" w:ascii="Times New Roman" w:hAnsi="Times New Roman" w:eastAsia="仿宋_GB2312" w:cs="Times New Roman"/>
          <w:color w:val="auto"/>
          <w:kern w:val="2"/>
          <w:sz w:val="32"/>
          <w:szCs w:val="32"/>
          <w:lang w:val="zh-CN" w:eastAsia="zh-CN" w:bidi="ar-SA"/>
        </w:rPr>
        <w:t>，主要用于在职人员住房公积金支出</w:t>
      </w:r>
      <w:r>
        <w:rPr>
          <w:rFonts w:hint="default" w:ascii="Times New Roman" w:hAnsi="Times New Roman" w:eastAsia="仿宋_GB2312" w:cs="Times New Roman"/>
          <w:color w:val="auto"/>
          <w:kern w:val="2"/>
          <w:sz w:val="32"/>
          <w:szCs w:val="32"/>
          <w:lang w:val="zh-CN" w:eastAsia="zh-CN" w:bidi="ar-SA"/>
        </w:rPr>
        <w:t>；其他（类）支出1,016.62万元，占15.59%</w:t>
      </w:r>
      <w:r>
        <w:rPr>
          <w:rFonts w:hint="eastAsia" w:ascii="Times New Roman" w:hAnsi="Times New Roman" w:eastAsia="仿宋_GB2312" w:cs="Times New Roman"/>
          <w:color w:val="auto"/>
          <w:kern w:val="2"/>
          <w:sz w:val="32"/>
          <w:szCs w:val="32"/>
          <w:lang w:val="zh-CN" w:eastAsia="zh-CN" w:bidi="ar-SA"/>
        </w:rPr>
        <w:t>，主要用于养老服务体系建设支出</w:t>
      </w:r>
      <w:r>
        <w:rPr>
          <w:rFonts w:hint="default" w:ascii="Times New Roman" w:hAnsi="Times New Roman" w:eastAsia="仿宋_GB2312" w:cs="Times New Roman"/>
          <w:color w:val="auto"/>
          <w:kern w:val="2"/>
          <w:sz w:val="32"/>
          <w:szCs w:val="32"/>
          <w:lang w:val="zh-CN" w:eastAsia="zh-CN" w:bidi="ar-SA"/>
        </w:rPr>
        <w:t>；债务付息（类）支出69.52万元，占1.07%</w:t>
      </w:r>
      <w:r>
        <w:rPr>
          <w:rFonts w:hint="eastAsia" w:ascii="Times New Roman" w:hAnsi="Times New Roman" w:eastAsia="仿宋_GB2312" w:cs="Times New Roman"/>
          <w:color w:val="auto"/>
          <w:kern w:val="2"/>
          <w:sz w:val="32"/>
          <w:szCs w:val="32"/>
          <w:lang w:val="zh-CN" w:eastAsia="zh-CN" w:bidi="ar-SA"/>
        </w:rPr>
        <w:t>，主要用于国债还本付息</w:t>
      </w:r>
      <w:r>
        <w:rPr>
          <w:rFonts w:hint="default" w:ascii="Times New Roman" w:hAnsi="Times New Roman" w:eastAsia="仿宋_GB2312" w:cs="Times New Roman"/>
          <w:color w:val="auto"/>
          <w:kern w:val="2"/>
          <w:sz w:val="32"/>
          <w:szCs w:val="32"/>
          <w:lang w:val="zh-CN" w:eastAsia="zh-CN" w:bidi="ar-SA"/>
        </w:rPr>
        <w:t>。</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1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3" w:firstLineChars="200"/>
        <w:jc w:val="both"/>
        <w:textAlignment w:val="auto"/>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年度财政拨款基本支出733.24万元，其中：</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人员经费471.37万元，主要包括基本工资、津贴补贴、奖金、绩效工资、机关事业部门基本养老保险缴费、职业年金缴费、职工基本医疗保险缴费、公务员医疗补助缴费、住房公积金、其他社会保障缴费、离休费、 退休费、 抚恤金、生活补助。</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公用经费261.86万元，主要包括办公费、印刷费、水费、电费、邮电费、取 暖费、物业管理费、差旅费、因公出国（境）费用、维修（护）费、委托业务费、工会经费、福利费、公务用车运行维护费、其他交通费用、税金及附加费用、其他商品和服务支出。</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年度“三公”经费财政拨款支出预算为10.31万元，支出决算为6.54万元，完成预算的63.41%，较预算</w:t>
      </w:r>
      <w:r>
        <w:rPr>
          <w:rFonts w:hint="eastAsia" w:ascii="Times New Roman" w:hAnsi="Times New Roman" w:eastAsia="仿宋_GB2312" w:cs="Times New Roman"/>
          <w:color w:val="auto"/>
          <w:kern w:val="2"/>
          <w:sz w:val="32"/>
          <w:szCs w:val="32"/>
          <w:lang w:val="zh-CN" w:eastAsia="zh-CN" w:bidi="ar-SA"/>
        </w:rPr>
        <w:t>减少3.77万元，降低36.59%，</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增加1.68万元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增长34.64%，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因公出国费用支出较上年增加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2023年度因公出国（境）费支出预算为4.91万元,支出决算4.71万元。完成预算的95.9%。因公出国（境）费支出较预算</w:t>
      </w:r>
      <w:r>
        <w:rPr>
          <w:rFonts w:hint="eastAsia" w:ascii="Times New Roman" w:hAnsi="Times New Roman" w:eastAsia="仿宋_GB2312" w:cs="Times New Roman"/>
          <w:color w:val="auto"/>
          <w:kern w:val="2"/>
          <w:sz w:val="32"/>
          <w:szCs w:val="32"/>
          <w:lang w:val="zh-CN" w:eastAsia="zh-CN" w:bidi="ar-SA"/>
        </w:rPr>
        <w:t>减少0.2万元</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降低4.1%，</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受汇率变化影响</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增加4.71万元</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跟随市政府出访英国、瑞士、德国商洽养老服务合作</w:t>
      </w:r>
      <w:r>
        <w:rPr>
          <w:rFonts w:hint="default" w:ascii="Times New Roman" w:hAnsi="Times New Roman" w:eastAsia="仿宋_GB2312" w:cs="Times New Roman"/>
          <w:color w:val="auto"/>
          <w:kern w:val="2"/>
          <w:sz w:val="32"/>
          <w:szCs w:val="32"/>
          <w:lang w:val="en-US" w:eastAsia="zh-CN" w:bidi="ar-SA"/>
        </w:rPr>
        <w:t>。因公出国（境）团组1个、共1人、参加其他单位组织的因公出国（境）团组</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年度公务用车购置及运行维护费预算为5.4万元，支出决算 1.83万元，完成预算的33.89%,较预算</w:t>
      </w:r>
      <w:r>
        <w:rPr>
          <w:rFonts w:hint="eastAsia" w:ascii="Times New Roman" w:hAnsi="Times New Roman" w:eastAsia="仿宋_GB2312" w:cs="Times New Roman"/>
          <w:color w:val="auto"/>
          <w:kern w:val="2"/>
          <w:sz w:val="32"/>
          <w:szCs w:val="32"/>
          <w:lang w:val="zh-CN" w:eastAsia="zh-CN" w:bidi="ar-SA"/>
        </w:rPr>
        <w:t>减少3.57万元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降低66.11%，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降低62.31%，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。其中：</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1.83</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年度单位公务用车保有量2辆，发生运行维护费支出1.83万元。公车运行维护费支出较预算</w:t>
      </w:r>
      <w:r>
        <w:rPr>
          <w:rFonts w:hint="eastAsia" w:ascii="Times New Roman" w:hAnsi="Times New Roman" w:eastAsia="仿宋_GB2312" w:cs="Times New Roman"/>
          <w:color w:val="auto"/>
          <w:kern w:val="2"/>
          <w:sz w:val="32"/>
          <w:szCs w:val="32"/>
          <w:lang w:val="zh-CN" w:eastAsia="zh-CN" w:bidi="ar-SA"/>
        </w:rPr>
        <w:t>减少3.57万元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降低66.11%，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降低62.31%，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厉行节约从严控制公务用车</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万元，增长0%，较上年持平，无增减变化</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年度机关运行经费支出261.86万元，较2022年度</w:t>
      </w:r>
      <w:r>
        <w:rPr>
          <w:rFonts w:hint="eastAsia" w:ascii="Times New Roman" w:hAnsi="Times New Roman" w:eastAsia="仿宋_GB2312" w:cs="Times New Roman"/>
          <w:color w:val="auto"/>
          <w:kern w:val="2"/>
          <w:sz w:val="32"/>
          <w:szCs w:val="32"/>
          <w:lang w:val="zh-CN" w:eastAsia="zh-CN" w:bidi="ar-SA"/>
        </w:rPr>
        <w:t>增加14.32万元，增长5.79%，</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保障单位正常工作运转</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年度政府采购支出总额302.86万元，从采购类型来看，政府采购货物支出274.04万元、政府采购工程支出0万元、政府采购服务支出28.82万元。授予中小企业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302.86万元，占政府采购支出总额的100%，其中授予小微企业合同金额302.86万元，占政府采购支出总额的100%。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年12月31日，本单位共有车辆0辆，比上年</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用车0辆，机要通信用车0辆，应急保障用车0辆，执法执勤用车0辆，特种专业技术用车0辆，离退休干部用车0辆，其他用车0辆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62</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cs="Times New Roman"/>
          <w:sz w:val="32"/>
          <w:szCs w:val="32"/>
          <w:highlight w:val="none"/>
        </w:rPr>
        <w:t>,7</w:t>
      </w:r>
      <w:r>
        <w:rPr>
          <w:rFonts w:hint="eastAsia" w:ascii="Times New Roman" w:hAnsi="Times New Roman" w:cs="Times New Roman"/>
          <w:sz w:val="32"/>
          <w:szCs w:val="32"/>
          <w:highlight w:val="none"/>
          <w:lang w:val="en-US" w:eastAsia="zh-CN"/>
        </w:rPr>
        <w:t>02.97</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仿宋_GB2312" w:hAnsi="仿宋_GB2312" w:eastAsia="仿宋_GB2312" w:cs="仿宋_GB2312"/>
          <w:sz w:val="32"/>
          <w:szCs w:val="32"/>
        </w:rPr>
        <w:t>民办养老机构建设及床位运营补贴资金</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lang w:val="en-US" w:eastAsia="zh-CN"/>
        </w:rPr>
        <w:t>省级财政养老服务体系建设经费预算</w:t>
      </w:r>
      <w:r>
        <w:rPr>
          <w:rFonts w:hint="eastAsia" w:ascii="仿宋" w:hAnsi="仿宋" w:eastAsia="仿宋"/>
          <w:sz w:val="32"/>
          <w:szCs w:val="32"/>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default" w:ascii="Times New Roman" w:hAnsi="Times New Roman" w:eastAsia="宋体" w:cs="Times New Roman"/>
          <w:i w:val="0"/>
          <w:iCs w:val="0"/>
          <w:color w:val="000000"/>
          <w:sz w:val="32"/>
          <w:szCs w:val="32"/>
          <w:highlight w:val="none"/>
          <w:u w:val="none"/>
          <w:lang w:val="en-US" w:eastAsia="zh-CN"/>
        </w:rPr>
        <w:t>1,0</w:t>
      </w:r>
      <w:r>
        <w:rPr>
          <w:rFonts w:hint="eastAsia" w:ascii="Times New Roman" w:hAnsi="Times New Roman" w:eastAsia="宋体" w:cs="Times New Roman"/>
          <w:i w:val="0"/>
          <w:iCs w:val="0"/>
          <w:color w:val="000000"/>
          <w:sz w:val="32"/>
          <w:szCs w:val="32"/>
          <w:highlight w:val="none"/>
          <w:u w:val="none"/>
          <w:lang w:val="en-US" w:eastAsia="zh-CN"/>
        </w:rPr>
        <w:t>86.14</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个国有资本经营预算项目支出开展绩效自评，共涉及资金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万元，占国有资本经营预算项目支出总额的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lang w:val="en-US"/>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城乡最低生活保障”</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民办养老机构建设及床位运营补贴资金</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lang w:val="en-US" w:eastAsia="zh-CN"/>
        </w:rPr>
        <w:t>省级财政养老服务体系建设经费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64</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cs="Times New Roman"/>
          <w:sz w:val="32"/>
          <w:szCs w:val="32"/>
          <w:highlight w:val="none"/>
        </w:rPr>
        <w:t>,7</w:t>
      </w:r>
      <w:r>
        <w:rPr>
          <w:rFonts w:hint="eastAsia" w:ascii="Times New Roman" w:hAnsi="Times New Roman" w:cs="Times New Roman"/>
          <w:sz w:val="32"/>
          <w:szCs w:val="32"/>
          <w:highlight w:val="none"/>
          <w:lang w:val="en-US" w:eastAsia="zh-CN"/>
        </w:rPr>
        <w:t>02.97</w:t>
      </w:r>
      <w:r>
        <w:rPr>
          <w:rFonts w:hint="default" w:ascii="Times New Roman" w:hAnsi="Times New Roman" w:eastAsia="仿宋_GB2312" w:cs="Times New Roman"/>
          <w:color w:val="auto"/>
          <w:kern w:val="2"/>
          <w:sz w:val="32"/>
          <w:szCs w:val="32"/>
          <w:lang w:val="zh-CN" w:eastAsia="zh-CN" w:bidi="ar-SA"/>
        </w:rPr>
        <w:t>万元，政府性基金预算支出</w:t>
      </w:r>
      <w:r>
        <w:rPr>
          <w:rFonts w:hint="default" w:ascii="Times New Roman" w:hAnsi="Times New Roman" w:eastAsia="宋体" w:cs="Times New Roman"/>
          <w:i w:val="0"/>
          <w:iCs w:val="0"/>
          <w:color w:val="000000"/>
          <w:sz w:val="32"/>
          <w:szCs w:val="32"/>
          <w:highlight w:val="none"/>
          <w:u w:val="none"/>
          <w:lang w:val="en-US" w:eastAsia="zh-CN"/>
        </w:rPr>
        <w:t>1,0</w:t>
      </w:r>
      <w:r>
        <w:rPr>
          <w:rFonts w:hint="eastAsia" w:ascii="Times New Roman" w:hAnsi="Times New Roman" w:eastAsia="宋体" w:cs="Times New Roman"/>
          <w:i w:val="0"/>
          <w:iCs w:val="0"/>
          <w:color w:val="000000"/>
          <w:sz w:val="32"/>
          <w:szCs w:val="32"/>
          <w:highlight w:val="none"/>
          <w:u w:val="none"/>
          <w:lang w:val="en-US" w:eastAsia="zh-CN"/>
        </w:rPr>
        <w:t>86.14</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能够兜牢困难群众基本生活保障，健全养老服务体系建设，达到预期目标。</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val="en-US" w:eastAsia="zh-CN"/>
        </w:rPr>
        <w:t>单位</w:t>
      </w:r>
      <w:r>
        <w:rPr>
          <w:rFonts w:hint="default" w:ascii="Times New Roman" w:hAnsi="Times New Roman" w:eastAsia="仿宋_GB2312" w:cs="Times New Roman"/>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项目及民办养老机构建设及床位运营补贴资金项目等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98.03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735.8185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734.857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依据相关政策共设定评价指标13项，设定产出指标10项，全年享受高龄津贴老人共计118092人次，实际达到预期得分10.03分，高龄老人基本生活保障率预期值100%，实际完成值100%得分4分，高龄老人补助资金及时发放率预期值100%，实际完成值100%得分4分，80-89周岁老人补贴资金发放标准预期值60元/人/月，90-99周岁老人补贴资金发放标准预期值100元/人/月，100周岁老人补贴资金发放标准预期值500元/人/月，实际完成值100%得分20分，预算执行率99.87%实际得分10分，服务对象满意度指标预期值95.0%，实际完成值95.0%得分10分，</w:t>
      </w:r>
      <w:r>
        <w:rPr>
          <w:rFonts w:hint="eastAsia" w:ascii="仿宋_GB2312" w:hAnsi="仿宋_GB2312" w:eastAsia="仿宋_GB2312" w:cs="仿宋_GB2312"/>
          <w:i w:val="0"/>
          <w:color w:val="000000"/>
          <w:kern w:val="0"/>
          <w:sz w:val="32"/>
          <w:szCs w:val="32"/>
          <w:u w:val="none"/>
          <w:lang w:val="en-US" w:eastAsia="zh-CN" w:bidi="ar"/>
        </w:rPr>
        <w:t>通过给80-100周岁以上老人发放高龄津贴资金，保障我区老年人的基本生活，提升老年人的生活水平。</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民办养老机构建设及床位运营补贴资金项目自评综述：根据年初设定的绩效目标，民办养老机构建设及床位运营补贴资金项目绩效自评得分为</w:t>
      </w:r>
      <w:r>
        <w:rPr>
          <w:rFonts w:hint="eastAsia" w:ascii="仿宋_GB2312" w:hAnsi="仿宋_GB2312" w:eastAsia="仿宋_GB2312" w:cs="仿宋_GB2312"/>
          <w:sz w:val="32"/>
          <w:szCs w:val="32"/>
          <w:lang w:val="en-US" w:eastAsia="zh-CN"/>
        </w:rPr>
        <w:t>99.8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65.82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65.7212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99.85%</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通过给15家机构发放床位运营补贴及养老机构发放建设补助，吸引社会资本投入我区养老服务业</w:t>
      </w:r>
      <w:r>
        <w:rPr>
          <w:rFonts w:hint="eastAsia" w:ascii="仿宋_GB2312" w:hAnsi="仿宋_GB2312" w:eastAsia="仿宋_GB2312" w:cs="仿宋_GB2312"/>
          <w:i w:val="0"/>
          <w:color w:val="000000"/>
          <w:kern w:val="0"/>
          <w:sz w:val="32"/>
          <w:szCs w:val="32"/>
          <w:u w:val="none"/>
          <w:lang w:val="en-US" w:eastAsia="zh-CN" w:bidi="ar"/>
        </w:rPr>
        <w:t>。</w:t>
      </w:r>
    </w:p>
    <w:tbl>
      <w:tblPr>
        <w:tblW w:w="83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966"/>
        <w:gridCol w:w="860"/>
        <w:gridCol w:w="861"/>
        <w:gridCol w:w="1051"/>
        <w:gridCol w:w="1204"/>
        <w:gridCol w:w="871"/>
        <w:gridCol w:w="871"/>
        <w:gridCol w:w="16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941" w:hRule="atLeast"/>
        </w:trPr>
        <w:tc>
          <w:tcPr>
            <w:tcW w:w="832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区级</w:t>
            </w:r>
            <w:r>
              <w:rPr>
                <w:rFonts w:hint="eastAsia" w:ascii="方正小标宋_GBK" w:hAnsi="方正小标宋_GBK" w:eastAsia="方正小标宋_GBK" w:cs="方正小标宋_GBK"/>
                <w:i w:val="0"/>
                <w:color w:val="000000"/>
                <w:kern w:val="0"/>
                <w:sz w:val="40"/>
                <w:szCs w:val="40"/>
                <w:u w:val="none"/>
                <w:bdr w:val="none" w:color="auto" w:sz="0" w:space="0"/>
                <w:lang w:val="en-US" w:eastAsia="zh-CN" w:bidi="ar"/>
              </w:rPr>
              <w:t>单位</w:t>
            </w: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0" w:type="auto"/>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3" w:hRule="atLeast"/>
        </w:trPr>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填报单位：</w:t>
            </w:r>
          </w:p>
        </w:tc>
        <w:tc>
          <w:tcPr>
            <w:tcW w:w="0" w:type="auto"/>
            <w:gridSpan w:val="3"/>
            <w:tcBorders>
              <w:top w:val="nil"/>
              <w:left w:val="single" w:color="B0C4DE" w:sz="4" w:space="0"/>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石家庄市鹿泉区民政局</w:t>
            </w: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3" w:hRule="atLeast"/>
        </w:trPr>
        <w:tc>
          <w:tcPr>
            <w:tcW w:w="973" w:type="dxa"/>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w:t>
            </w:r>
            <w:r>
              <w:rPr>
                <w:rFonts w:ascii="Calibri" w:hAnsi="Calibri" w:eastAsia="宋体" w:cs="Calibri"/>
                <w:i w:val="0"/>
                <w:color w:val="000000"/>
                <w:kern w:val="0"/>
                <w:sz w:val="16"/>
                <w:szCs w:val="16"/>
                <w:u w:val="none"/>
                <w:bdr w:val="none" w:color="auto" w:sz="0" w:space="0"/>
                <w:lang w:val="en-US" w:eastAsia="zh-CN" w:bidi="ar"/>
              </w:rPr>
              <w:t xml:space="preserve"> </w:t>
            </w:r>
            <w:r>
              <w:rPr>
                <w:rStyle w:val="27"/>
                <w:bdr w:val="none" w:color="auto" w:sz="0" w:space="0"/>
                <w:lang w:val="en-US" w:eastAsia="zh-CN" w:bidi="ar"/>
              </w:rPr>
              <w:t>基本情况</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项目名称</w:t>
            </w:r>
          </w:p>
        </w:tc>
        <w:tc>
          <w:tcPr>
            <w:tcW w:w="1907"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2023</w:t>
            </w:r>
            <w:r>
              <w:rPr>
                <w:rStyle w:val="27"/>
                <w:bdr w:val="none" w:color="auto" w:sz="0" w:space="0"/>
                <w:lang w:val="en-US" w:eastAsia="zh-CN" w:bidi="ar"/>
              </w:rPr>
              <w:t>高龄津贴资金</w:t>
            </w:r>
          </w:p>
        </w:tc>
        <w:tc>
          <w:tcPr>
            <w:tcW w:w="11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9" w:hRule="atLeast"/>
        </w:trPr>
        <w:tc>
          <w:tcPr>
            <w:tcW w:w="97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二、预算执行情况</w:t>
            </w:r>
          </w:p>
        </w:tc>
        <w:tc>
          <w:tcPr>
            <w:tcW w:w="1733"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预算安排情况（调整后）</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资金到位情况</w:t>
            </w:r>
          </w:p>
        </w:tc>
        <w:tc>
          <w:tcPr>
            <w:tcW w:w="1732"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资金执行情况</w:t>
            </w:r>
          </w:p>
        </w:tc>
        <w:tc>
          <w:tcPr>
            <w:tcW w:w="1664"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8"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735.8185 </w:t>
            </w:r>
          </w:p>
        </w:tc>
        <w:tc>
          <w:tcPr>
            <w:tcW w:w="1040"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735.8185 </w:t>
            </w:r>
          </w:p>
        </w:tc>
        <w:tc>
          <w:tcPr>
            <w:tcW w:w="866"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734.857 </w:t>
            </w:r>
          </w:p>
        </w:tc>
        <w:tc>
          <w:tcPr>
            <w:tcW w:w="1664" w:type="dxa"/>
            <w:vMerge w:val="restart"/>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99.87%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735.8185 </w:t>
            </w:r>
          </w:p>
        </w:tc>
        <w:tc>
          <w:tcPr>
            <w:tcW w:w="10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735.8185 </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734.857 </w:t>
            </w:r>
          </w:p>
        </w:tc>
        <w:tc>
          <w:tcPr>
            <w:tcW w:w="1664"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95"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86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default" w:ascii="Calibri" w:hAnsi="Calibri" w:eastAsia="宋体" w:cs="Calibri"/>
                <w:i w:val="0"/>
                <w:color w:val="000000"/>
                <w:sz w:val="16"/>
                <w:szCs w:val="16"/>
                <w:u w:val="none"/>
              </w:rPr>
            </w:pPr>
          </w:p>
        </w:tc>
        <w:tc>
          <w:tcPr>
            <w:tcW w:w="10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1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64" w:type="dxa"/>
            <w:vMerge w:val="continue"/>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trPr>
        <w:tc>
          <w:tcPr>
            <w:tcW w:w="97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三、目标完成情况</w:t>
            </w:r>
          </w:p>
        </w:tc>
        <w:tc>
          <w:tcPr>
            <w:tcW w:w="2773"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年度预期目标</w:t>
            </w:r>
          </w:p>
        </w:tc>
        <w:tc>
          <w:tcPr>
            <w:tcW w:w="291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具体完成情况</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通过给80-100周岁以上老人发放高龄津贴资金，保障我区老年人的基本生活，提升老年人的生活水平</w:t>
            </w:r>
          </w:p>
        </w:tc>
        <w:tc>
          <w:tcPr>
            <w:tcW w:w="2910"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通过给80-100周岁以上老人发放高龄津贴资金，保障我区老年人的基本生活，提升老年人的生活水平</w:t>
            </w:r>
          </w:p>
        </w:tc>
        <w:tc>
          <w:tcPr>
            <w:tcW w:w="1664"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64"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9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73" w:type="dxa"/>
            <w:gridSpan w:val="3"/>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64"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8" w:hRule="atLeast"/>
        </w:trPr>
        <w:tc>
          <w:tcPr>
            <w:tcW w:w="973"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四、</w:t>
            </w:r>
            <w:r>
              <w:rPr>
                <w:rFonts w:ascii="Calibri" w:hAnsi="Calibri" w:eastAsia="宋体" w:cs="Calibri"/>
                <w:i w:val="0"/>
                <w:color w:val="000000"/>
                <w:kern w:val="0"/>
                <w:sz w:val="16"/>
                <w:szCs w:val="16"/>
                <w:u w:val="none"/>
                <w:bdr w:val="none" w:color="auto" w:sz="0" w:space="0"/>
                <w:lang w:val="en-US" w:eastAsia="zh-CN" w:bidi="ar"/>
              </w:rPr>
              <w:t xml:space="preserve"> </w:t>
            </w:r>
            <w:r>
              <w:rPr>
                <w:rStyle w:val="27"/>
                <w:bdr w:val="none" w:color="auto" w:sz="0" w:space="0"/>
                <w:lang w:val="en-US" w:eastAsia="zh-CN" w:bidi="ar"/>
              </w:rPr>
              <w:t>年度绩效指标完成情况</w:t>
            </w:r>
          </w:p>
        </w:tc>
        <w:tc>
          <w:tcPr>
            <w:tcW w:w="86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一级指标</w:t>
            </w:r>
          </w:p>
        </w:tc>
        <w:tc>
          <w:tcPr>
            <w:tcW w:w="867" w:type="dxa"/>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二级指标</w:t>
            </w:r>
          </w:p>
        </w:tc>
        <w:tc>
          <w:tcPr>
            <w:tcW w:w="221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三级指标</w:t>
            </w:r>
          </w:p>
        </w:tc>
        <w:tc>
          <w:tcPr>
            <w:tcW w:w="86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预期指标值</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实际完成值</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产出指标（40）</w:t>
            </w: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80-89周岁老人的人次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108000</w:t>
            </w:r>
            <w:r>
              <w:rPr>
                <w:rStyle w:val="27"/>
                <w:bdr w:val="none" w:color="auto" w:sz="0" w:space="0"/>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103568</w:t>
            </w:r>
            <w:r>
              <w:rPr>
                <w:rStyle w:val="27"/>
                <w:bdr w:val="none" w:color="auto" w:sz="0" w:space="0"/>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90-99周岁老人的人次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15840</w:t>
            </w:r>
            <w:r>
              <w:rPr>
                <w:rStyle w:val="27"/>
                <w:bdr w:val="none" w:color="auto" w:sz="0" w:space="0"/>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14292</w:t>
            </w:r>
            <w:r>
              <w:rPr>
                <w:rStyle w:val="27"/>
                <w:bdr w:val="none" w:color="auto" w:sz="0" w:space="0"/>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100周岁以上老人的人次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360</w:t>
            </w:r>
            <w:r>
              <w:rPr>
                <w:rStyle w:val="27"/>
                <w:bdr w:val="none" w:color="auto" w:sz="0" w:space="0"/>
                <w:lang w:val="en-US" w:eastAsia="zh-CN" w:bidi="ar"/>
              </w:rPr>
              <w:t>人次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232</w:t>
            </w:r>
            <w:r>
              <w:rPr>
                <w:rStyle w:val="27"/>
                <w:bdr w:val="none" w:color="auto" w:sz="0" w:space="0"/>
                <w:lang w:val="en-US" w:eastAsia="zh-CN" w:bidi="ar"/>
              </w:rPr>
              <w:t>人次</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100周岁以上老人丧葬补助</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2人</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2人</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质量指标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高龄老人基本生活保障</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时效指标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高龄老人补助资金及时发放率</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80-89周岁老人补贴资金发放标准</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60元/人/月</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60元/人/月</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90-99周岁老人补贴资金发放标准</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100元/人/月</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100元/人/月</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100周岁以上老人补贴发放标准</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500元/人/月</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500元/人/月</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100周岁以上老人丧葬补助发放标准</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1500元/人</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1500元/人</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nil"/>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效益指标（40）</w:t>
            </w:r>
          </w:p>
        </w:tc>
        <w:tc>
          <w:tcPr>
            <w:tcW w:w="867"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群众对高龄老人补贴政策知晓率</w:t>
            </w:r>
          </w:p>
        </w:tc>
        <w:tc>
          <w:tcPr>
            <w:tcW w:w="86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100%</w:t>
            </w:r>
          </w:p>
        </w:tc>
        <w:tc>
          <w:tcPr>
            <w:tcW w:w="86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100%</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满意度指标</w:t>
            </w:r>
            <w:r>
              <w:rPr>
                <w:rFonts w:hint="eastAsia" w:ascii="宋体" w:hAnsi="宋体" w:eastAsia="宋体" w:cs="宋体"/>
                <w:i w:val="0"/>
                <w:color w:val="000000"/>
                <w:kern w:val="0"/>
                <w:sz w:val="16"/>
                <w:szCs w:val="16"/>
                <w:u w:val="none"/>
                <w:bdr w:val="none" w:color="auto" w:sz="0" w:space="0"/>
                <w:lang w:val="en-US" w:eastAsia="zh-CN" w:bidi="ar"/>
              </w:rPr>
              <w:br w:type="textWrapping"/>
            </w:r>
            <w:r>
              <w:rPr>
                <w:rFonts w:hint="eastAsia" w:ascii="宋体" w:hAnsi="宋体" w:eastAsia="宋体" w:cs="宋体"/>
                <w:i w:val="0"/>
                <w:color w:val="000000"/>
                <w:kern w:val="0"/>
                <w:sz w:val="16"/>
                <w:szCs w:val="16"/>
                <w:u w:val="none"/>
                <w:bdr w:val="none" w:color="auto" w:sz="0" w:space="0"/>
                <w:lang w:val="en-US" w:eastAsia="zh-CN" w:bidi="ar"/>
              </w:rPr>
              <w:t>（10分）</w:t>
            </w:r>
          </w:p>
        </w:tc>
        <w:tc>
          <w:tcPr>
            <w:tcW w:w="867"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服务对象满意度指标</w:t>
            </w:r>
          </w:p>
        </w:tc>
        <w:tc>
          <w:tcPr>
            <w:tcW w:w="2218"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服务对象满意</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≧95</w:t>
            </w:r>
            <w:r>
              <w:rPr>
                <w:rFonts w:ascii="Calibri" w:hAnsi="Calibri" w:eastAsia="宋体" w:cs="Calibri"/>
                <w:i w:val="0"/>
                <w:color w:val="000000"/>
                <w:kern w:val="0"/>
                <w:sz w:val="16"/>
                <w:szCs w:val="16"/>
                <w:u w:val="none"/>
                <w:bdr w:val="none" w:color="auto" w:sz="0" w:space="0"/>
                <w:lang w:val="en-US" w:eastAsia="zh-CN" w:bidi="ar"/>
              </w:rPr>
              <w:t>%</w:t>
            </w: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≧95</w:t>
            </w:r>
            <w:r>
              <w:rPr>
                <w:rFonts w:ascii="Calibri" w:hAnsi="Calibri" w:eastAsia="宋体" w:cs="Calibri"/>
                <w:i w:val="0"/>
                <w:color w:val="000000"/>
                <w:kern w:val="0"/>
                <w:sz w:val="16"/>
                <w:szCs w:val="16"/>
                <w:u w:val="none"/>
                <w:bdr w:val="none" w:color="auto" w:sz="0" w:space="0"/>
                <w:lang w:val="en-US" w:eastAsia="zh-CN" w:bidi="ar"/>
              </w:rPr>
              <w:t>%</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预算执行率（10分）</w:t>
            </w:r>
          </w:p>
        </w:tc>
        <w:tc>
          <w:tcPr>
            <w:tcW w:w="867" w:type="dxa"/>
            <w:tcBorders>
              <w:top w:val="single" w:color="000000" w:sz="4" w:space="0"/>
              <w:left w:val="nil"/>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40" w:type="dxa"/>
            <w:tcBorders>
              <w:top w:val="single" w:color="000000" w:sz="4" w:space="0"/>
              <w:left w:val="single" w:color="000000" w:sz="4" w:space="0"/>
              <w:bottom w:val="nil"/>
              <w:right w:val="nil"/>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178" w:type="dxa"/>
            <w:tcBorders>
              <w:top w:val="single" w:color="000000" w:sz="4" w:space="0"/>
              <w:left w:val="nil"/>
              <w:bottom w:val="nil"/>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6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100%</w:t>
            </w:r>
          </w:p>
        </w:tc>
        <w:tc>
          <w:tcPr>
            <w:tcW w:w="86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100%</w:t>
            </w:r>
          </w:p>
        </w:tc>
        <w:tc>
          <w:tcPr>
            <w:tcW w:w="1664"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7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683"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总分</w:t>
            </w:r>
          </w:p>
        </w:tc>
        <w:tc>
          <w:tcPr>
            <w:tcW w:w="166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98.03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1" w:hRule="atLeast"/>
        </w:trPr>
        <w:tc>
          <w:tcPr>
            <w:tcW w:w="973"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五、</w:t>
            </w:r>
            <w:r>
              <w:rPr>
                <w:rFonts w:ascii="Calibri" w:hAnsi="Calibri" w:eastAsia="宋体" w:cs="Calibri"/>
                <w:i w:val="0"/>
                <w:color w:val="000000"/>
                <w:kern w:val="0"/>
                <w:sz w:val="16"/>
                <w:szCs w:val="16"/>
                <w:u w:val="none"/>
                <w:bdr w:val="none" w:color="auto" w:sz="0" w:space="0"/>
                <w:lang w:val="en-US" w:eastAsia="zh-CN" w:bidi="ar"/>
              </w:rPr>
              <w:t xml:space="preserve"> </w:t>
            </w:r>
            <w:r>
              <w:rPr>
                <w:rStyle w:val="27"/>
                <w:bdr w:val="none" w:color="auto" w:sz="0" w:space="0"/>
                <w:lang w:val="en-US" w:eastAsia="zh-CN" w:bidi="ar"/>
              </w:rPr>
              <w:t>存在问题、原因及下一步整改措施</w:t>
            </w:r>
          </w:p>
        </w:tc>
        <w:tc>
          <w:tcPr>
            <w:tcW w:w="7347"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无</w:t>
            </w:r>
          </w:p>
        </w:tc>
      </w:tr>
    </w:tbl>
    <w:p>
      <w:pPr>
        <w:pStyle w:val="2"/>
        <w:ind w:left="0" w:leftChars="0" w:firstLine="0" w:firstLineChars="0"/>
      </w:pPr>
    </w:p>
    <w:tbl>
      <w:tblPr>
        <w:tblW w:w="8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982"/>
        <w:gridCol w:w="873"/>
        <w:gridCol w:w="874"/>
        <w:gridCol w:w="1007"/>
        <w:gridCol w:w="1140"/>
        <w:gridCol w:w="873"/>
        <w:gridCol w:w="873"/>
        <w:gridCol w:w="16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1" w:hRule="atLeast"/>
        </w:trPr>
        <w:tc>
          <w:tcPr>
            <w:tcW w:w="830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区级</w:t>
            </w:r>
            <w:r>
              <w:rPr>
                <w:rFonts w:hint="eastAsia" w:ascii="方正小标宋_GBK" w:hAnsi="方正小标宋_GBK" w:eastAsia="方正小标宋_GBK" w:cs="方正小标宋_GBK"/>
                <w:i w:val="0"/>
                <w:color w:val="000000"/>
                <w:kern w:val="0"/>
                <w:sz w:val="40"/>
                <w:szCs w:val="40"/>
                <w:u w:val="none"/>
                <w:bdr w:val="none" w:color="auto" w:sz="0" w:space="0"/>
                <w:lang w:val="en-US" w:eastAsia="zh-CN" w:bidi="ar"/>
              </w:rPr>
              <w:t>单位</w:t>
            </w: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0" w:type="auto"/>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3" w:hRule="atLeast"/>
        </w:trPr>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填报单位：</w:t>
            </w:r>
          </w:p>
        </w:tc>
        <w:tc>
          <w:tcPr>
            <w:tcW w:w="0" w:type="auto"/>
            <w:gridSpan w:val="3"/>
            <w:tcBorders>
              <w:top w:val="nil"/>
              <w:left w:val="single" w:color="B0C4DE" w:sz="4" w:space="0"/>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石家庄市鹿泉区民政局</w:t>
            </w: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581" w:hRule="atLeast"/>
        </w:trPr>
        <w:tc>
          <w:tcPr>
            <w:tcW w:w="982" w:type="dxa"/>
            <w:tcBorders>
              <w:top w:val="single" w:color="000000" w:sz="4" w:space="0"/>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w:t>
            </w:r>
            <w:r>
              <w:rPr>
                <w:rFonts w:ascii="Calibri" w:hAnsi="Calibri" w:eastAsia="宋体" w:cs="Calibri"/>
                <w:i w:val="0"/>
                <w:color w:val="000000"/>
                <w:kern w:val="0"/>
                <w:sz w:val="16"/>
                <w:szCs w:val="16"/>
                <w:u w:val="none"/>
                <w:bdr w:val="none" w:color="auto" w:sz="0" w:space="0"/>
                <w:lang w:val="en-US" w:eastAsia="zh-CN" w:bidi="ar"/>
              </w:rPr>
              <w:t xml:space="preserve"> </w:t>
            </w:r>
            <w:r>
              <w:rPr>
                <w:rStyle w:val="28"/>
                <w:bdr w:val="none" w:color="auto" w:sz="0" w:space="0"/>
                <w:lang w:val="en-US" w:eastAsia="zh-CN" w:bidi="ar"/>
              </w:rPr>
              <w:t>基本情况</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项目名称</w:t>
            </w:r>
          </w:p>
        </w:tc>
        <w:tc>
          <w:tcPr>
            <w:tcW w:w="18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2023民办养老机构建设及床位运营补贴资金</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2" w:hRule="atLeast"/>
        </w:trPr>
        <w:tc>
          <w:tcPr>
            <w:tcW w:w="982"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二、预算执行情况</w:t>
            </w:r>
          </w:p>
        </w:tc>
        <w:tc>
          <w:tcPr>
            <w:tcW w:w="1747"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预算安排情况（调整后）</w:t>
            </w:r>
          </w:p>
        </w:tc>
        <w:tc>
          <w:tcPr>
            <w:tcW w:w="2147"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资金到位情况</w:t>
            </w:r>
          </w:p>
        </w:tc>
        <w:tc>
          <w:tcPr>
            <w:tcW w:w="1746"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资金执行情况</w:t>
            </w:r>
          </w:p>
        </w:tc>
        <w:tc>
          <w:tcPr>
            <w:tcW w:w="1678"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9"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65.82 </w:t>
            </w:r>
          </w:p>
        </w:tc>
        <w:tc>
          <w:tcPr>
            <w:tcW w:w="1007"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65.82 </w:t>
            </w:r>
          </w:p>
        </w:tc>
        <w:tc>
          <w:tcPr>
            <w:tcW w:w="873"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65.7212 </w:t>
            </w:r>
          </w:p>
        </w:tc>
        <w:tc>
          <w:tcPr>
            <w:tcW w:w="167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99.85%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65.82 </w:t>
            </w:r>
          </w:p>
        </w:tc>
        <w:tc>
          <w:tcPr>
            <w:tcW w:w="1007"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nil"/>
              <w:left w:val="nil"/>
              <w:bottom w:val="nil"/>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65.82 </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                     财政资金</w:t>
            </w:r>
          </w:p>
        </w:tc>
        <w:tc>
          <w:tcPr>
            <w:tcW w:w="0" w:type="auto"/>
            <w:tcBorders>
              <w:top w:val="nil"/>
              <w:left w:val="nil"/>
              <w:bottom w:val="nil"/>
              <w:right w:val="nil"/>
            </w:tcBorders>
            <w:shd w:val="clear"/>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 xml:space="preserve">65.7212 </w:t>
            </w:r>
          </w:p>
        </w:tc>
        <w:tc>
          <w:tcPr>
            <w:tcW w:w="167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85"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874"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default" w:ascii="Calibri" w:hAnsi="Calibri" w:eastAsia="宋体" w:cs="Calibri"/>
                <w:i w:val="0"/>
                <w:color w:val="000000"/>
                <w:sz w:val="16"/>
                <w:szCs w:val="16"/>
                <w:u w:val="none"/>
              </w:rPr>
            </w:pPr>
          </w:p>
        </w:tc>
        <w:tc>
          <w:tcPr>
            <w:tcW w:w="100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873"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982"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三、目标完成情况</w:t>
            </w:r>
          </w:p>
        </w:tc>
        <w:tc>
          <w:tcPr>
            <w:tcW w:w="2754"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年度预期目标</w:t>
            </w:r>
          </w:p>
        </w:tc>
        <w:tc>
          <w:tcPr>
            <w:tcW w:w="288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具体完成情况</w:t>
            </w:r>
          </w:p>
        </w:tc>
        <w:tc>
          <w:tcPr>
            <w:tcW w:w="1678"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12"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通过发放补助，吸引社会资本投入我区养老服务业； 提高全区养老服务水平，促进老年服务事业的发展，为老年人生活提供更好的便利。</w:t>
            </w:r>
          </w:p>
        </w:tc>
        <w:tc>
          <w:tcPr>
            <w:tcW w:w="288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通过发放补助，吸引社会资本投入我区养老服务业； 提高全区养老服务水平，促进老年服务事业的发展，为老年人生活提供更好的便利。</w:t>
            </w:r>
          </w:p>
        </w:tc>
        <w:tc>
          <w:tcPr>
            <w:tcW w:w="167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99.85%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8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581" w:hRule="atLeast"/>
        </w:trPr>
        <w:tc>
          <w:tcPr>
            <w:tcW w:w="982"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54"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88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9" w:hRule="atLeast"/>
        </w:trPr>
        <w:tc>
          <w:tcPr>
            <w:tcW w:w="982"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四、</w:t>
            </w:r>
            <w:r>
              <w:rPr>
                <w:rFonts w:ascii="Calibri" w:hAnsi="Calibri" w:eastAsia="宋体" w:cs="Calibri"/>
                <w:i w:val="0"/>
                <w:color w:val="000000"/>
                <w:kern w:val="0"/>
                <w:sz w:val="16"/>
                <w:szCs w:val="16"/>
                <w:u w:val="none"/>
                <w:bdr w:val="none" w:color="auto" w:sz="0" w:space="0"/>
                <w:lang w:val="en-US" w:eastAsia="zh-CN" w:bidi="ar"/>
              </w:rPr>
              <w:t xml:space="preserve"> </w:t>
            </w:r>
            <w:r>
              <w:rPr>
                <w:rStyle w:val="28"/>
                <w:bdr w:val="none" w:color="auto" w:sz="0" w:space="0"/>
                <w:lang w:val="en-US" w:eastAsia="zh-CN" w:bidi="ar"/>
              </w:rPr>
              <w:t>年度绩效指标完成情况</w:t>
            </w:r>
          </w:p>
        </w:tc>
        <w:tc>
          <w:tcPr>
            <w:tcW w:w="873"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一级指标</w:t>
            </w:r>
          </w:p>
        </w:tc>
        <w:tc>
          <w:tcPr>
            <w:tcW w:w="874"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二级指标</w:t>
            </w:r>
          </w:p>
        </w:tc>
        <w:tc>
          <w:tcPr>
            <w:tcW w:w="2147" w:type="dxa"/>
            <w:gridSpan w:val="2"/>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三级指标</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预期指标值</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实际完成值</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产出指标（40）</w:t>
            </w: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现有民办养老机构补贴数量</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15家</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15家</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现有民办养老机构补贴床位数</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11208床</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11208床</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现有民办养老机构补贴床位数</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89床</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89床</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自理老人补贴标准</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50元/床/月</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50元/床/月</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失能、半失能老人补贴标准</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100元/床/月</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100元/床/月</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建设补贴标准</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1500元/床</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1500元/床</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质量指标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享受政策率</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时效指标</w:t>
            </w:r>
          </w:p>
        </w:tc>
        <w:tc>
          <w:tcPr>
            <w:tcW w:w="2147" w:type="dxa"/>
            <w:gridSpan w:val="2"/>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补助资金发放及时率</w:t>
            </w:r>
          </w:p>
        </w:tc>
        <w:tc>
          <w:tcPr>
            <w:tcW w:w="873"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873"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345"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restart"/>
            <w:tcBorders>
              <w:top w:val="nil"/>
              <w:left w:val="single" w:color="000000" w:sz="4" w:space="0"/>
              <w:bottom w:val="nil"/>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效益指标（40）</w:t>
            </w: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社会效益指标</w:t>
            </w:r>
          </w:p>
        </w:tc>
        <w:tc>
          <w:tcPr>
            <w:tcW w:w="0" w:type="auto"/>
            <w:gridSpan w:val="2"/>
            <w:tcBorders>
              <w:top w:val="single" w:color="000000" w:sz="4" w:space="0"/>
              <w:left w:val="nil"/>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每千人口养老床位数</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40张</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40张</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nil"/>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社会效益指标</w:t>
            </w:r>
          </w:p>
        </w:tc>
        <w:tc>
          <w:tcPr>
            <w:tcW w:w="0" w:type="auto"/>
            <w:gridSpan w:val="2"/>
            <w:tcBorders>
              <w:top w:val="single" w:color="000000" w:sz="4" w:space="0"/>
              <w:left w:val="nil"/>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受益民办养老机构数量</w:t>
            </w:r>
          </w:p>
        </w:tc>
        <w:tc>
          <w:tcPr>
            <w:tcW w:w="873"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15家</w:t>
            </w:r>
          </w:p>
        </w:tc>
        <w:tc>
          <w:tcPr>
            <w:tcW w:w="873"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15家</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581"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vMerge w:val="continue"/>
            <w:tcBorders>
              <w:top w:val="nil"/>
              <w:left w:val="single" w:color="000000" w:sz="4" w:space="0"/>
              <w:bottom w:val="nil"/>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可持续影响指标</w:t>
            </w:r>
          </w:p>
        </w:tc>
        <w:tc>
          <w:tcPr>
            <w:tcW w:w="0" w:type="auto"/>
            <w:gridSpan w:val="2"/>
            <w:tcBorders>
              <w:top w:val="single" w:color="000000" w:sz="4" w:space="0"/>
              <w:left w:val="nil"/>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是否长期使用</w:t>
            </w:r>
          </w:p>
        </w:tc>
        <w:tc>
          <w:tcPr>
            <w:tcW w:w="873"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是</w:t>
            </w:r>
          </w:p>
        </w:tc>
        <w:tc>
          <w:tcPr>
            <w:tcW w:w="873" w:type="dxa"/>
            <w:tcBorders>
              <w:top w:val="single" w:color="000000" w:sz="4" w:space="0"/>
              <w:left w:val="nil"/>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是</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满意度指标</w:t>
            </w:r>
            <w:r>
              <w:rPr>
                <w:rFonts w:hint="eastAsia" w:ascii="宋体" w:hAnsi="宋体" w:eastAsia="宋体" w:cs="宋体"/>
                <w:i w:val="0"/>
                <w:color w:val="000000"/>
                <w:kern w:val="0"/>
                <w:sz w:val="16"/>
                <w:szCs w:val="16"/>
                <w:u w:val="none"/>
                <w:bdr w:val="none" w:color="auto" w:sz="0" w:space="0"/>
                <w:lang w:val="en-US" w:eastAsia="zh-CN" w:bidi="ar"/>
              </w:rPr>
              <w:br w:type="textWrapping"/>
            </w:r>
            <w:r>
              <w:rPr>
                <w:rFonts w:hint="eastAsia" w:ascii="宋体" w:hAnsi="宋体" w:eastAsia="宋体" w:cs="宋体"/>
                <w:i w:val="0"/>
                <w:color w:val="000000"/>
                <w:kern w:val="0"/>
                <w:sz w:val="16"/>
                <w:szCs w:val="16"/>
                <w:u w:val="none"/>
                <w:bdr w:val="none" w:color="auto" w:sz="0" w:space="0"/>
                <w:lang w:val="en-US" w:eastAsia="zh-CN" w:bidi="ar"/>
              </w:rPr>
              <w:t>（10分）</w:t>
            </w:r>
          </w:p>
        </w:tc>
        <w:tc>
          <w:tcPr>
            <w:tcW w:w="874"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服务对象满意度指标</w:t>
            </w:r>
          </w:p>
        </w:tc>
        <w:tc>
          <w:tcPr>
            <w:tcW w:w="2147" w:type="dxa"/>
            <w:gridSpan w:val="2"/>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服务对象满意</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≧95</w:t>
            </w:r>
            <w:r>
              <w:rPr>
                <w:rFonts w:ascii="Calibri" w:hAnsi="Calibri" w:eastAsia="宋体" w:cs="Calibri"/>
                <w:i w:val="0"/>
                <w:color w:val="000000"/>
                <w:kern w:val="0"/>
                <w:sz w:val="16"/>
                <w:szCs w:val="16"/>
                <w:u w:val="none"/>
                <w:bdr w:val="none" w:color="auto" w:sz="0" w:space="0"/>
                <w:lang w:val="en-US" w:eastAsia="zh-CN" w:bidi="ar"/>
              </w:rPr>
              <w:t>%</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≧95</w:t>
            </w:r>
            <w:r>
              <w:rPr>
                <w:rFonts w:ascii="Calibri" w:hAnsi="Calibri" w:eastAsia="宋体" w:cs="Calibri"/>
                <w:i w:val="0"/>
                <w:color w:val="000000"/>
                <w:kern w:val="0"/>
                <w:sz w:val="16"/>
                <w:szCs w:val="16"/>
                <w:u w:val="none"/>
                <w:bdr w:val="none" w:color="auto" w:sz="0" w:space="0"/>
                <w:lang w:val="en-US" w:eastAsia="zh-CN" w:bidi="ar"/>
              </w:rPr>
              <w:t>%</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预算执行率（10分）</w:t>
            </w: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100%</w:t>
            </w: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100%</w:t>
            </w: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trPr>
        <w:tc>
          <w:tcPr>
            <w:tcW w:w="982"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bdr w:val="none" w:color="auto" w:sz="0" w:space="0"/>
                <w:lang w:val="en-US" w:eastAsia="zh-CN" w:bidi="ar"/>
              </w:rPr>
              <w:t>总分</w:t>
            </w:r>
          </w:p>
        </w:tc>
        <w:tc>
          <w:tcPr>
            <w:tcW w:w="874"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7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7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bdr w:val="none" w:color="auto" w:sz="0" w:space="0"/>
                <w:lang w:val="en-US" w:eastAsia="zh-CN" w:bidi="ar"/>
              </w:rPr>
              <w:t>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869" w:hRule="atLeast"/>
        </w:trPr>
        <w:tc>
          <w:tcPr>
            <w:tcW w:w="982"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五、</w:t>
            </w:r>
            <w:r>
              <w:rPr>
                <w:rFonts w:ascii="Calibri" w:hAnsi="Calibri" w:eastAsia="宋体" w:cs="Calibri"/>
                <w:i w:val="0"/>
                <w:color w:val="000000"/>
                <w:kern w:val="0"/>
                <w:sz w:val="16"/>
                <w:szCs w:val="16"/>
                <w:u w:val="none"/>
                <w:bdr w:val="none" w:color="auto" w:sz="0" w:space="0"/>
                <w:lang w:val="en-US" w:eastAsia="zh-CN" w:bidi="ar"/>
              </w:rPr>
              <w:t xml:space="preserve"> </w:t>
            </w:r>
            <w:r>
              <w:rPr>
                <w:rStyle w:val="28"/>
                <w:bdr w:val="none" w:color="auto" w:sz="0" w:space="0"/>
                <w:lang w:val="en-US" w:eastAsia="zh-CN" w:bidi="ar"/>
              </w:rPr>
              <w:t>存在问题、原因及下一步整改措施</w:t>
            </w:r>
          </w:p>
        </w:tc>
        <w:tc>
          <w:tcPr>
            <w:tcW w:w="7318"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无</w:t>
            </w:r>
          </w:p>
        </w:tc>
      </w:tr>
    </w:tbl>
    <w:p>
      <w:pPr>
        <w:pStyle w:val="2"/>
        <w:ind w:left="0" w:leftChars="0" w:firstLine="0" w:firstLineChars="0"/>
      </w:pPr>
    </w:p>
    <w:p>
      <w:pPr>
        <w:numPr>
          <w:ilvl w:val="0"/>
          <w:numId w:val="4"/>
        </w:num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单位</w:t>
      </w:r>
      <w:r>
        <w:rPr>
          <w:rFonts w:hint="default" w:ascii="Times New Roman" w:hAnsi="Times New Roman" w:eastAsia="仿宋_GB2312" w:cs="Times New Roman"/>
          <w:b/>
          <w:bCs/>
          <w:sz w:val="32"/>
          <w:szCs w:val="32"/>
        </w:rPr>
        <w:t>评价项目绩效评价结果</w:t>
      </w:r>
    </w:p>
    <w:p>
      <w:pPr>
        <w:adjustRightInd w:val="0"/>
        <w:snapToGrid w:val="0"/>
        <w:spacing w:line="58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2023年鹿泉区民政局的预算编制规范、准确，各项经费足额纳入预算安排，确保了单位正常运转和专项工作的顺利开展，较好完成年初绩效目标任务。自我评价得分：单位预算管理49分，项目预算管理20分，绩效结果应用25分，部门综合得分94分，等级优秀。</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w:t>
      </w:r>
      <w:r>
        <w:rPr>
          <w:rFonts w:hint="eastAsia" w:ascii="仿宋_GB2312" w:hAnsi="Times New Roman" w:eastAsia="仿宋_GB2312" w:cs="仿宋_GB2312"/>
          <w:sz w:val="32"/>
          <w:szCs w:val="32"/>
          <w:lang w:eastAsia="zh-CN"/>
        </w:rPr>
        <w:t>国有资本经营预算</w:t>
      </w:r>
      <w:r>
        <w:rPr>
          <w:rFonts w:hint="default" w:ascii="Times New Roman" w:hAnsi="Times New Roman" w:eastAsia="仿宋_GB2312" w:cs="Times New Roman"/>
          <w:sz w:val="32"/>
          <w:szCs w:val="32"/>
        </w:rPr>
        <w:t>无收支及结转结余情况，故</w:t>
      </w:r>
      <w:r>
        <w:rPr>
          <w:rFonts w:hint="eastAsia" w:ascii="仿宋_GB2312" w:hAnsi="Times New Roman" w:eastAsia="仿宋_GB2312" w:cs="仿宋_GB2312"/>
          <w:sz w:val="32"/>
          <w:szCs w:val="32"/>
        </w:rPr>
        <w:t>国有资本经营预算财政拨款支出决算</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454BE99A-52AC-48EA-9BA0-1100895D239B}"/>
  </w:font>
  <w:font w:name="Arial">
    <w:panose1 w:val="020B0604020202020204"/>
    <w:charset w:val="01"/>
    <w:family w:val="swiss"/>
    <w:pitch w:val="default"/>
    <w:sig w:usb0="E0002EFF" w:usb1="C000785B" w:usb2="00000009" w:usb3="00000000" w:csb0="400001FF" w:csb1="FFFF0000"/>
    <w:embedRegular r:id="rId2" w:fontKey="{E5FBB026-FAD6-47E6-858B-DAE4405FFBAA}"/>
  </w:font>
  <w:font w:name="黑体">
    <w:panose1 w:val="02010600030101010101"/>
    <w:charset w:val="86"/>
    <w:family w:val="auto"/>
    <w:pitch w:val="default"/>
    <w:sig w:usb0="800002BF" w:usb1="38CF7CFA" w:usb2="00000016" w:usb3="00000000" w:csb0="00040001" w:csb1="00000000"/>
    <w:embedRegular r:id="rId3" w:fontKey="{38E51710-DD0D-40DF-BEB4-3787E4930D7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476820CC-B0C0-4D5D-A484-67A97C921897}"/>
  </w:font>
  <w:font w:name="仿宋">
    <w:panose1 w:val="02010609060101010101"/>
    <w:charset w:val="86"/>
    <w:family w:val="modern"/>
    <w:pitch w:val="default"/>
    <w:sig w:usb0="800002BF" w:usb1="38CF7CFA" w:usb2="00000016" w:usb3="00000000" w:csb0="00040001" w:csb1="00000000"/>
    <w:embedRegular r:id="rId5" w:fontKey="{24A58F56-A81B-4AC5-922C-BA36951199AA}"/>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panose1 w:val="02000000000000000000"/>
    <w:charset w:val="86"/>
    <w:family w:val="auto"/>
    <w:pitch w:val="default"/>
    <w:sig w:usb0="00000000" w:usb1="00000000" w:usb2="00000000" w:usb3="00000000" w:csb0="00000000" w:csb1="00000000"/>
    <w:embedRegular r:id="rId6" w:fontKey="{48083939-141D-4BD3-8610-4EAF21CD814B}"/>
  </w:font>
  <w:font w:name="思源黑体 CN Heavy">
    <w:altName w:val="黑体"/>
    <w:panose1 w:val="00000000000000000000"/>
    <w:charset w:val="86"/>
    <w:family w:val="swiss"/>
    <w:pitch w:val="default"/>
    <w:sig w:usb0="00000000" w:usb1="00000000" w:usb2="00000016" w:usb3="00000000" w:csb0="00060107" w:csb1="00000000"/>
    <w:embedRegular r:id="rId7" w:fontKey="{0F4FFE4F-0601-4095-85C7-D2B03291B29D}"/>
  </w:font>
  <w:font w:name="楷体_GB2312">
    <w:panose1 w:val="02010609030101010101"/>
    <w:charset w:val="86"/>
    <w:family w:val="auto"/>
    <w:pitch w:val="default"/>
    <w:sig w:usb0="00000001" w:usb1="080E0000" w:usb2="00000000" w:usb3="00000000" w:csb0="00040000" w:csb1="00000000"/>
    <w:embedRegular r:id="rId8" w:fontKey="{B99ED579-876E-4164-9DA4-0496E4414AA1}"/>
  </w:font>
  <w:font w:name="仿宋_GB2312">
    <w:panose1 w:val="02010609030101010101"/>
    <w:charset w:val="86"/>
    <w:family w:val="auto"/>
    <w:pitch w:val="default"/>
    <w:sig w:usb0="00000001" w:usb1="080E0000" w:usb2="00000000" w:usb3="00000000" w:csb0="00040000" w:csb1="00000000"/>
    <w:embedRegular r:id="rId9" w:fontKey="{97FF092A-CD82-48B0-80F5-8F6C17620B42}"/>
  </w:font>
  <w:font w:name="ArialUnicodeMS">
    <w:altName w:val="Malgun Gothic"/>
    <w:panose1 w:val="00000000000000000000"/>
    <w:charset w:val="81"/>
    <w:family w:val="auto"/>
    <w:pitch w:val="default"/>
    <w:sig w:usb0="00000000" w:usb1="00000000" w:usb2="00000010" w:usb3="00000000" w:csb0="00080001" w:csb1="00000000"/>
    <w:embedRegular r:id="rId10" w:fontKey="{E3F24970-A30A-4BFA-820D-2502FB026487}"/>
  </w:font>
  <w:font w:name="方正仿宋_GB2312">
    <w:panose1 w:val="02000000000000000000"/>
    <w:charset w:val="86"/>
    <w:family w:val="auto"/>
    <w:pitch w:val="default"/>
    <w:sig w:usb0="00000000" w:usb1="00000000" w:usb2="00000000" w:usb3="00000000" w:csb0="00000000" w:csb1="00000000"/>
    <w:embedRegular r:id="rId11" w:fontKey="{7DDFAF04-26C4-42E4-A3B1-769D36786128}"/>
  </w:font>
  <w:font w:name="Malgun Gothic">
    <w:panose1 w:val="020B0503020000020004"/>
    <w:charset w:val="81"/>
    <w:family w:val="auto"/>
    <w:pitch w:val="default"/>
    <w:sig w:usb0="9000002F" w:usb1="29D77CFB" w:usb2="00000012" w:usb3="00000000" w:csb0="0008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933FB61"/>
    <w:multiLevelType w:val="singleLevel"/>
    <w:tmpl w:val="7933FB61"/>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IsImhkaWQiOiJhY2U3MTBmNGM0NzIyMzAwMzI2NmEwNDhlNDIzZDI0ZCIsInVzZXJDb3VudCI6MjN9"/>
  </w:docVars>
  <w:rsids>
    <w:rsidRoot w:val="00000000"/>
    <w:rsid w:val="00086151"/>
    <w:rsid w:val="00236F8C"/>
    <w:rsid w:val="00784799"/>
    <w:rsid w:val="008E12CF"/>
    <w:rsid w:val="0096690D"/>
    <w:rsid w:val="00C65689"/>
    <w:rsid w:val="00CC2C8E"/>
    <w:rsid w:val="00F27B04"/>
    <w:rsid w:val="01616D62"/>
    <w:rsid w:val="01900E19"/>
    <w:rsid w:val="01A03C5A"/>
    <w:rsid w:val="01A5267D"/>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22262B"/>
    <w:rsid w:val="07533AFE"/>
    <w:rsid w:val="07B3657A"/>
    <w:rsid w:val="07C857D0"/>
    <w:rsid w:val="08AB5AAF"/>
    <w:rsid w:val="08F64918"/>
    <w:rsid w:val="09012C64"/>
    <w:rsid w:val="093B2E99"/>
    <w:rsid w:val="094E37F6"/>
    <w:rsid w:val="095D7943"/>
    <w:rsid w:val="09C006C6"/>
    <w:rsid w:val="0A10621F"/>
    <w:rsid w:val="0A464C4F"/>
    <w:rsid w:val="0A6729A3"/>
    <w:rsid w:val="0A694877"/>
    <w:rsid w:val="0AA954BE"/>
    <w:rsid w:val="0AD87D58"/>
    <w:rsid w:val="0AE70639"/>
    <w:rsid w:val="0B4F5E6D"/>
    <w:rsid w:val="0B753AE2"/>
    <w:rsid w:val="0BB67D0A"/>
    <w:rsid w:val="0BC56230"/>
    <w:rsid w:val="0BCF21BD"/>
    <w:rsid w:val="0C4E53E8"/>
    <w:rsid w:val="0C9F7900"/>
    <w:rsid w:val="0CB23317"/>
    <w:rsid w:val="0CC37E53"/>
    <w:rsid w:val="0D101068"/>
    <w:rsid w:val="0D49470D"/>
    <w:rsid w:val="0D7557DF"/>
    <w:rsid w:val="0D853E34"/>
    <w:rsid w:val="0D9C2A57"/>
    <w:rsid w:val="0DAF6B30"/>
    <w:rsid w:val="0DFA5D82"/>
    <w:rsid w:val="0E1E52CE"/>
    <w:rsid w:val="0E341BC0"/>
    <w:rsid w:val="0E575AB5"/>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9C901C2"/>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1D457CD"/>
    <w:rsid w:val="220451AB"/>
    <w:rsid w:val="2237486E"/>
    <w:rsid w:val="223D1378"/>
    <w:rsid w:val="22434F17"/>
    <w:rsid w:val="22940650"/>
    <w:rsid w:val="22A0647B"/>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6F05034"/>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A57B69"/>
    <w:rsid w:val="2AC1762B"/>
    <w:rsid w:val="2AE845D0"/>
    <w:rsid w:val="2B302CBD"/>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CEE05D4"/>
    <w:rsid w:val="2D225539"/>
    <w:rsid w:val="2D4618D2"/>
    <w:rsid w:val="2D5F021B"/>
    <w:rsid w:val="2D6E1286"/>
    <w:rsid w:val="2D70583E"/>
    <w:rsid w:val="2D99655D"/>
    <w:rsid w:val="2DC05441"/>
    <w:rsid w:val="2E1B4BB8"/>
    <w:rsid w:val="2E256CB6"/>
    <w:rsid w:val="2E3224D3"/>
    <w:rsid w:val="2E596FDD"/>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8B0CB4"/>
    <w:rsid w:val="31990545"/>
    <w:rsid w:val="31B0194C"/>
    <w:rsid w:val="31CE17D1"/>
    <w:rsid w:val="320F6F96"/>
    <w:rsid w:val="323E4515"/>
    <w:rsid w:val="3286389B"/>
    <w:rsid w:val="328D4D68"/>
    <w:rsid w:val="32B045B1"/>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0934A5"/>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0E5179"/>
    <w:rsid w:val="3C3A1750"/>
    <w:rsid w:val="3C6147F2"/>
    <w:rsid w:val="3C6C0B58"/>
    <w:rsid w:val="3CBE41D5"/>
    <w:rsid w:val="3D305D4F"/>
    <w:rsid w:val="3D446B0E"/>
    <w:rsid w:val="3D953A6B"/>
    <w:rsid w:val="3DB90C4B"/>
    <w:rsid w:val="3DBB2CD5"/>
    <w:rsid w:val="3DBB5979"/>
    <w:rsid w:val="3E1057AF"/>
    <w:rsid w:val="3E6C0DFA"/>
    <w:rsid w:val="3E740322"/>
    <w:rsid w:val="3E7F4380"/>
    <w:rsid w:val="3E8D171B"/>
    <w:rsid w:val="3E8E5574"/>
    <w:rsid w:val="3EA5630D"/>
    <w:rsid w:val="3EBA731B"/>
    <w:rsid w:val="3EC1407A"/>
    <w:rsid w:val="3EFB5800"/>
    <w:rsid w:val="3F167D14"/>
    <w:rsid w:val="3F3B4E59"/>
    <w:rsid w:val="3F4D1B74"/>
    <w:rsid w:val="3F6E677C"/>
    <w:rsid w:val="3F712F46"/>
    <w:rsid w:val="3FBC0EF7"/>
    <w:rsid w:val="3FCD2AB9"/>
    <w:rsid w:val="3FD17600"/>
    <w:rsid w:val="4050218A"/>
    <w:rsid w:val="405C7868"/>
    <w:rsid w:val="408B24EB"/>
    <w:rsid w:val="40EC33A6"/>
    <w:rsid w:val="40FE2EB4"/>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49A0DE8"/>
    <w:rsid w:val="4537083C"/>
    <w:rsid w:val="45513D03"/>
    <w:rsid w:val="45541E1C"/>
    <w:rsid w:val="45F657C2"/>
    <w:rsid w:val="460713D2"/>
    <w:rsid w:val="461F0A8B"/>
    <w:rsid w:val="4648721E"/>
    <w:rsid w:val="46663E71"/>
    <w:rsid w:val="466A37AC"/>
    <w:rsid w:val="46BF22B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B10CAF"/>
    <w:rsid w:val="48D9540B"/>
    <w:rsid w:val="49067B2F"/>
    <w:rsid w:val="496008AE"/>
    <w:rsid w:val="49677E31"/>
    <w:rsid w:val="496C2225"/>
    <w:rsid w:val="49AE2880"/>
    <w:rsid w:val="49F42EAF"/>
    <w:rsid w:val="49F96FB8"/>
    <w:rsid w:val="4A337323"/>
    <w:rsid w:val="4A3679E8"/>
    <w:rsid w:val="4A5B28DC"/>
    <w:rsid w:val="4AA06B93"/>
    <w:rsid w:val="4ACC4FA9"/>
    <w:rsid w:val="4ADB18EB"/>
    <w:rsid w:val="4AEE5418"/>
    <w:rsid w:val="4B0371D8"/>
    <w:rsid w:val="4B96118E"/>
    <w:rsid w:val="4BAE1B66"/>
    <w:rsid w:val="4BED4708"/>
    <w:rsid w:val="4BF133DC"/>
    <w:rsid w:val="4C507D4A"/>
    <w:rsid w:val="4C8C225D"/>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60693"/>
    <w:rsid w:val="508A4590"/>
    <w:rsid w:val="509352D9"/>
    <w:rsid w:val="50C46224"/>
    <w:rsid w:val="50D22567"/>
    <w:rsid w:val="50F1461D"/>
    <w:rsid w:val="50FE5411"/>
    <w:rsid w:val="510B072E"/>
    <w:rsid w:val="511B0BF4"/>
    <w:rsid w:val="51264306"/>
    <w:rsid w:val="516123CE"/>
    <w:rsid w:val="51B177A9"/>
    <w:rsid w:val="51CF0D81"/>
    <w:rsid w:val="51E066EB"/>
    <w:rsid w:val="51E84FDE"/>
    <w:rsid w:val="5267570A"/>
    <w:rsid w:val="52707792"/>
    <w:rsid w:val="52A12CDC"/>
    <w:rsid w:val="52DC49CF"/>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5DB4F23"/>
    <w:rsid w:val="56232437"/>
    <w:rsid w:val="56541A75"/>
    <w:rsid w:val="568832FC"/>
    <w:rsid w:val="568C4181"/>
    <w:rsid w:val="56AC2FF1"/>
    <w:rsid w:val="570725A9"/>
    <w:rsid w:val="5714693E"/>
    <w:rsid w:val="571D0C9C"/>
    <w:rsid w:val="573A16CE"/>
    <w:rsid w:val="577F71A8"/>
    <w:rsid w:val="579C7F80"/>
    <w:rsid w:val="57B30D7C"/>
    <w:rsid w:val="57EC0989"/>
    <w:rsid w:val="580A4C21"/>
    <w:rsid w:val="58166B03"/>
    <w:rsid w:val="583E3C94"/>
    <w:rsid w:val="58721734"/>
    <w:rsid w:val="58900246"/>
    <w:rsid w:val="58977358"/>
    <w:rsid w:val="58D53944"/>
    <w:rsid w:val="58D65478"/>
    <w:rsid w:val="58F52487"/>
    <w:rsid w:val="58F778BC"/>
    <w:rsid w:val="590422E6"/>
    <w:rsid w:val="592257E5"/>
    <w:rsid w:val="59655E33"/>
    <w:rsid w:val="599C3D8B"/>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731A6F"/>
    <w:rsid w:val="5D9217C2"/>
    <w:rsid w:val="5DAD06BF"/>
    <w:rsid w:val="5DE23CB3"/>
    <w:rsid w:val="5DE97EEC"/>
    <w:rsid w:val="5DF43138"/>
    <w:rsid w:val="5DFA5EB0"/>
    <w:rsid w:val="5E0B583E"/>
    <w:rsid w:val="5E201A7B"/>
    <w:rsid w:val="5EBD0484"/>
    <w:rsid w:val="5F2C5C7C"/>
    <w:rsid w:val="5F881C0D"/>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8E1266"/>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AD07C0"/>
    <w:rsid w:val="6BB93285"/>
    <w:rsid w:val="6BFD0BBF"/>
    <w:rsid w:val="6C0C698C"/>
    <w:rsid w:val="6C222401"/>
    <w:rsid w:val="6C56267F"/>
    <w:rsid w:val="6C645412"/>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6FFE351A"/>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2CD37BA"/>
    <w:rsid w:val="73177841"/>
    <w:rsid w:val="733774FE"/>
    <w:rsid w:val="73617E1B"/>
    <w:rsid w:val="736D7653"/>
    <w:rsid w:val="738035CB"/>
    <w:rsid w:val="7396335C"/>
    <w:rsid w:val="73F46595"/>
    <w:rsid w:val="74283FA2"/>
    <w:rsid w:val="742C135B"/>
    <w:rsid w:val="742E2A21"/>
    <w:rsid w:val="743D6CB1"/>
    <w:rsid w:val="74463733"/>
    <w:rsid w:val="748A2F40"/>
    <w:rsid w:val="74F85778"/>
    <w:rsid w:val="74FF1F26"/>
    <w:rsid w:val="75272439"/>
    <w:rsid w:val="758F1E9B"/>
    <w:rsid w:val="75CE266B"/>
    <w:rsid w:val="76120141"/>
    <w:rsid w:val="762379F0"/>
    <w:rsid w:val="76C23B43"/>
    <w:rsid w:val="76FD6F97"/>
    <w:rsid w:val="770218E8"/>
    <w:rsid w:val="77C875A5"/>
    <w:rsid w:val="784654D3"/>
    <w:rsid w:val="78A27DF6"/>
    <w:rsid w:val="78B267C0"/>
    <w:rsid w:val="78F461E9"/>
    <w:rsid w:val="79285B3A"/>
    <w:rsid w:val="79625CA9"/>
    <w:rsid w:val="79A91196"/>
    <w:rsid w:val="79C04954"/>
    <w:rsid w:val="7A0B32D3"/>
    <w:rsid w:val="7A67695C"/>
    <w:rsid w:val="7AC13CD3"/>
    <w:rsid w:val="7AE10264"/>
    <w:rsid w:val="7AF50FCE"/>
    <w:rsid w:val="7B086EDB"/>
    <w:rsid w:val="7B4A207F"/>
    <w:rsid w:val="7B936F45"/>
    <w:rsid w:val="7BA47419"/>
    <w:rsid w:val="7BB10D45"/>
    <w:rsid w:val="7BB2627D"/>
    <w:rsid w:val="7BB44151"/>
    <w:rsid w:val="7BEC320B"/>
    <w:rsid w:val="7BF82951"/>
    <w:rsid w:val="7C3307AB"/>
    <w:rsid w:val="7C656A39"/>
    <w:rsid w:val="7C6E21F1"/>
    <w:rsid w:val="7CB93996"/>
    <w:rsid w:val="7CBE0F99"/>
    <w:rsid w:val="7D4E45F1"/>
    <w:rsid w:val="7D733448"/>
    <w:rsid w:val="7DFB6D82"/>
    <w:rsid w:val="7E1D71D1"/>
    <w:rsid w:val="7E246254"/>
    <w:rsid w:val="7E486D4A"/>
    <w:rsid w:val="7E6D090F"/>
    <w:rsid w:val="7E80595A"/>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 w:type="character" w:customStyle="1" w:styleId="27">
    <w:name w:val="font21"/>
    <w:basedOn w:val="15"/>
    <w:uiPriority w:val="0"/>
    <w:rPr>
      <w:rFonts w:hint="eastAsia" w:ascii="宋体" w:hAnsi="宋体" w:eastAsia="宋体" w:cs="宋体"/>
      <w:color w:val="000000"/>
      <w:sz w:val="16"/>
      <w:szCs w:val="16"/>
      <w:u w:val="none"/>
    </w:rPr>
  </w:style>
  <w:style w:type="character" w:customStyle="1" w:styleId="28">
    <w:name w:val="font71"/>
    <w:basedOn w:val="15"/>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1.svg"/><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6967.19</c:v>
                </c:pt>
                <c:pt idx="1">
                  <c:v>6527.37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68543126359024"/>
          <c:y val="0.0254993625159369"/>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302609325924136"/>
                  <c:y val="0.2103697407564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22541676733511"/>
                  <c:y val="0.095622609434764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91192186851198"/>
                  <c:y val="0"/>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7332353.69</c:v>
                </c:pt>
                <c:pt idx="1">
                  <c:v>57891131.42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6606.3</c:v>
                </c:pt>
                <c:pt idx="1">
                  <c:v>6605.6</c:v>
                </c:pt>
                <c:pt idx="2">
                  <c:v>3990.33</c:v>
                </c:pt>
                <c:pt idx="3">
                  <c:v>3989.63</c:v>
                </c:pt>
                <c:pt idx="4">
                  <c:v>2615.97</c:v>
                </c:pt>
                <c:pt idx="5">
                  <c:v>2615.97</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6522.36</c:v>
                </c:pt>
                <c:pt idx="1">
                  <c:v>6522.35</c:v>
                </c:pt>
                <c:pt idx="2">
                  <c:v>5436.22</c:v>
                </c:pt>
                <c:pt idx="3">
                  <c:v>5436.21</c:v>
                </c:pt>
                <c:pt idx="4">
                  <c:v>1086.14</c:v>
                </c:pt>
                <c:pt idx="5">
                  <c:v>1086.14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2733.82</c:v>
                </c:pt>
                <c:pt idx="1">
                  <c:v>2733.82</c:v>
                </c:pt>
                <c:pt idx="2">
                  <c:v>2495.67</c:v>
                </c:pt>
                <c:pt idx="3">
                  <c:v>2495.67</c:v>
                </c:pt>
                <c:pt idx="4">
                  <c:v>238.14</c:v>
                </c:pt>
                <c:pt idx="5">
                  <c:v>238.14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6522.36</c:v>
                </c:pt>
                <c:pt idx="1">
                  <c:v>6522.35</c:v>
                </c:pt>
                <c:pt idx="2">
                  <c:v>5436.22</c:v>
                </c:pt>
                <c:pt idx="3">
                  <c:v>5436.21</c:v>
                </c:pt>
                <c:pt idx="4">
                  <c:v>1086.14</c:v>
                </c:pt>
                <c:pt idx="5">
                  <c:v>1086.14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5390.66</c:v>
                </c:pt>
                <c:pt idx="7">
                  <c:v>19.39</c:v>
                </c:pt>
                <c:pt idx="8">
                  <c:v>0</c:v>
                </c:pt>
                <c:pt idx="9">
                  <c:v>0</c:v>
                </c:pt>
                <c:pt idx="10">
                  <c:v>0</c:v>
                </c:pt>
                <c:pt idx="11">
                  <c:v>0</c:v>
                </c:pt>
                <c:pt idx="12">
                  <c:v>0</c:v>
                </c:pt>
                <c:pt idx="13">
                  <c:v>0</c:v>
                </c:pt>
                <c:pt idx="14">
                  <c:v>0</c:v>
                </c:pt>
                <c:pt idx="15">
                  <c:v>0</c:v>
                </c:pt>
                <c:pt idx="16">
                  <c:v>26.16</c:v>
                </c:pt>
                <c:pt idx="17">
                  <c:v>0</c:v>
                </c:pt>
                <c:pt idx="18">
                  <c:v>0</c:v>
                </c:pt>
                <c:pt idx="19">
                  <c:v>0</c:v>
                </c:pt>
                <c:pt idx="20">
                  <c:v>1016.62</c:v>
                </c:pt>
                <c:pt idx="21">
                  <c:v>69.52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10052</Words>
  <Characters>13399</Characters>
  <Lines>86</Lines>
  <Paragraphs>24</Paragraphs>
  <TotalTime>7</TotalTime>
  <ScaleCrop>false</ScaleCrop>
  <LinksUpToDate>false</LinksUpToDate>
  <CharactersWithSpaces>14002</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2024-09-27T03:46:41Z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