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rPr>
          <w:rFonts w:asciiTheme="minorEastAsia" w:hAnsiTheme="minorEastAsia" w:eastAsiaTheme="minorEastAsia"/>
          <w:b/>
          <w:sz w:val="72"/>
          <w:szCs w:val="72"/>
        </w:rPr>
      </w:pPr>
      <w:bookmarkStart w:id="0" w:name="_GoBack"/>
      <w:bookmarkEnd w:id="0"/>
      <w:r>
        <w:rPr>
          <w:rFonts w:asciiTheme="minorEastAsia" w:hAnsiTheme="minorEastAsia" w:eastAsiaTheme="minorEastAsia"/>
          <w:b/>
          <w:sz w:val="72"/>
          <w:szCs w:val="72"/>
        </w:rPr>
        <w:drawing>
          <wp:inline distT="0" distB="0" distL="0" distR="0">
            <wp:extent cx="6802120" cy="9698355"/>
            <wp:effectExtent l="38100" t="57150" r="112689" b="92793"/>
            <wp:docPr id="1" name="图片 0" descr="f334ba19b06a6a99bf69148ba941f1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0" descr="f334ba19b06a6a99bf69148ba941f1f.jpg"/>
                    <pic:cNvPicPr>
                      <a:picLocks noChangeAspect="1"/>
                    </pic:cNvPicPr>
                  </pic:nvPicPr>
                  <pic:blipFill>
                    <a:blip r:embed="rId4" cstate="print"/>
                    <a:stretch>
                      <a:fillRect/>
                    </a:stretch>
                  </pic:blipFill>
                  <pic:spPr>
                    <a:xfrm>
                      <a:off x="0" y="0"/>
                      <a:ext cx="6802987" cy="9699657"/>
                    </a:xfrm>
                    <a:prstGeom prst="rect">
                      <a:avLst/>
                    </a:prstGeom>
                    <a:ln w="38100" cap="sq">
                      <a:solidFill>
                        <a:srgbClr val="000000"/>
                      </a:solidFill>
                      <a:prstDash val="solid"/>
                      <a:miter lim="800000"/>
                      <a:headEnd/>
                      <a:tailEnd/>
                    </a:ln>
                    <a:effectLst>
                      <a:outerShdw blurRad="50800" dist="38100" dir="2700000" algn="tl" rotWithShape="0">
                        <a:srgbClr val="000000">
                          <a:alpha val="43000"/>
                        </a:srgbClr>
                      </a:outerShdw>
                    </a:effectLst>
                  </pic:spPr>
                </pic:pic>
              </a:graphicData>
            </a:graphic>
          </wp:inline>
        </w:drawing>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民政</w:t>
      </w:r>
      <w:r>
        <w:rPr>
          <w:rFonts w:eastAsia="黑体"/>
          <w:sz w:val="32"/>
          <w:szCs w:val="32"/>
        </w:rPr>
        <w:t>部门201</w:t>
      </w:r>
      <w:r>
        <w:rPr>
          <w:rFonts w:hint="eastAsia" w:eastAsia="黑体"/>
          <w:sz w:val="32"/>
          <w:szCs w:val="32"/>
        </w:rPr>
        <w:t>8</w:t>
      </w:r>
      <w:r>
        <w:rPr>
          <w:rFonts w:eastAsia="黑体"/>
          <w:sz w:val="32"/>
          <w:szCs w:val="32"/>
        </w:rPr>
        <w:t>年部门决算情况说</w:t>
      </w:r>
      <w:r>
        <w:rPr>
          <w:rFonts w:hint="eastAsia" w:eastAsia="黑体"/>
          <w:sz w:val="32"/>
          <w:szCs w:val="32"/>
        </w:rPr>
        <w:t>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59264"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60288;mso-width-relative:page;mso-height-relative:page;" coordorigin="4551,52615" coordsize="8546,1398203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1.贯彻执行民政工作的方针政策和法律法规；研究提出全区民政事业的发展规划和年度工作计划。负责全区民政信息宣传和政策理论研究工作，负责全区民政执法监督检查、行政复议工作。</w:t>
      </w:r>
    </w:p>
    <w:p>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2.提出和改进加强全区城乡基层政权建设的意见和建议；推进全区村委会、居委会等群众自治组织的民主政治建设；指导村（居）民委员会开展民主选举、民主决策、民主管理和民主监督工作；推动村（居）民自治、村（居）务公开；拟订社区发展规划、社区服务管理办法和促进社区发展的政策措施；指导社区服务体系建设。</w:t>
      </w:r>
    </w:p>
    <w:p>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3.主管全区拥军优属工作，协调全区双拥优属和军民共建活动，开展创建双拥模范城工作；负责慰问驻军、协调军地纠纷、协调驻军支持地方经济建设和精神文明建设；负责革命烈士褒扬和优抚对象优待抚恤定补工作；负责伤残军人的伤残评定初审及上报工作；负责全区革命烈士史料的收集、整理、编纂工作。</w:t>
      </w:r>
    </w:p>
    <w:p>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4.负责全区退役士兵、复员干部、伤病残退役士兵的接收安置工作，指导军地两用人才开发使用工作；负责军队移交本区安置管理的离退休干部、无军籍退休退职职工的接收安置工作；负责光荣院、军休所、烈士陵园等优抚事业单位的建设和管理工作。</w:t>
      </w:r>
    </w:p>
    <w:p>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5.拟订全区减灾救灾政策和工作规划；建立自然灾害应急体系；组织调查并统一发布灾情信息；组织协调全区减灾救灾工作；负责接收国内外对我区的援助和捐赠，统一管理分配救灾款物，并监督使用，组织指导全区经常性救灾捐赠工作。</w:t>
      </w:r>
    </w:p>
    <w:p>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6.承担城乡社会救助体系建设；负责城乡居民最低生活保障、五保供养、医疗救助、临时救助和生活无着落人员救助工作，以及其它特殊救济对象的救济、</w:t>
      </w:r>
      <w:r>
        <w:rPr>
          <w:rFonts w:hint="eastAsia" w:ascii="宋体" w:hAnsi="宋体" w:cs="宋体"/>
          <w:color w:val="000000"/>
          <w:kern w:val="0"/>
          <w:sz w:val="32"/>
          <w:szCs w:val="32"/>
        </w:rPr>
        <w:t>60</w:t>
      </w:r>
      <w:r>
        <w:rPr>
          <w:rFonts w:hint="eastAsia" w:ascii="仿宋_GB2312" w:hAnsi="宋体" w:cs="宋体"/>
          <w:color w:val="000000"/>
          <w:kern w:val="0"/>
          <w:sz w:val="32"/>
          <w:szCs w:val="32"/>
        </w:rPr>
        <w:t>年代精减退职职工</w:t>
      </w:r>
      <w:r>
        <w:rPr>
          <w:rFonts w:hint="eastAsia" w:ascii="宋体" w:hAnsi="宋体" w:cs="宋体"/>
          <w:color w:val="000000"/>
          <w:kern w:val="0"/>
          <w:sz w:val="32"/>
          <w:szCs w:val="32"/>
        </w:rPr>
        <w:t>40%</w:t>
      </w:r>
      <w:r>
        <w:rPr>
          <w:rFonts w:hint="eastAsia" w:ascii="仿宋_GB2312" w:hAnsi="宋体" w:cs="宋体"/>
          <w:color w:val="000000"/>
          <w:kern w:val="0"/>
          <w:sz w:val="32"/>
          <w:szCs w:val="32"/>
        </w:rPr>
        <w:t>的救济；负责指导全区敬老院的建设和管理工作。</w:t>
      </w:r>
    </w:p>
    <w:p>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7.负责全区乡（镇）、村的区域划分，地名和行政区域界线管理工作；负责审核乡（镇）的设立、撤销、乡改镇、驻地迁移等工作的调查、论证、审核、报批；负责全区地名管理工作，组织实施地名公共服务工程，承办全区乡镇、村地名命名、更名的申报和审核工作，收集、整理、更新地名资料；协助有关部门做好全区边界线的勘察和边界纠纷的调查处理工作。</w:t>
      </w:r>
    </w:p>
    <w:p>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8.负责全区扶贫开发工作。按照《鹿泉市扶贫开发规划》落实各扶贫重点村的扶贫项目，管好用好扶贫资金和物资；做好各级帮扶单位的协调、服务工作；完成扶贫培训任务，动员全社会开展扶贫济困活动；认真做好各种数据报表、文字材料上报工作；做好扶贫开发的信息宣传工作。</w:t>
      </w:r>
    </w:p>
    <w:p>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9.拟订社会福利事业发展规划，做好各类福利机构的管理和服务工作；拟订加快养老服务社会化政策和老年福利设施建设规划；负责老龄工作委员会领导小组办公室工作；负责全区福利彩票销售管理工作；负责全区社会福利企业发展和管理工作，对社会福利生产企业进行指导和宏观管理。</w:t>
      </w:r>
    </w:p>
    <w:p>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10.承担全区民办非企业及社团登记管理和监察责任；指导和监督全区社会团体和民办非企业单位的登记管理工作。</w:t>
      </w:r>
    </w:p>
    <w:p>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11.拟订全区慈善事业发展规划和政策，组织指导社会捐助工作；负责全区老年人、孤儿等特殊群体的权益保护行政管理工作。</w:t>
      </w:r>
    </w:p>
    <w:p>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12.主管婚姻登记、殡葬管理和儿童收养工作；推行婚俗和殡葬改革工作，负责殡葬事业单位的管理建设工作。</w:t>
      </w:r>
    </w:p>
    <w:p>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13.拟订加快养服务社会化政策和老年福利设施建设规划；协调老人维权工作；组织敬老爱老活动。</w:t>
      </w:r>
    </w:p>
    <w:p>
      <w:pPr>
        <w:ind w:firstLine="640" w:firstLineChars="200"/>
        <w:rPr>
          <w:rFonts w:ascii="仿宋_GB2312" w:hAnsi="宋体" w:cs="宋体"/>
          <w:color w:val="000000"/>
          <w:kern w:val="0"/>
          <w:sz w:val="32"/>
          <w:szCs w:val="32"/>
        </w:rPr>
      </w:pPr>
      <w:r>
        <w:rPr>
          <w:rFonts w:hint="eastAsia" w:ascii="仿宋_GB2312" w:hAnsi="宋体" w:cs="宋体"/>
          <w:color w:val="000000"/>
          <w:kern w:val="0"/>
          <w:sz w:val="32"/>
          <w:szCs w:val="32"/>
        </w:rPr>
        <w:t>14.拟订全区民政事业发展规划和民政事业资金管理办法；负责民政专项资金的管理监督；负责直属单位的内部审计工作；负责民政统计工作。</w:t>
      </w:r>
    </w:p>
    <w:p>
      <w:pPr>
        <w:ind w:firstLine="640" w:firstLineChars="200"/>
        <w:rPr>
          <w:rFonts w:ascii="仿宋_GB2312" w:hAnsi="宋体" w:cs="宋体"/>
          <w:color w:val="000000"/>
          <w:kern w:val="0"/>
          <w:sz w:val="32"/>
          <w:szCs w:val="32"/>
        </w:rPr>
      </w:pPr>
      <w:r>
        <w:rPr>
          <w:rFonts w:hint="eastAsia" w:ascii="仿宋_GB2312" w:hAnsi="宋体" w:cs="宋体"/>
          <w:color w:val="000000"/>
          <w:kern w:val="0"/>
          <w:sz w:val="32"/>
          <w:szCs w:val="32"/>
        </w:rPr>
        <w:t>15.研究制定社会工作人才队伍建设规划，会同有关部门推进社会工作人才队伍建设。</w:t>
      </w:r>
    </w:p>
    <w:p>
      <w:pPr>
        <w:ind w:firstLine="640" w:firstLineChars="200"/>
        <w:rPr>
          <w:rFonts w:ascii="仿宋_GB2312" w:hAnsi="宋体" w:cs="宋体"/>
          <w:color w:val="000000"/>
          <w:kern w:val="0"/>
          <w:sz w:val="32"/>
          <w:szCs w:val="32"/>
        </w:rPr>
      </w:pPr>
      <w:r>
        <w:rPr>
          <w:rFonts w:hint="eastAsia" w:ascii="仿宋_GB2312" w:hAnsi="宋体" w:cs="宋体"/>
          <w:color w:val="000000"/>
          <w:kern w:val="0"/>
          <w:sz w:val="32"/>
          <w:szCs w:val="32"/>
        </w:rPr>
        <w:t>16.负责全区民族事务管理和民族统计工作，依法对宗教事务进行管理。巩固和发展民族宗教界的爱国统一战线，抵制境外敌对势力的渗透活动；帮助宗教团体依照法律，依照各教习俗开展工作，协助办理相关宗教事务，做好民族宗教稳定工作。</w:t>
      </w:r>
    </w:p>
    <w:p>
      <w:pPr>
        <w:rPr>
          <w:rFonts w:ascii="仿宋_GB2312" w:hAnsi="黑体"/>
          <w:bCs/>
          <w:color w:val="0000FF"/>
          <w:sz w:val="32"/>
          <w:szCs w:val="32"/>
        </w:rPr>
      </w:pPr>
      <w:r>
        <w:rPr>
          <w:rFonts w:hint="eastAsia" w:ascii="仿宋_GB2312" w:hAnsi="宋体" w:cs="宋体"/>
          <w:color w:val="000000"/>
          <w:kern w:val="0"/>
          <w:sz w:val="32"/>
          <w:szCs w:val="32"/>
        </w:rPr>
        <w:t>17.承办区政府交办的其它事项</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个，具体情况如下：</w:t>
      </w:r>
    </w:p>
    <w:tbl>
      <w:tblPr>
        <w:tblStyle w:val="14"/>
        <w:tblpPr w:leftFromText="180" w:rightFromText="180" w:vertAnchor="text" w:horzAnchor="page" w:tblpXSpec="center" w:tblpY="10"/>
        <w:tblOverlap w:val="never"/>
        <w:tblW w:w="98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3"/>
        <w:gridCol w:w="3485"/>
        <w:gridCol w:w="2584"/>
        <w:gridCol w:w="25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 w:hRule="atLeast"/>
          <w:jc w:val="center"/>
        </w:trPr>
        <w:tc>
          <w:tcPr>
            <w:tcW w:w="1303"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584"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526"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1" w:hRule="atLeast"/>
          <w:jc w:val="center"/>
        </w:trPr>
        <w:tc>
          <w:tcPr>
            <w:tcW w:w="1303"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1</w:t>
            </w:r>
          </w:p>
        </w:tc>
        <w:tc>
          <w:tcPr>
            <w:tcW w:w="3485" w:type="dxa"/>
          </w:tcPr>
          <w:p>
            <w:pPr>
              <w:spacing w:after="0" w:line="560" w:lineRule="exact"/>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鹿泉区民政局(本级)</w:t>
            </w:r>
          </w:p>
        </w:tc>
        <w:tc>
          <w:tcPr>
            <w:tcW w:w="2584"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行政</w:t>
            </w:r>
          </w:p>
        </w:tc>
        <w:tc>
          <w:tcPr>
            <w:tcW w:w="2526"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 w:hRule="atLeast"/>
          <w:jc w:val="center"/>
        </w:trPr>
        <w:tc>
          <w:tcPr>
            <w:tcW w:w="1303"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2</w:t>
            </w:r>
          </w:p>
        </w:tc>
        <w:tc>
          <w:tcPr>
            <w:tcW w:w="3485" w:type="dxa"/>
          </w:tcPr>
          <w:p>
            <w:pPr>
              <w:spacing w:after="0" w:line="560" w:lineRule="exact"/>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鹿泉区殡仪馆</w:t>
            </w:r>
          </w:p>
        </w:tc>
        <w:tc>
          <w:tcPr>
            <w:tcW w:w="2584"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财政补助事业单位</w:t>
            </w:r>
          </w:p>
        </w:tc>
        <w:tc>
          <w:tcPr>
            <w:tcW w:w="2526"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4" w:hRule="atLeast"/>
          <w:jc w:val="center"/>
        </w:trPr>
        <w:tc>
          <w:tcPr>
            <w:tcW w:w="1303"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3</w:t>
            </w:r>
          </w:p>
        </w:tc>
        <w:tc>
          <w:tcPr>
            <w:tcW w:w="3485" w:type="dxa"/>
          </w:tcPr>
          <w:p>
            <w:pPr>
              <w:spacing w:after="0" w:line="560" w:lineRule="exact"/>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鹿泉区光荣院</w:t>
            </w:r>
          </w:p>
        </w:tc>
        <w:tc>
          <w:tcPr>
            <w:tcW w:w="2584"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财政补助事业单位</w:t>
            </w:r>
          </w:p>
        </w:tc>
        <w:tc>
          <w:tcPr>
            <w:tcW w:w="2526"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303"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4</w:t>
            </w:r>
          </w:p>
        </w:tc>
        <w:tc>
          <w:tcPr>
            <w:tcW w:w="3485" w:type="dxa"/>
          </w:tcPr>
          <w:p>
            <w:pPr>
              <w:spacing w:after="0" w:line="560" w:lineRule="exact"/>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鹿泉区军休所</w:t>
            </w:r>
          </w:p>
        </w:tc>
        <w:tc>
          <w:tcPr>
            <w:tcW w:w="2584"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财政补助事业单位</w:t>
            </w:r>
          </w:p>
        </w:tc>
        <w:tc>
          <w:tcPr>
            <w:tcW w:w="2526"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4" w:hRule="atLeast"/>
          <w:jc w:val="center"/>
        </w:trPr>
        <w:tc>
          <w:tcPr>
            <w:tcW w:w="1303"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5</w:t>
            </w:r>
          </w:p>
        </w:tc>
        <w:tc>
          <w:tcPr>
            <w:tcW w:w="3485" w:type="dxa"/>
          </w:tcPr>
          <w:p>
            <w:pPr>
              <w:spacing w:after="0" w:line="560" w:lineRule="exact"/>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鹿泉区民政事业服务中心</w:t>
            </w:r>
          </w:p>
        </w:tc>
        <w:tc>
          <w:tcPr>
            <w:tcW w:w="2584"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财政补助事业单位</w:t>
            </w:r>
          </w:p>
        </w:tc>
        <w:tc>
          <w:tcPr>
            <w:tcW w:w="2526" w:type="dxa"/>
          </w:tcPr>
          <w:p>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 w:hRule="atLeast"/>
          <w:jc w:val="center"/>
        </w:trPr>
        <w:tc>
          <w:tcPr>
            <w:tcW w:w="9898" w:type="dxa"/>
            <w:gridSpan w:val="4"/>
            <w:tcBorders>
              <w:top w:val="single" w:color="auto" w:sz="4" w:space="0"/>
              <w:left w:val="nil"/>
              <w:bottom w:val="nil"/>
              <w:right w:val="nil"/>
            </w:tcBorders>
          </w:tcPr>
          <w:p>
            <w:pPr>
              <w:spacing w:after="0" w:line="560" w:lineRule="exact"/>
              <w:jc w:val="left"/>
              <w:rPr>
                <w:rFonts w:ascii="仿宋_GB2312" w:eastAsia="仿宋_GB2312" w:cs="ArialUnicodeMS" w:hAnsiTheme="minorHAnsi"/>
                <w:kern w:val="0"/>
                <w:sz w:val="28"/>
                <w:szCs w:val="28"/>
                <w:highlight w:val="yellow"/>
              </w:rPr>
            </w:pPr>
          </w:p>
        </w:tc>
      </w:tr>
    </w:tbl>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widowControl/>
        <w:spacing w:line="560" w:lineRule="exact"/>
        <w:jc w:val="center"/>
        <w:rPr>
          <w:rFonts w:ascii="宋体" w:hAnsi="宋体" w:cs="ArialUnicodeMS"/>
          <w:color w:val="000000"/>
          <w:kern w:val="0"/>
        </w:rPr>
      </w:pPr>
    </w:p>
    <w:p>
      <w:pPr>
        <w:rPr>
          <w:rFonts w:ascii="宋体" w:hAnsi="宋体" w:cs="ArialUnicodeMS"/>
          <w:color w:val="000000"/>
          <w:kern w:val="0"/>
        </w:rPr>
        <w:sectPr>
          <w:pgSz w:w="11906" w:h="16838"/>
          <w:pgMar w:top="720" w:right="720" w:bottom="720" w:left="720" w:header="851" w:footer="992" w:gutter="0"/>
          <w:cols w:space="0" w:num="1"/>
          <w:docGrid w:type="lines" w:linePitch="312" w:charSpace="0"/>
        </w:sectPr>
      </w:pPr>
      <w:r>
        <w:rPr>
          <w:sz w:val="72"/>
        </w:rPr>
        <w:drawing>
          <wp:anchor distT="0" distB="0" distL="114300" distR="114300" simplePos="0" relativeHeight="251662336" behindDoc="1" locked="0" layoutInCell="1" allowOverlap="1">
            <wp:simplePos x="0" y="0"/>
            <wp:positionH relativeFrom="column">
              <wp:posOffset>-378460</wp:posOffset>
            </wp:positionH>
            <wp:positionV relativeFrom="paragraph">
              <wp:posOffset>-337820</wp:posOffset>
            </wp:positionV>
            <wp:extent cx="7450455" cy="1050988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450529" cy="10509662"/>
                    </a:xfrm>
                    <a:prstGeom prst="rect">
                      <a:avLst/>
                    </a:prstGeom>
                  </pic:spPr>
                </pic:pic>
              </a:graphicData>
            </a:graphic>
          </wp:anchor>
        </w:drawing>
      </w:r>
      <w:r>
        <w:rPr>
          <w:sz w:val="72"/>
        </w:rPr>
        <w:pict>
          <v:shape id="_x0000_s1113" o:spid="_x0000_s1113" o:spt="202" type="#_x0000_t202" style="position:absolute;left:0pt;margin-left:0.55pt;margin-top:324pt;height:145.85pt;width:549.7pt;z-index:251661312;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3"/>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w:pict>
                <v:group id="_x0000_s1110" o:spid="_x0000_s1110" o:spt="203" style="position:absolute;left:0pt;margin-left:-70.25pt;margin-top:-81.85pt;height:41.2pt;width:243.2pt;mso-position-vertical-relative:page;z-index:251672576;mso-width-relative:page;mso-height-relative:page;" coordorigin="4551,52615" coordsize="8546,1398203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v:rect id="矩形 13" o:spid="_x0000_s1112"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1"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v:textbox>
                  </v:rect>
                  <w10:anchorlock/>
                </v:group>
              </w:pic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部门：鹿泉区民政局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10579.27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1.44</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其中：政府性基金预算财政拨款</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340.31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80"/>
              </w:tabs>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99"/>
              </w:tabs>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9151.49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341.59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52"/>
              </w:tabs>
              <w:spacing w:after="0" w:line="200" w:lineRule="exact"/>
              <w:jc w:val="center"/>
              <w:rPr>
                <w:rFonts w:ascii="宋体" w:hAnsi="宋体" w:cs="宋体"/>
                <w:color w:val="000000"/>
                <w:sz w:val="20"/>
                <w:szCs w:val="20"/>
              </w:rPr>
            </w:pPr>
            <w:r>
              <w:rPr>
                <w:rFonts w:hint="eastAsia" w:ascii="宋体" w:hAnsi="宋体" w:cs="宋体"/>
                <w:color w:val="000000"/>
                <w:sz w:val="20"/>
                <w:szCs w:val="20"/>
              </w:rPr>
              <w:t>255</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90"/>
              </w:tabs>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47.74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33"/>
              </w:tabs>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237.21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43"/>
              </w:tabs>
              <w:spacing w:after="0" w:line="200" w:lineRule="exact"/>
              <w:jc w:val="center"/>
              <w:rPr>
                <w:rFonts w:ascii="宋体" w:hAnsi="宋体" w:cs="宋体"/>
                <w:color w:val="000000"/>
                <w:sz w:val="18"/>
                <w:szCs w:val="18"/>
              </w:rPr>
            </w:pPr>
            <w:r>
              <w:rPr>
                <w:rFonts w:hint="eastAsia" w:ascii="宋体" w:hAnsi="宋体" w:cs="宋体"/>
                <w:color w:val="000000"/>
                <w:sz w:val="18"/>
                <w:szCs w:val="18"/>
              </w:rPr>
              <w:t>10579.27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05"/>
              </w:tabs>
              <w:spacing w:after="0" w:line="200" w:lineRule="exact"/>
              <w:jc w:val="center"/>
              <w:rPr>
                <w:rFonts w:ascii="宋体" w:hAnsi="宋体" w:cs="宋体"/>
                <w:color w:val="000000"/>
                <w:sz w:val="18"/>
                <w:szCs w:val="18"/>
              </w:rPr>
            </w:pPr>
            <w:r>
              <w:rPr>
                <w:rFonts w:hint="eastAsia" w:ascii="宋体" w:hAnsi="宋体" w:cs="宋体"/>
                <w:color w:val="000000"/>
                <w:sz w:val="18"/>
                <w:szCs w:val="18"/>
              </w:rPr>
              <w:t>1402.42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基本支出结余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28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05"/>
              </w:tabs>
              <w:spacing w:after="0" w:line="200" w:lineRule="exact"/>
              <w:jc w:val="center"/>
              <w:rPr>
                <w:rFonts w:ascii="宋体" w:hAnsi="宋体" w:cs="宋体"/>
                <w:color w:val="000000"/>
                <w:sz w:val="18"/>
                <w:szCs w:val="18"/>
              </w:rPr>
            </w:pPr>
            <w:r>
              <w:rPr>
                <w:rFonts w:hint="eastAsia" w:ascii="宋体" w:hAnsi="宋体" w:cs="宋体"/>
                <w:color w:val="000000"/>
                <w:sz w:val="18"/>
                <w:szCs w:val="18"/>
              </w:rPr>
              <w:t>111.88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59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项目支出结转和结余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29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05"/>
              </w:tabs>
              <w:spacing w:after="0" w:line="200" w:lineRule="exact"/>
              <w:jc w:val="center"/>
              <w:rPr>
                <w:rFonts w:ascii="宋体" w:hAnsi="宋体" w:cs="宋体"/>
                <w:color w:val="000000"/>
                <w:sz w:val="18"/>
                <w:szCs w:val="18"/>
              </w:rPr>
            </w:pPr>
            <w:r>
              <w:rPr>
                <w:rFonts w:hint="eastAsia" w:ascii="宋体" w:hAnsi="宋体" w:cs="宋体"/>
                <w:color w:val="000000"/>
                <w:sz w:val="18"/>
                <w:szCs w:val="18"/>
              </w:rPr>
              <w:t>1290.54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60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经营结余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30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kern w:val="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61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99"/>
              </w:tabs>
              <w:spacing w:after="0" w:line="200" w:lineRule="exact"/>
              <w:jc w:val="center"/>
              <w:rPr>
                <w:rFonts w:ascii="宋体" w:hAnsi="宋体" w:cs="宋体"/>
                <w:color w:val="000000"/>
                <w:sz w:val="18"/>
                <w:szCs w:val="18"/>
              </w:rPr>
            </w:pPr>
            <w:r>
              <w:rPr>
                <w:rFonts w:hint="eastAsia" w:ascii="宋体" w:hAnsi="宋体" w:cs="宋体"/>
                <w:color w:val="000000"/>
                <w:sz w:val="18"/>
                <w:szCs w:val="18"/>
              </w:rPr>
              <w:t>11981.69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62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10034.47</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1191" w:right="1474" w:bottom="1191"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243"/>
        <w:gridCol w:w="572"/>
        <w:gridCol w:w="441"/>
        <w:gridCol w:w="375"/>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w:pict>
                <v:group id="_x0000_s1107" o:spid="_x0000_s1107" o:spt="203" style="position:absolute;left:0pt;margin-left:-82.75pt;margin-top:-81.1pt;height:41.2pt;width:243.2pt;mso-position-vertical-relative:page;z-index:251673600;mso-width-relative:page;mso-height-relative:page;" coordorigin="4551,52615" coordsize="8546,1398203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v:rect id="矩形 13" o:spid="_x0000_s1109"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8"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部门：鹿泉区民政局</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036"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1013"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712"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036"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13"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12"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10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101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567" w:hRule="exac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1036"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b/>
                <w:color w:val="000000"/>
                <w:sz w:val="18"/>
                <w:szCs w:val="18"/>
              </w:rPr>
            </w:pPr>
            <w:r>
              <w:rPr>
                <w:rFonts w:hint="eastAsia" w:ascii="宋体" w:hAnsi="宋体" w:cs="宋体"/>
                <w:color w:val="000000"/>
                <w:kern w:val="0"/>
                <w:sz w:val="24"/>
              </w:rPr>
              <w:t>10579.27</w:t>
            </w:r>
          </w:p>
        </w:tc>
        <w:tc>
          <w:tcPr>
            <w:tcW w:w="1013"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b/>
                <w:color w:val="000000"/>
                <w:sz w:val="18"/>
                <w:szCs w:val="18"/>
              </w:rPr>
            </w:pPr>
            <w:r>
              <w:rPr>
                <w:rFonts w:hint="eastAsia" w:ascii="宋体" w:hAnsi="宋体" w:cs="宋体"/>
                <w:color w:val="000000"/>
                <w:kern w:val="0"/>
                <w:sz w:val="24"/>
              </w:rPr>
              <w:t>10579.27</w:t>
            </w:r>
          </w:p>
        </w:tc>
        <w:tc>
          <w:tcPr>
            <w:tcW w:w="712"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b/>
                <w:color w:val="000000"/>
                <w:sz w:val="18"/>
                <w:szCs w:val="18"/>
              </w:rPr>
            </w:pPr>
            <w:r>
              <w:rPr>
                <w:rFonts w:hint="eastAsia" w:ascii="宋体" w:hAnsi="宋体" w:cs="宋体"/>
                <w:color w:val="000000"/>
                <w:kern w:val="0"/>
                <w:sz w:val="24"/>
              </w:rPr>
              <w:t>0.00</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b/>
                <w:color w:val="000000"/>
                <w:sz w:val="18"/>
                <w:szCs w:val="18"/>
              </w:rPr>
            </w:pPr>
            <w:r>
              <w:rPr>
                <w:rFonts w:hint="eastAsia" w:ascii="宋体" w:hAnsi="宋体" w:cs="宋体"/>
                <w:color w:val="000000"/>
                <w:kern w:val="0"/>
                <w:sz w:val="24"/>
              </w:rPr>
              <w:t>0.00</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b/>
                <w:color w:val="000000"/>
                <w:sz w:val="18"/>
                <w:szCs w:val="18"/>
              </w:rPr>
            </w:pPr>
            <w:r>
              <w:rPr>
                <w:rFonts w:hint="eastAsia" w:ascii="宋体" w:hAnsi="宋体" w:cs="宋体"/>
                <w:color w:val="000000"/>
                <w:kern w:val="0"/>
                <w:sz w:val="24"/>
              </w:rPr>
              <w:t>0.00</w:t>
            </w: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b/>
                <w:color w:val="000000"/>
                <w:sz w:val="18"/>
                <w:szCs w:val="18"/>
              </w:rPr>
            </w:pPr>
            <w:r>
              <w:rPr>
                <w:rFonts w:hint="eastAsia" w:ascii="宋体" w:hAnsi="宋体" w:cs="宋体"/>
                <w:color w:val="000000"/>
                <w:kern w:val="0"/>
                <w:sz w:val="24"/>
              </w:rPr>
              <w:t>0.00</w:t>
            </w: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b/>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一般公共服务支出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3.67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3.67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人大事务</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3.67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3.67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行政运行</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3.67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3.67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社会保障和就业支出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9538.76</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9538.76</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人力资源和社会保障管理事务</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202.41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202.41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行政运行</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137.41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137.41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一般行政管理事务</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65.00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65.00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民政管理事务</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1608.31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1608.31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行政运行</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1215.91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1215.91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一般行政管理事务</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286.53</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286.53</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拥军优属</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19.78</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19.78</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老龄事务</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1.21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1.21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其他民政管理事务支出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84.89</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84.89</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行政事业单位离退休</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78.58</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78.58</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机关事业单位基本养老保险缴费支出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78.58</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78.58</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抚恤</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2845.26</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2845.26</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死亡抚恤</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129.00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129.00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伤残抚恤</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363.00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363.00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在乡复员、退伍军人生活补助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1106.10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1106.10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优抚事业单位支出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10.00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10.00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义务兵优待</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1058.15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1058.15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其他优抚支出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179.01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179.01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退役安置</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1131.17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1131.17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退役士兵安置</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580.80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580.80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军队移交政府的离退休人员安置</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387.64</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387.64</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军队移交政府离退休干部管理机构</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83.55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83.55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退役士兵管理教育</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79.18</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79.18</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社会福利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1319.21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1319.21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儿童福利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24.58</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24.58</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老年福利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1208.76</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1208.76</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社会福利事业单位</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85.87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85.87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残疾人事业</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131.35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131.35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2081107</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残疾人生活和护理补贴</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59.00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59.00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其他残疾人事业支出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72.35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72.35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自然灾害生活救助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地方自然灾害生活补助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最低生活保障</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394.00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394.00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城市最低生活保障金支出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313.00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313.00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农村最低生活保障金支出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81.00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81.00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临时救助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临时救助支出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10.00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10.00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流浪乞讨人员救助支出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特困人员救助供养</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895.47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895.47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城市特困人员救助供养支出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109.39</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109.39</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农村特困人员救助供养支出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786.08</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786.08</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其他生活救助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514.00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514.00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2082501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其他城市生活救助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514.00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514.00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其他社会保障和就业支出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379.00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379.00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其他社会保障和就业支出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379.00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379.00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医疗卫生与计划生育支出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393.27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393.27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行政事业单位医疗</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58.54</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58.54</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行政单位医疗</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58.54</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58.54</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医疗救助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240.00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240.00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2101301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城乡医疗救助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240.00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240.00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优抚对象医疗</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94.73</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94.73</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2101401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优抚对象医疗补助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94.73</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94.73</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农林水支出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扶贫</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2130506</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社会发展</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2130507</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扶贫贷款奖补和贴息</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50.00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50.00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其他扶贫支出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190.00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190.00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住房保障支出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47.15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47.15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住房改革支出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47.15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47.15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住房公积金</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47.15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47.15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其他支出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341.43</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341.43</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22960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彩票公益金及对应专项债务收入安排的支出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340.31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340.31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2296002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用于社会福利的彩票公益金支出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333.31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333.31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2296013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用于城乡医疗救助的彩票公益金支出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其他支出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2299901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74" w:type="dxa"/>
        <w:tblInd w:w="0" w:type="dxa"/>
        <w:tblLayout w:type="fixed"/>
        <w:tblCellMar>
          <w:top w:w="0" w:type="dxa"/>
          <w:left w:w="0" w:type="dxa"/>
          <w:bottom w:w="0" w:type="dxa"/>
          <w:right w:w="0" w:type="dxa"/>
        </w:tblCellMar>
      </w:tblPr>
      <w:tblGrid>
        <w:gridCol w:w="346"/>
        <w:gridCol w:w="347"/>
        <w:gridCol w:w="347"/>
        <w:gridCol w:w="2120"/>
        <w:gridCol w:w="769"/>
        <w:gridCol w:w="300"/>
        <w:gridCol w:w="435"/>
        <w:gridCol w:w="435"/>
        <w:gridCol w:w="435"/>
        <w:gridCol w:w="435"/>
        <w:gridCol w:w="383"/>
        <w:gridCol w:w="333"/>
        <w:gridCol w:w="605"/>
        <w:gridCol w:w="1584"/>
      </w:tblGrid>
      <w:tr>
        <w:tblPrEx>
          <w:tblCellMar>
            <w:top w:w="0" w:type="dxa"/>
            <w:left w:w="0" w:type="dxa"/>
            <w:bottom w:w="0" w:type="dxa"/>
            <w:right w:w="0" w:type="dxa"/>
          </w:tblCellMar>
        </w:tblPrEx>
        <w:trPr>
          <w:trHeight w:val="798" w:hRule="atLeast"/>
        </w:trPr>
        <w:tc>
          <w:tcPr>
            <w:tcW w:w="8874" w:type="dxa"/>
            <w:gridSpan w:val="1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w:pict>
                <v:group id="_x0000_s1104" o:spid="_x0000_s1104" o:spt="203" style="position:absolute;left:0pt;margin-left:-80.9pt;margin-top:-81.1pt;height:41.2pt;width:243.2pt;mso-position-vertical-relative:page;z-index:251674624;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v:rect id="矩形 13" o:spid="_x0000_s1106" o:spt="1" style="position:absolute;left:4551;top:52615;height:1175;width:8546;v-text-anchor:middle;" fillcolor="#D9D9D9"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5"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表</w:t>
            </w:r>
          </w:p>
        </w:tc>
      </w:tr>
      <w:tr>
        <w:tblPrEx>
          <w:tblCellMar>
            <w:top w:w="0" w:type="dxa"/>
            <w:left w:w="0" w:type="dxa"/>
            <w:bottom w:w="0" w:type="dxa"/>
            <w:right w:w="0" w:type="dxa"/>
          </w:tblCellMar>
        </w:tblPrEx>
        <w:trPr>
          <w:trHeight w:val="404" w:hRule="atLeast"/>
        </w:trPr>
        <w:tc>
          <w:tcPr>
            <w:tcW w:w="34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6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7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58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929"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部门：鹿泉区民政局</w:t>
            </w:r>
          </w:p>
        </w:tc>
        <w:tc>
          <w:tcPr>
            <w:tcW w:w="7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7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522"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316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69"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87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87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716"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605"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5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69"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16"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05"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5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316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7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87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71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6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567" w:hRule="exact"/>
        </w:trPr>
        <w:tc>
          <w:tcPr>
            <w:tcW w:w="316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b/>
                <w:color w:val="000000"/>
                <w:szCs w:val="21"/>
              </w:rPr>
            </w:pPr>
            <w:r>
              <w:rPr>
                <w:rFonts w:hint="eastAsia" w:ascii="宋体" w:hAnsi="宋体" w:cs="宋体"/>
                <w:color w:val="000000"/>
                <w:kern w:val="0"/>
                <w:sz w:val="24"/>
              </w:rPr>
              <w:t>10034.47</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b/>
                <w:color w:val="000000"/>
                <w:szCs w:val="21"/>
              </w:rPr>
            </w:pPr>
            <w:r>
              <w:rPr>
                <w:rFonts w:hint="eastAsia" w:ascii="宋体" w:hAnsi="宋体" w:cs="宋体"/>
                <w:color w:val="000000"/>
                <w:kern w:val="0"/>
                <w:sz w:val="24"/>
              </w:rPr>
              <w:t>1600.76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b/>
                <w:color w:val="000000"/>
                <w:szCs w:val="21"/>
              </w:rPr>
            </w:pPr>
            <w:r>
              <w:rPr>
                <w:rFonts w:hint="eastAsia" w:ascii="宋体" w:hAnsi="宋体" w:cs="宋体"/>
                <w:color w:val="000000"/>
                <w:kern w:val="0"/>
                <w:sz w:val="24"/>
              </w:rPr>
              <w:t>8433.71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b/>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b/>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b/>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一般公共服务支出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人大事务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2010101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行政运行</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社会保障和就业支出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9151.49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1501.73</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7649.76</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人力资源和社会保障管理事务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201.63</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136.64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64.99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行政运行</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136.64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136.64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一般行政管理事务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64.99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64.99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民政管理事务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1714.09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1289.94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424.15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行政运行</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1289.94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1289.94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一般行政管理事务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275.60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275.60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2080204</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拥军优属</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19.78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19.78</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老龄事务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1.21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1.21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2080207</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行政区划和地名管理</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35.98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35.98</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2080299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其他民政管理事务支出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91.59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91.59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行政事业单位离退休</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机关事业单位基本养老保险缴费支出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抚恤</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2768.04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2768.04</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死亡抚恤</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106.44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106.44</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伤残抚恤</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349.00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349.00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2080803</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在乡复员、退伍军人生活补助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1040.00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1040.00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2080804</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优抚事业单位支出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义务兵优待</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1073.58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1073.58</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2080899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其他优抚支出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169.02</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169.02</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退役安置</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1076.43</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1076.43</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退役士兵安置</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597.47</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597.47</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军队移交政府的离退休人员安置</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365.44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365.44</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2080903</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军队移交政府离退休干部管理机构</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71.91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71.91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2080904</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退役士兵管理教育</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41.61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41.61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社会福利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1183.06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1183.06</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儿童福利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24.58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24.58</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老年福利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1037.01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1037.01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2081004</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殡葬</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40.06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40.06</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社会福利事业单位</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81.41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81.41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残疾人事业</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131.35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131.35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2081107</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残疾人生活和护理补贴</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59.00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59.00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2081199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其他残疾人事业支出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72.35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72.35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自然灾害生活救助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187.69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187.69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中央自然灾害生活补助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172.80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172.80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地方自然灾害生活补助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14.89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14.89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最低生活保障</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394.00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394.00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城市最低生活保障金支出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313.00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313.00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农村最低生活保障金支出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81.00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81.00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临时救助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24.91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24.91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临时救助支出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8.10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8.10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流浪乞讨人员救助支出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16.81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16.81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特困人员救助供养</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613.47</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613.47</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城市特困人员救助供养支出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109.39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109.39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农村特困人员救助供养支出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504.08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504.08</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其他生活救助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2082501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其他城市生活救助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其他社会保障和就业支出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其他社会保障和就业支出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医疗卫生与计划生育支出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341.59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291.75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行政事业单位医疗</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行政单位医疗</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21013</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医疗救助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2101301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城乡医疗救助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21014</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优抚对象医疗</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2101401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优抚对象医疗补助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农林水支出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扶贫</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2130506</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社会发展</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2130507</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扶贫贷款奖补和贴息</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2130599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其他扶贫支出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住房保障支出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住房改革支出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住房公积金</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其他支出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237.21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237.21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22960</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彩票公益金及对应专项债务收入安排的支出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2296002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用于社会福利的彩票公益金支出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22999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其他支出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2299901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748" w:hRule="atLeast"/>
        </w:trPr>
        <w:tc>
          <w:tcPr>
            <w:tcW w:w="8874" w:type="dxa"/>
            <w:gridSpan w:val="1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392" w:type="dxa"/>
        <w:tblInd w:w="0" w:type="dxa"/>
        <w:tblLayout w:type="fixed"/>
        <w:tblCellMar>
          <w:top w:w="0" w:type="dxa"/>
          <w:left w:w="0" w:type="dxa"/>
          <w:bottom w:w="0" w:type="dxa"/>
          <w:right w:w="0" w:type="dxa"/>
        </w:tblCellMar>
      </w:tblPr>
      <w:tblGrid>
        <w:gridCol w:w="1717"/>
        <w:gridCol w:w="745"/>
        <w:gridCol w:w="325"/>
        <w:gridCol w:w="1088"/>
        <w:gridCol w:w="1886"/>
        <w:gridCol w:w="191"/>
        <w:gridCol w:w="360"/>
        <w:gridCol w:w="650"/>
        <w:gridCol w:w="419"/>
        <w:gridCol w:w="406"/>
        <w:gridCol w:w="761"/>
        <w:gridCol w:w="844"/>
      </w:tblGrid>
      <w:tr>
        <w:tblPrEx>
          <w:tblCellMar>
            <w:top w:w="0" w:type="dxa"/>
            <w:left w:w="0" w:type="dxa"/>
            <w:bottom w:w="0" w:type="dxa"/>
            <w:right w:w="0" w:type="dxa"/>
          </w:tblCellMar>
        </w:tblPrEx>
        <w:trPr>
          <w:trHeight w:val="152" w:hRule="atLeast"/>
        </w:trPr>
        <w:tc>
          <w:tcPr>
            <w:tcW w:w="9392"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w:pict>
                <v:group id="_x0000_s1101" o:spid="_x0000_s1101" o:spt="203" style="position:absolute;left:0pt;margin-left:-80.9pt;margin-top:-81.1pt;height:41.2pt;width:243.2pt;mso-position-vertical-relative:page;z-index:251675648;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v:rect id="矩形 13" o:spid="_x0000_s1103" o:spt="1" style="position:absolute;left:4551;top:52615;height:1175;width:8546;v-text-anchor:middle;" fillcolor="#D9D9D9"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2"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6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部门：鹿泉区民政局</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430"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605"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0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11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10238.96</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1.44</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340.31</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9151.49</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9151.49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341.59</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341.59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255.00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255.00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47.74</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47.74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237.21</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1.12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236.09</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10579.27</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10034.47</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9798.38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236.09</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1402.42</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1947.22</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1401.79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545.42</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961.22</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22"/>
                <w:szCs w:val="22"/>
              </w:rPr>
              <w:t xml:space="preserve">    基本支出结转</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52.38</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52.38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441.20</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22"/>
                <w:szCs w:val="22"/>
              </w:rPr>
              <w:t xml:space="preserve">    项目支出结转和结余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1894.84</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1349.42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545.42</w:t>
            </w:r>
          </w:p>
        </w:tc>
      </w:tr>
      <w:tr>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11981.69</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11981.69</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11200.18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24"/>
              </w:rPr>
              <w:t>781.51</w:t>
            </w:r>
          </w:p>
        </w:tc>
      </w:tr>
      <w:tr>
        <w:tblPrEx>
          <w:tblCellMar>
            <w:top w:w="0" w:type="dxa"/>
            <w:left w:w="0" w:type="dxa"/>
            <w:bottom w:w="0" w:type="dxa"/>
            <w:right w:w="0" w:type="dxa"/>
          </w:tblCellMar>
        </w:tblPrEx>
        <w:trPr>
          <w:trHeight w:val="155" w:hRule="atLeast"/>
        </w:trPr>
        <w:tc>
          <w:tcPr>
            <w:tcW w:w="9392"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134" w:bottom="1984" w:left="1134"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w:pict>
                <v:group id="_x0000_s1098" o:spid="_x0000_s1098" o:spt="203" style="position:absolute;left:0pt;margin-left:-80.9pt;margin-top:-81.1pt;height:41.2pt;width:243.2pt;mso-position-vertical-relative:page;z-index:251676672;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v:rect id="矩形 13" o:spid="_x0000_s1100" o:spt="1" style="position:absolute;left:4551;top:52615;height:1175;width:8546;v-text-anchor:middle;" fillcolor="#D9D9D9"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9"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鹿泉区民政局</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510" w:hRule="exac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b/>
                <w:color w:val="000000"/>
                <w:szCs w:val="21"/>
              </w:rPr>
            </w:pPr>
            <w:r>
              <w:rPr>
                <w:rFonts w:hint="eastAsia" w:ascii="宋体" w:hAnsi="宋体" w:cs="宋体"/>
                <w:color w:val="000000"/>
                <w:kern w:val="0"/>
                <w:sz w:val="24"/>
              </w:rPr>
              <w:t>9798.38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b/>
                <w:color w:val="000000"/>
                <w:szCs w:val="21"/>
              </w:rPr>
            </w:pPr>
            <w:r>
              <w:rPr>
                <w:rFonts w:hint="eastAsia" w:ascii="宋体" w:hAnsi="宋体" w:cs="宋体"/>
                <w:color w:val="000000"/>
                <w:kern w:val="0"/>
                <w:sz w:val="24"/>
              </w:rPr>
              <w:t>1600.76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b/>
                <w:color w:val="000000"/>
                <w:szCs w:val="21"/>
              </w:rPr>
            </w:pPr>
            <w:r>
              <w:rPr>
                <w:rFonts w:hint="eastAsia" w:ascii="宋体" w:hAnsi="宋体" w:cs="宋体"/>
                <w:color w:val="000000"/>
                <w:kern w:val="0"/>
                <w:sz w:val="24"/>
              </w:rPr>
              <w:t>8197.63</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人大事务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公共安全支出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20401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武装警察</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2040199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其他武装警察支出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9151.49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1501.73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7649.76</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人力资源和社会保障管理事务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201.63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136.64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64.99</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136.64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136.64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一般行政管理事务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64.99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64.99</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民政管理事务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1714.09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1289.94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424.15</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1289.94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1289.94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一般行政管理事务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275.60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275.60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拥军优属</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19.78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19.78</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老龄事务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1.21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1.21</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行政区划和地名管理</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35.98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35.98</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其他民政管理事务支出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91.59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91.59</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2768.04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2768.04</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死亡抚恤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106.44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106.44</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伤残抚恤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349.00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349.00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在乡复员、退伍军人生活补助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1040.00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1040.00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优抚事业单位支出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义务兵优待</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1073.58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1073.58</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其他优抚支出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169.02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169.02</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退役安置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1076.43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1076.43</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退役士兵安置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597.47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597.47</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军队移交政府的离退休人员安置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365.44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365.44</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军队移交政府离退休干部管理机构</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71.91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71.91</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退役士兵管理教育</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41.61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41.61</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社会福利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1183.06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1183.06</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儿童福利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24.58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24.58</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老年福利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1037.01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1037.01</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殡葬</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40.06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40.06</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社会福利事业单位</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81.41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81.41</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残疾人事业</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131.35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131.35</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残疾人生活和护理补贴</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59.00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59.00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其他残疾人事业支出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72.35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72.35</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自然灾害生活救助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187.69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187.69</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中央自然灾害生活补助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172.80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172.80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地方自然灾害生活补助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14.89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14.89</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最低生活保障</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394.00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394.00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城市最低生活保障金支出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313.00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313.00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农村最低生活保障金支出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81.00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81.00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临时救助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24.91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24.91</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临时救助支出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8.10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8.10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6"/>
                <w:szCs w:val="16"/>
              </w:rPr>
              <w:t xml:space="preserve">  流浪乞讨人员救助支出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16.81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16.81</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特困人员救助供养</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613.47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613.47</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城市特困人员救助供养支出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109.39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109.39</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农村特困人员救助供养支出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504.08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504.08</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其他生活救助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2082501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6"/>
                <w:szCs w:val="16"/>
              </w:rPr>
              <w:t xml:space="preserve">  其他城市生活救助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6"/>
                <w:szCs w:val="16"/>
              </w:rPr>
              <w:t>其他社会保障和就业支出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6"/>
                <w:szCs w:val="16"/>
              </w:rPr>
              <w:t xml:space="preserve">  其他社会保障和就业支出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6"/>
                <w:szCs w:val="16"/>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341.59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291.75</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6"/>
                <w:szCs w:val="16"/>
              </w:rPr>
              <w:t>行政事业单位医疗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6"/>
                <w:szCs w:val="16"/>
              </w:rPr>
              <w:t xml:space="preserve">  行政单位医疗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医疗救助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6"/>
                <w:szCs w:val="16"/>
              </w:rPr>
              <w:t xml:space="preserve">  城乡医疗救助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优抚对象医疗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2101401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6"/>
                <w:szCs w:val="16"/>
              </w:rPr>
              <w:t xml:space="preserve">  优抚对象医疗补助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农林水支出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扶贫</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社会发展</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扶贫贷款奖补和贴息</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50.00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其他扶贫支出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190.00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住房保障支出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住房改革支出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住房公积金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r>
      <w:tr>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2299901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部门：鹿泉区民政局</w:t>
            </w:r>
            <w:r>
              <w:rPr>
                <w:sz w:val="44"/>
              </w:rPr>
              <w:pict>
                <v:group id="_x0000_s1095" o:spid="_x0000_s1095" o:spt="203" style="position:absolute;left:0pt;margin-left:-73.25pt;margin-top:-129.4pt;height:41.2pt;width:243.2pt;mso-position-vertical-relative:page;z-index:251677696;mso-width-relative:page;mso-height-relative:page;" coordorigin="4551,52615" coordsize="8546,1398203203"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v:rect id="矩形 13" o:spid="_x0000_s1097" o:spt="1" style="position:absolute;left:4551;top:52615;height:1175;width:8546;v-text-anchor:middle;" fillcolor="#D9D9D9"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9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699.13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265.03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171.55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107.9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246.93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16.26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75.16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80.73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2.83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49.85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36.95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47.74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116.43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636.6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10.29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626.31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10.31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1335.73</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40"/>
              </w:tabs>
              <w:snapToGrid w:val="0"/>
              <w:spacing w:after="0" w:line="240" w:lineRule="auto"/>
              <w:jc w:val="left"/>
              <w:rPr>
                <w:rFonts w:ascii="宋体" w:hAnsi="宋体" w:cs="宋体"/>
                <w:color w:val="000000"/>
                <w:sz w:val="16"/>
                <w:szCs w:val="16"/>
              </w:rPr>
            </w:pPr>
            <w:r>
              <w:rPr>
                <w:rFonts w:hint="eastAsia" w:ascii="宋体" w:hAnsi="宋体" w:cs="宋体"/>
                <w:color w:val="000000"/>
                <w:sz w:val="16"/>
                <w:szCs w:val="16"/>
              </w:rPr>
              <w:tab/>
            </w:r>
            <w:r>
              <w:rPr>
                <w:rFonts w:hint="eastAsia" w:ascii="宋体" w:hAnsi="宋体" w:cs="宋体"/>
                <w:color w:val="000000"/>
                <w:sz w:val="16"/>
                <w:szCs w:val="16"/>
              </w:rPr>
              <w:t>265.03</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w:pict>
                <v:group id="_x0000_s1092" o:spid="_x0000_s1092" o:spt="203" style="position:absolute;left:0pt;margin-left:-82.75pt;margin-top:-81.1pt;height:41.2pt;width:243.2pt;mso-position-vertical-relative:page;z-index:251678720;mso-width-relative:page;mso-height-relative:page;" coordorigin="4551,52615" coordsize="8546,1398203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v:rect id="矩形 13" o:spid="_x0000_s1094" o:spt="1" style="position:absolute;left:4551;top:52615;height:1175;width:8546;v-text-anchor:middle;" fillcolor="#D9D9D9"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3"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2"/>
                <w:szCs w:val="22"/>
              </w:rPr>
              <w:t>鹿泉区民政局</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center"/>
              <w:textAlignment w:val="bottom"/>
              <w:rPr>
                <w:rFonts w:ascii="宋体" w:hAnsi="宋体" w:cs="宋体"/>
                <w:color w:val="000000"/>
                <w:szCs w:val="21"/>
              </w:rPr>
            </w:pPr>
            <w:r>
              <w:rPr>
                <w:rFonts w:hint="eastAsia" w:ascii="宋体" w:hAnsi="宋体" w:cs="宋体"/>
                <w:color w:val="000000"/>
                <w:szCs w:val="21"/>
              </w:rPr>
              <w:t>13.5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13.5</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13.5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10.31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10.31</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10.31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w:pict>
                <v:group id="_x0000_s1089" o:spid="_x0000_s1089" o:spt="203" style="position:absolute;left:0pt;margin-left:-80.9pt;margin-top:-81.1pt;height:41.2pt;width:243.2pt;mso-position-vertical-relative:page;z-index:251679744;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v:rect id="矩形 13" o:spid="_x0000_s1091" o:spt="1" style="position:absolute;left:4551;top:52615;height:1175;width:8546;v-text-anchor:middle;" fillcolor="#D9D9D9"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0"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36"/>
                <w:szCs w:val="36"/>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2"/>
                <w:szCs w:val="22"/>
              </w:rPr>
              <w:t>鹿泉区民政局</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649"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b/>
                <w:color w:val="000000"/>
                <w:szCs w:val="21"/>
              </w:rPr>
            </w:pPr>
            <w:r>
              <w:rPr>
                <w:rFonts w:hint="eastAsia" w:ascii="宋体" w:hAnsi="宋体" w:cs="宋体"/>
                <w:color w:val="000000"/>
                <w:kern w:val="0"/>
                <w:sz w:val="24"/>
              </w:rPr>
              <w:t>441.20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b/>
                <w:color w:val="000000"/>
                <w:szCs w:val="21"/>
              </w:rPr>
            </w:pPr>
            <w:r>
              <w:rPr>
                <w:rFonts w:hint="eastAsia" w:ascii="宋体" w:hAnsi="宋体" w:cs="宋体"/>
                <w:color w:val="000000"/>
                <w:kern w:val="0"/>
                <w:sz w:val="24"/>
              </w:rPr>
              <w:t>340.31</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b/>
                <w:color w:val="000000"/>
                <w:szCs w:val="21"/>
              </w:rPr>
            </w:pPr>
            <w:r>
              <w:rPr>
                <w:rFonts w:hint="eastAsia" w:ascii="宋体" w:hAnsi="宋体" w:cs="宋体"/>
                <w:color w:val="000000"/>
                <w:kern w:val="0"/>
                <w:sz w:val="24"/>
              </w:rPr>
              <w:t>236.09</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b/>
                <w:color w:val="000000"/>
                <w:szCs w:val="21"/>
              </w:rPr>
            </w:pPr>
            <w:r>
              <w:rPr>
                <w:rFonts w:hint="eastAsia" w:ascii="宋体" w:hAnsi="宋体" w:cs="宋体"/>
                <w:color w:val="000000"/>
                <w:kern w:val="0"/>
                <w:sz w:val="24"/>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b/>
                <w:color w:val="000000"/>
                <w:szCs w:val="21"/>
              </w:rPr>
            </w:pPr>
            <w:r>
              <w:rPr>
                <w:rFonts w:hint="eastAsia" w:ascii="宋体" w:hAnsi="宋体" w:cs="宋体"/>
                <w:color w:val="000000"/>
                <w:kern w:val="0"/>
                <w:sz w:val="24"/>
              </w:rPr>
              <w:t>236.09</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b/>
                <w:color w:val="000000"/>
                <w:szCs w:val="21"/>
              </w:rPr>
            </w:pPr>
            <w:r>
              <w:rPr>
                <w:rFonts w:hint="eastAsia" w:ascii="宋体" w:hAnsi="宋体" w:cs="宋体"/>
                <w:color w:val="000000"/>
                <w:kern w:val="0"/>
                <w:sz w:val="24"/>
              </w:rPr>
              <w:t>545.42</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 w:val="22"/>
                <w:szCs w:val="22"/>
              </w:rPr>
              <w:t>229</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 w:val="22"/>
                <w:szCs w:val="22"/>
              </w:rPr>
              <w:t>其他支出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441.20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340.31</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545.42</w:t>
            </w:r>
          </w:p>
        </w:tc>
      </w:tr>
      <w:tr>
        <w:tblPrEx>
          <w:tblCellMar>
            <w:top w:w="0" w:type="dxa"/>
            <w:left w:w="0" w:type="dxa"/>
            <w:bottom w:w="0" w:type="dxa"/>
            <w:right w:w="0" w:type="dxa"/>
          </w:tblCellMar>
        </w:tblPrEx>
        <w:trPr>
          <w:trHeight w:val="1621"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 w:val="22"/>
                <w:szCs w:val="22"/>
              </w:rPr>
              <w:t>22960</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 w:val="18"/>
                <w:szCs w:val="18"/>
              </w:rPr>
              <w:t>彩票公益金及对应专项债务收入安排的支出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441.20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340.31</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545.42</w:t>
            </w:r>
          </w:p>
        </w:tc>
      </w:tr>
      <w:tr>
        <w:tblPrEx>
          <w:tblCellMar>
            <w:top w:w="0" w:type="dxa"/>
            <w:left w:w="0" w:type="dxa"/>
            <w:bottom w:w="0" w:type="dxa"/>
            <w:right w:w="0" w:type="dxa"/>
          </w:tblCellMar>
        </w:tblPrEx>
        <w:trPr>
          <w:trHeight w:val="193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 w:val="22"/>
                <w:szCs w:val="22"/>
              </w:rPr>
              <w:t>2296002</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 w:val="18"/>
                <w:szCs w:val="18"/>
              </w:rPr>
              <w:t>用于社会福利的彩票公益金支出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441.20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333.31</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538.42</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 w:val="22"/>
                <w:szCs w:val="22"/>
              </w:rPr>
              <w:t>2296013</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 w:val="18"/>
                <w:szCs w:val="18"/>
              </w:rPr>
              <w:t>用于城乡医疗救助的彩票公益金支出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7.00</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7.00</w:t>
            </w: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1984" w:right="1474" w:bottom="1984" w:left="1588" w:header="851" w:footer="992" w:gutter="0"/>
          <w:cols w:space="0" w:num="1"/>
          <w:docGrid w:type="lines" w:linePitch="312" w:charSpace="0"/>
        </w:sectPr>
      </w:pPr>
    </w:p>
    <w:tbl>
      <w:tblPr>
        <w:tblStyle w:val="13"/>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w:pict>
                <v:group id="_x0000_s1086" o:spid="_x0000_s1086" o:spt="203" style="position:absolute;left:0pt;margin-left:-80.9pt;margin-top:-81.1pt;height:41.2pt;width:243.2pt;mso-position-vertical-relative:page;z-index:251680768;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v:rect id="矩形 13" o:spid="_x0000_s1088" o:spt="1" style="position:absolute;left:4551;top:52615;height:1175;width:8546;v-text-anchor:middle;" fillcolor="#D9D9D9"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7"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编制单位：鹿泉区民政局</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2"/>
                <w:szCs w:val="22"/>
              </w:rPr>
            </w:pPr>
            <w:r>
              <w:rPr>
                <w:rFonts w:hint="eastAsia" w:ascii="宋体" w:hAnsi="宋体" w:cs="宋体"/>
                <w:color w:val="000000"/>
                <w:sz w:val="22"/>
                <w:szCs w:val="22"/>
              </w:rPr>
              <w:t>0.00</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2"/>
                <w:szCs w:val="22"/>
              </w:rPr>
            </w:pPr>
            <w:r>
              <w:rPr>
                <w:rFonts w:hint="eastAsia" w:ascii="宋体" w:hAnsi="宋体" w:cs="宋体"/>
                <w:color w:val="000000"/>
                <w:sz w:val="22"/>
                <w:szCs w:val="22"/>
              </w:rPr>
              <w:t>0.00</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rPr>
                <w:rFonts w:ascii="宋体" w:hAnsi="宋体" w:cs="宋体"/>
                <w:color w:val="000000"/>
                <w:sz w:val="22"/>
                <w:szCs w:val="22"/>
              </w:rPr>
            </w:pPr>
            <w:r>
              <w:rPr>
                <w:rFonts w:hint="eastAsia" w:ascii="宋体" w:hAnsi="宋体" w:cs="宋体"/>
                <w:color w:val="000000"/>
                <w:sz w:val="22"/>
                <w:szCs w:val="22"/>
              </w:rPr>
              <w:t>0.00</w:t>
            </w: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jc w:val="center"/>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jc w:val="center"/>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w:pict>
                <v:group id="_x0000_s1083" o:spid="_x0000_s1083" o:spt="203" style="position:absolute;left:0pt;margin-left:-80.9pt;margin-top:-81.1pt;height:41.2pt;width:243.2pt;mso-position-vertical-relative:page;z-index:251681792;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v:rect id="矩形 13" o:spid="_x0000_s1085" o:spt="1" style="position:absolute;left:4551;top:52615;height:1175;width:8546;v-text-anchor:middle;" fillcolor="#D9D9D9"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4"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情况表</w:t>
            </w:r>
          </w:p>
        </w:tc>
      </w:tr>
      <w:tr>
        <w:tblPrEx>
          <w:tblCellMar>
            <w:top w:w="0" w:type="dxa"/>
            <w:left w:w="0" w:type="dxa"/>
            <w:bottom w:w="0" w:type="dxa"/>
            <w:right w:w="0" w:type="dxa"/>
          </w:tblCellMar>
        </w:tblPrEx>
        <w:trPr>
          <w:trHeight w:val="326" w:hRule="atLeast"/>
          <w:jc w:val="center"/>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jc w:val="center"/>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2"/>
                <w:szCs w:val="22"/>
              </w:rPr>
              <w:t>鹿泉区民政局</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jc w:val="center"/>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jc w:val="center"/>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jc w:val="center"/>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942.06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942.06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942.06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50"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581.02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581.02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581.02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50"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68.50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68.50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68.50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50"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292.54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292.54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292.54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09" w:hRule="atLeast"/>
          <w:jc w:val="center"/>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jc w:val="center"/>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jc w:val="center"/>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911.19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911.19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911.19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567.90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567.90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567.90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68.09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68.09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68.09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275.20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275.20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275.20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98" w:hRule="atLeast"/>
          <w:jc w:val="center"/>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pPr>
        <w:widowControl/>
        <w:spacing w:after="0" w:line="560" w:lineRule="exact"/>
        <w:jc w:val="left"/>
        <w:rPr>
          <w:rFonts w:ascii="仿宋_GB2312" w:eastAsia="仿宋_GB2312" w:hAnsiTheme="majorEastAsia"/>
          <w:b/>
          <w:sz w:val="28"/>
          <w:szCs w:val="28"/>
          <w:highlight w:val="yellow"/>
        </w:rPr>
      </w:pPr>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6336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91008;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8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年初结余和结余1402.42万元，本年度决算收入10579.27万元，本年度决算支出10034.47万元，年末结转和结余1947.22万元，与2017年度决算相比，本年度收入增加1677万元，增长18.84%主要原因是2018年成立军人服务中心，增加涉军</w:t>
      </w:r>
      <w:r>
        <w:rPr>
          <w:rFonts w:hint="eastAsia" w:ascii="仿宋_GB2312" w:eastAsia="仿宋_GB2312" w:cs="DengXian-Regular"/>
          <w:sz w:val="32"/>
          <w:szCs w:val="32"/>
          <w:lang w:eastAsia="zh-CN"/>
        </w:rPr>
        <w:t>公益性岗位</w:t>
      </w:r>
      <w:r>
        <w:rPr>
          <w:rFonts w:hint="eastAsia" w:ascii="仿宋_GB2312" w:eastAsia="仿宋_GB2312" w:cs="DengXian-Regular"/>
          <w:sz w:val="32"/>
          <w:szCs w:val="32"/>
        </w:rPr>
        <w:t>及涉军劳务派遣支出增加。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本部门2018年度本年收入合计10579.27万元，其中：一般公共预算收入10238.96万元，占96.7%；政府性基金收入340.31万元，占3.3%。如图所示：</w:t>
      </w:r>
    </w:p>
    <w:p>
      <w:pPr>
        <w:adjustRightInd w:val="0"/>
        <w:snapToGrid w:val="0"/>
        <w:spacing w:after="0" w:line="240" w:lineRule="auto"/>
        <w:ind w:firstLine="640" w:firstLineChars="200"/>
        <w:rPr>
          <w:rFonts w:ascii="仿宋_GB2312" w:eastAsia="仿宋_GB2312" w:cs="DengXian-Regular"/>
          <w:sz w:val="32"/>
          <w:szCs w:val="32"/>
        </w:rPr>
      </w:pPr>
    </w:p>
    <w:p>
      <w:pPr>
        <w:ind w:firstLine="640"/>
        <w:rPr>
          <w:rFonts w:ascii="仿宋_GB2312" w:eastAsia="仿宋_GB2312" w:cs="DengXian-Regular"/>
          <w:sz w:val="32"/>
          <w:szCs w:val="32"/>
        </w:rPr>
      </w:pPr>
      <w:r>
        <w:rPr>
          <w:rFonts w:hint="eastAsia" w:ascii="仿宋_GB2312" w:cs="仿宋"/>
          <w:sz w:val="30"/>
          <w:szCs w:val="30"/>
        </w:rPr>
        <w:t>图1：收入结算决算结构饼状图</w:t>
      </w:r>
    </w:p>
    <w:p>
      <w:pPr>
        <w:adjustRightInd w:val="0"/>
        <w:snapToGrid w:val="0"/>
        <w:spacing w:after="0" w:line="240" w:lineRule="auto"/>
        <w:ind w:firstLine="640" w:firstLineChars="200"/>
        <w:rPr>
          <w:rFonts w:ascii="黑体" w:eastAsia="黑体"/>
        </w:rPr>
      </w:pPr>
      <w:r>
        <w:rPr>
          <w:rFonts w:hint="eastAsia" w:ascii="仿宋_GB2312" w:eastAsia="仿宋_GB2312" w:cs="DengXian-Regular"/>
          <w:sz w:val="32"/>
          <w:szCs w:val="32"/>
        </w:rPr>
        <w:drawing>
          <wp:inline distT="0" distB="0" distL="114300" distR="114300">
            <wp:extent cx="4638675" cy="2667000"/>
            <wp:effectExtent l="0" t="0" r="9525" b="0"/>
            <wp:docPr id="2" name="图片 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1"/>
                    <pic:cNvPicPr>
                      <a:picLocks noChangeAspect="1"/>
                    </pic:cNvPicPr>
                  </pic:nvPicPr>
                  <pic:blipFill>
                    <a:blip r:embed="rId6" cstate="print"/>
                    <a:stretch>
                      <a:fillRect/>
                    </a:stretch>
                  </pic:blipFill>
                  <pic:spPr>
                    <a:xfrm>
                      <a:off x="0" y="0"/>
                      <a:ext cx="4638675" cy="2667000"/>
                    </a:xfrm>
                    <a:prstGeom prst="rect">
                      <a:avLst/>
                    </a:prstGeom>
                  </pic:spPr>
                </pic:pic>
              </a:graphicData>
            </a:graphic>
          </wp:inline>
        </w:drawing>
      </w:r>
      <w:r>
        <w:pict>
          <v:group id="_x0000_s1076" o:spid="_x0000_s1076" o:spt="203" style="position:absolute;left:0pt;margin-left:73.8pt;margin-top:8.3pt;height:247.35pt;width:303.05pt;z-index:251668480;mso-width-relative:page;mso-height-relative:page;" coordorigin="6817,180097" coordsize="5156,-1050764093"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8" o:spid="_x0000_s1078" o:spt="75"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7" cropleft="2131f" croptop="1490f" cropright="1218f" cropbottom="5217f" o:title=""/>
              <o:lock v:ext="edit" aspectratio="t"/>
            </v:shape>
            <v:shape id="_x0000_s1077" o:spid="_x0000_s1077" o:spt="202" type="#_x0000_t202" style="position:absolute;left:7658;top:182920;height:421;width:3303;"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本部门2018年度本年支出合计10034.47万元，其中：一般公共预算支出9798.38万元，占97.6%；基金支出236.09万元，占2.4%；。如图所示：</w:t>
      </w:r>
    </w:p>
    <w:p>
      <w:pPr>
        <w:adjustRightInd w:val="0"/>
        <w:snapToGrid w:val="0"/>
        <w:spacing w:after="0" w:line="580" w:lineRule="exact"/>
        <w:ind w:firstLine="1920" w:firstLineChars="600"/>
        <w:rPr>
          <w:rFonts w:ascii="仿宋_GB2312" w:eastAsia="仿宋_GB2312" w:cs="DengXian-Regular"/>
          <w:sz w:val="32"/>
          <w:szCs w:val="32"/>
        </w:rPr>
      </w:pPr>
    </w:p>
    <w:p>
      <w:pPr>
        <w:rPr>
          <w:rFonts w:ascii="仿宋_GB2312"/>
          <w:sz w:val="30"/>
          <w:szCs w:val="30"/>
        </w:rPr>
      </w:pPr>
      <w:r>
        <w:rPr>
          <w:rFonts w:hint="eastAsia" w:ascii="仿宋_GB2312"/>
          <w:sz w:val="30"/>
          <w:szCs w:val="30"/>
        </w:rPr>
        <w:t>图2：支出决算结构饼状图</w:t>
      </w:r>
    </w:p>
    <w:p>
      <w:pPr>
        <w:jc w:val="center"/>
        <w:rPr>
          <w:rFonts w:ascii="黑体" w:eastAsia="黑体"/>
        </w:rPr>
      </w:pPr>
      <w:r>
        <w:drawing>
          <wp:inline distT="0" distB="0" distL="114300" distR="114300">
            <wp:extent cx="4591050" cy="2762250"/>
            <wp:effectExtent l="0" t="0" r="0" b="0"/>
            <wp:docPr id="3" name="图片 3"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片2"/>
                    <pic:cNvPicPr>
                      <a:picLocks noChangeAspect="1"/>
                    </pic:cNvPicPr>
                  </pic:nvPicPr>
                  <pic:blipFill>
                    <a:blip r:embed="rId8" cstate="print"/>
                    <a:stretch>
                      <a:fillRect/>
                    </a:stretch>
                  </pic:blipFill>
                  <pic:spPr>
                    <a:xfrm>
                      <a:off x="0" y="0"/>
                      <a:ext cx="4591050" cy="2762250"/>
                    </a:xfrm>
                    <a:prstGeom prst="rect">
                      <a:avLst/>
                    </a:prstGeom>
                  </pic:spPr>
                </pic:pic>
              </a:graphicData>
            </a:graphic>
          </wp:inline>
        </w:drawing>
      </w:r>
      <w:r>
        <w:pict>
          <v:group id="_x0000_s1073" o:spid="_x0000_s1073" o:spt="203" style="position:absolute;left:0pt;margin-left:59.55pt;margin-top:6.75pt;height:230.55pt;width:274.45pt;z-index:-251649024;mso-width-relative:page;mso-height-relative:page;" coordorigin="7032,190738" coordsize="4600,-687764093"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7" cropleft="2131f" croptop="1490f" cropright="1218f" cropbottom="5217f" o:title=""/>
              <o:lock v:ext="edit" aspectratio="t"/>
            </v:shape>
            <v:shape id="_x0000_s1074" o:spid="_x0000_s1074" o:spt="202" type="#_x0000_t202" style="position:absolute;left:7289;top:193685;height:660;width:4169;"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r>
        <w:rPr>
          <w:sz w:val="44"/>
        </w:rPr>
        <w:pict>
          <v:group id="_x0000_s1070" o:spid="_x0000_s1070" o:spt="203" style="position:absolute;left:0pt;margin-left:-0.55pt;margin-top:29.3pt;height:43.95pt;width:301.85pt;mso-position-horizontal-relative:page;mso-position-vertical-relative:page;z-index:251682816;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72"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w:t>
      </w:r>
      <w:r>
        <w:rPr>
          <w:rFonts w:hint="eastAsia" w:ascii="宋体" w:hAnsi="宋体" w:cs="宋体"/>
          <w:b/>
          <w:bCs/>
          <w:sz w:val="32"/>
          <w:szCs w:val="32"/>
        </w:rPr>
        <w:t>017</w:t>
      </w:r>
      <w:r>
        <w:rPr>
          <w:rFonts w:hint="eastAsia" w:ascii="楷体_GB2312" w:eastAsia="楷体_GB2312" w:cs="DengXian-Bold"/>
          <w:b/>
          <w:bCs/>
          <w:sz w:val="32"/>
          <w:szCs w:val="32"/>
        </w:rPr>
        <w:t xml:space="preserve">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10579.27万元,比2017年度增加1677万元，增长18.84%，主要原因为调入人员增加、日常公用标准提高及维护费用、涉军事项、政府性基金拨款收入的增加；本年支出10034.47万元，增加1960.97万元，增长24.29%，主要原因为调入人员增加、日常公用标准提高及维护费用、涉军事项的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10238.96万元，比上年增加2032.23万元，增长24.76%，；主要原因为调入人员增加、日常公用标准提高及维护费用、涉军事项、政府性基金拨款收入的增加；本年支出9798.38万元，比上年增加1879.22万元，增长23.73%，主要原因为调入人员增加、日常公用标准提高及维护费用、涉军事项的增加。政府性基金预算财政拨款本年收入340.31万元，比上年减少355.23万元，降低51.07%，</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本年支出236.09万元，比上年减少18.25万元，降低7.18%，</w:t>
      </w:r>
      <w:r>
        <w:pict>
          <v:group id="_x0000_s1064" o:spid="_x0000_s1064" o:spt="203" style="position:absolute;left:0pt;margin-left:51.25pt;margin-top:13.45pt;height:210.05pt;width:331.1pt;z-index:-251623424;mso-width-relative:page;mso-height-relative:page;" coordorigin="6151,199960" coordsize="6345,-246764093"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66" o:spt="75"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9" o:title=""/>
              <o:lock v:ext="edit" aspectratio="t"/>
            </v:shape>
            <v:shape id="_x0000_s1065" o:spid="_x0000_s1065" o:spt="202" type="#_x0000_t202" style="position:absolute;left:6151;top:203196;height:812;width:6345;"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本部门2018年度财政拨款本年收入10238.96万元，完成年初预算的104.7%,比年初预算增加459.71万元，决算数大于预算数主要原因是军人服务中心成立及涉军</w:t>
      </w:r>
      <w:r>
        <w:rPr>
          <w:rFonts w:hint="eastAsia" w:ascii="仿宋_GB2312" w:eastAsia="仿宋_GB2312" w:cs="DengXian-Regular"/>
          <w:sz w:val="32"/>
          <w:szCs w:val="32"/>
          <w:lang w:eastAsia="zh-CN"/>
        </w:rPr>
        <w:t>公益性岗位</w:t>
      </w:r>
      <w:r>
        <w:rPr>
          <w:rFonts w:hint="eastAsia" w:ascii="仿宋_GB2312" w:eastAsia="仿宋_GB2312" w:cs="DengXian-Regular"/>
          <w:sz w:val="32"/>
          <w:szCs w:val="32"/>
        </w:rPr>
        <w:t>人员增加x；本年支出1600.76万元，完成年初预算的183.63%,比年初预算增加8178.49万元，决算数大于预算数主要原因是主要是加快上年结转资金的支付进度及涉军</w:t>
      </w:r>
      <w:r>
        <w:rPr>
          <w:rFonts w:hint="eastAsia" w:ascii="仿宋_GB2312" w:eastAsia="仿宋_GB2312" w:cs="DengXian-Regular"/>
          <w:sz w:val="32"/>
          <w:szCs w:val="32"/>
          <w:lang w:eastAsia="zh-CN"/>
        </w:rPr>
        <w:t>公益性岗位</w:t>
      </w:r>
      <w:r>
        <w:rPr>
          <w:rFonts w:hint="eastAsia" w:ascii="仿宋_GB2312" w:eastAsia="仿宋_GB2312" w:cs="DengXian-Regular"/>
          <w:sz w:val="32"/>
          <w:szCs w:val="32"/>
        </w:rPr>
        <w:t>人员增加。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其中，一般公共预算财政拨款本年收入完成年初预算106.84%，比年初预算增加655.71万元，主要是涉军</w:t>
      </w:r>
      <w:r>
        <w:rPr>
          <w:rFonts w:hint="eastAsia" w:ascii="仿宋_GB2312" w:eastAsia="仿宋_GB2312" w:cs="DengXian-Regular"/>
          <w:sz w:val="32"/>
          <w:szCs w:val="32"/>
          <w:lang w:eastAsia="zh-CN"/>
        </w:rPr>
        <w:t>公益性岗位</w:t>
      </w:r>
      <w:r>
        <w:rPr>
          <w:rFonts w:hint="eastAsia" w:ascii="仿宋_GB2312" w:eastAsia="仿宋_GB2312" w:cs="DengXian-Regular"/>
          <w:sz w:val="32"/>
          <w:szCs w:val="32"/>
        </w:rPr>
        <w:t>人员增加；支出完成年初预算102.24%，比年初预算增加215万元，主要是涉军</w:t>
      </w:r>
      <w:r>
        <w:rPr>
          <w:rFonts w:hint="eastAsia" w:ascii="仿宋_GB2312" w:eastAsia="仿宋_GB2312" w:cs="DengXian-Regular"/>
          <w:sz w:val="32"/>
          <w:szCs w:val="32"/>
          <w:lang w:eastAsia="zh-CN"/>
        </w:rPr>
        <w:t>公益性岗位</w:t>
      </w:r>
      <w:r>
        <w:rPr>
          <w:rFonts w:hint="eastAsia" w:ascii="仿宋_GB2312" w:eastAsia="仿宋_GB2312" w:cs="DengXian-Regular"/>
          <w:sz w:val="32"/>
          <w:szCs w:val="32"/>
        </w:rPr>
        <w:t>人员增加。政府性基金预算财政拨款本年收入完成年初预算120.45%，比年初预算增加40.09万元，主要是殡仪馆新增除尘设备、火化炉。</w:t>
      </w:r>
    </w:p>
    <w:p>
      <w:p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rPr>
        <w:t>（</w:t>
      </w:r>
      <w:r>
        <w:rPr>
          <w:rFonts w:hint="eastAsia" w:ascii="宋体" w:hAnsi="宋体" w:cs="宋体"/>
          <w:b/>
          <w:bCs/>
          <w:sz w:val="32"/>
          <w:szCs w:val="32"/>
        </w:rPr>
        <w:t>三</w:t>
      </w: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2018 年度财政拨款支出10034.47万元，主要用于以下方面：一般公共服务支出1.44万元，占</w:t>
      </w:r>
      <w:r>
        <w:rPr>
          <w:rFonts w:hint="eastAsia" w:ascii="仿宋_GB2312" w:eastAsia="仿宋_GB2312" w:cs="DengXian-Regular"/>
          <w:sz w:val="32"/>
          <w:szCs w:val="32"/>
          <w:lang w:val="en-US" w:eastAsia="zh-CN"/>
        </w:rPr>
        <w:t>0.01</w:t>
      </w:r>
      <w:r>
        <w:rPr>
          <w:rFonts w:hint="eastAsia" w:ascii="仿宋_GB2312" w:eastAsia="仿宋_GB2312" w:cs="DengXian-Regular"/>
          <w:sz w:val="32"/>
          <w:szCs w:val="32"/>
        </w:rPr>
        <w:t>%；医疗卫生与计划生育支出341.59</w:t>
      </w:r>
      <w:r>
        <w:rPr>
          <w:rFonts w:hint="eastAsia" w:ascii="宋体" w:hAnsi="宋体" w:cs="宋体"/>
          <w:sz w:val="32"/>
          <w:szCs w:val="32"/>
        </w:rPr>
        <w:t>万元，占</w:t>
      </w:r>
      <w:r>
        <w:rPr>
          <w:rFonts w:hint="eastAsia" w:ascii="宋体" w:hAnsi="宋体" w:cs="宋体"/>
          <w:sz w:val="32"/>
          <w:szCs w:val="32"/>
          <w:lang w:val="en-US" w:eastAsia="zh-CN"/>
        </w:rPr>
        <w:t>3.4</w:t>
      </w:r>
      <w:r>
        <w:rPr>
          <w:rFonts w:hint="eastAsia" w:ascii="宋体" w:hAnsi="宋体" w:cs="宋体"/>
          <w:sz w:val="32"/>
          <w:szCs w:val="32"/>
        </w:rPr>
        <w:t>%；农林水支出255万元，占</w:t>
      </w:r>
      <w:r>
        <w:rPr>
          <w:rFonts w:hint="eastAsia" w:ascii="宋体" w:hAnsi="宋体" w:cs="宋体"/>
          <w:sz w:val="32"/>
          <w:szCs w:val="32"/>
          <w:lang w:val="en-US" w:eastAsia="zh-CN"/>
        </w:rPr>
        <w:t>2.54</w:t>
      </w:r>
      <w:r>
        <w:rPr>
          <w:rFonts w:hint="eastAsia" w:ascii="宋体" w:hAnsi="宋体" w:cs="宋体"/>
          <w:sz w:val="32"/>
          <w:szCs w:val="32"/>
        </w:rPr>
        <w:t>%；</w:t>
      </w:r>
      <w:r>
        <w:rPr>
          <w:rFonts w:hint="eastAsia" w:ascii="仿宋_GB2312" w:eastAsia="仿宋_GB2312" w:cs="DengXian-Regular"/>
          <w:sz w:val="32"/>
          <w:szCs w:val="32"/>
        </w:rPr>
        <w:t>社会保障和就业支出 9151.</w:t>
      </w:r>
      <w:r>
        <w:rPr>
          <w:rFonts w:hint="eastAsia" w:ascii="仿宋_GB2312" w:eastAsia="仿宋_GB2312" w:cs="DengXian-Regular"/>
          <w:sz w:val="32"/>
          <w:szCs w:val="32"/>
          <w:lang w:val="en-US" w:eastAsia="zh-CN"/>
        </w:rPr>
        <w:t>49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91.21</w:t>
      </w:r>
      <w:r>
        <w:rPr>
          <w:rFonts w:hint="eastAsia" w:ascii="仿宋_GB2312" w:eastAsia="仿宋_GB2312" w:cs="DengXian-Regular"/>
          <w:sz w:val="32"/>
          <w:szCs w:val="32"/>
        </w:rPr>
        <w:t>%；住房保障支出47.74万元，占</w:t>
      </w:r>
      <w:r>
        <w:rPr>
          <w:rFonts w:hint="eastAsia" w:ascii="仿宋_GB2312" w:eastAsia="仿宋_GB2312" w:cs="DengXian-Regular"/>
          <w:sz w:val="32"/>
          <w:szCs w:val="32"/>
          <w:lang w:val="en-US" w:eastAsia="zh-CN"/>
        </w:rPr>
        <w:t>0.48</w:t>
      </w:r>
      <w:r>
        <w:rPr>
          <w:rFonts w:hint="eastAsia" w:ascii="仿宋_GB2312" w:eastAsia="仿宋_GB2312" w:cs="DengXian-Regular"/>
          <w:sz w:val="32"/>
          <w:szCs w:val="32"/>
        </w:rPr>
        <w:t>%;其他支出237.21万元，占</w:t>
      </w:r>
      <w:r>
        <w:rPr>
          <w:rFonts w:hint="eastAsia" w:ascii="仿宋_GB2312" w:eastAsia="仿宋_GB2312" w:cs="DengXian-Regular"/>
          <w:sz w:val="32"/>
          <w:szCs w:val="32"/>
          <w:lang w:val="en-US" w:eastAsia="zh-CN"/>
        </w:rPr>
        <w:t>2.36</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p>
    <w:p>
      <w:pPr>
        <w:adjustRightInd w:val="0"/>
        <w:snapToGrid w:val="0"/>
        <w:spacing w:after="0" w:line="580" w:lineRule="exact"/>
        <w:ind w:firstLine="640" w:firstLineChars="200"/>
        <w:rPr>
          <w:rFonts w:hint="eastAsia" w:ascii="楷体_GB2312" w:eastAsia="楷体_GB2312" w:cs="DengXian-Bold"/>
          <w:b/>
          <w:bCs/>
          <w:sz w:val="32"/>
          <w:szCs w:val="32"/>
        </w:rPr>
      </w:pPr>
      <w:r>
        <w:rPr>
          <w:rFonts w:hint="eastAsia" w:ascii="仿宋_GB2312" w:eastAsia="仿宋_GB2312" w:cs="DengXian-Regular"/>
          <w:sz w:val="32"/>
          <w:szCs w:val="32"/>
          <w:lang w:eastAsia="zh-CN"/>
        </w:rPr>
        <w:drawing>
          <wp:anchor distT="0" distB="0" distL="114300" distR="114300" simplePos="0" relativeHeight="251670528" behindDoc="0" locked="0" layoutInCell="1" allowOverlap="1">
            <wp:simplePos x="0" y="0"/>
            <wp:positionH relativeFrom="column">
              <wp:posOffset>156845</wp:posOffset>
            </wp:positionH>
            <wp:positionV relativeFrom="paragraph">
              <wp:posOffset>205105</wp:posOffset>
            </wp:positionV>
            <wp:extent cx="5080000" cy="3810000"/>
            <wp:effectExtent l="4445" t="4445" r="20955" b="14605"/>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80" w:lineRule="exact"/>
        <w:ind w:left="420" w:leftChars="200"/>
        <w:rPr>
          <w:rFonts w:ascii="楷体_GB2312" w:eastAsia="楷体_GB2312" w:cs="DengXian-Bold"/>
          <w:b/>
          <w:bCs/>
          <w:sz w:val="32"/>
          <w:szCs w:val="32"/>
        </w:rPr>
      </w:pPr>
      <w:r>
        <w:rPr>
          <w:sz w:val="44"/>
        </w:rPr>
        <w:pict>
          <v:group id="_x0000_s1052" o:spid="_x0000_s1052" o:spt="203" style="position:absolute;left:0pt;margin-left:-0.55pt;margin-top:29.3pt;height:43.95pt;width:301.85pt;mso-position-horizontal-relative:page;mso-position-vertical-relative:page;z-index:251683840;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r>
        <w:rPr>
          <w:sz w:val="44"/>
        </w:rPr>
        <w:pict>
          <v:group id="_x0000_s1049" o:spid="_x0000_s1049" o:spt="203" style="position:absolute;left:0pt;margin-left:-0.55pt;margin-top:29.3pt;height:43.95pt;width:301.85pt;mso-position-horizontal-relative:page;mso-position-vertical-relative:page;z-index:251692032;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TdJ/C4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3Ot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BJ+ys7bAAAACwEAAA8AAAAA&#10;AAAAAQAgAAAAIgAAAGRycy9kb3ducmV2LnhtbFBLAQIUABQAAAAIAIdO4kApN0n8LgMAAO4IAAAO&#10;AAAAAAAAAAEAIAAAACoBAABkcnMvZTJvRG9jLnhtbFBLBQYAAAAABgAGAFkBAADKBgAAAAA=&#10;">
            <o:lock v:ext="edit"/>
            <v:rect id="矩形 13" o:spid="_x0000_s1051" o:spt="1" style="position:absolute;left:4551;top:52615;height:1175;width:8546;v-text-anchor:middle;" fillcolor="#D9D9D9"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0"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style="mso-next-textbox:#矩形 14;">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年度一般公共预算财政拨款基本支出1600.76万元，其中：人员经费 1335.73万元，主要包括基本工资171.56万元、津贴补贴107.9万元、绩效工资246.92万元、机关事业单位基本养老保险缴费75.16万元、职工基本医疗保险缴费49.85万元、住房公积金47.74万元、离休费10.29万元、退休费626.31万元；公用经费 265.03万元，主要包括办公费1.44、水费16.26万元、电费80.73万元、邮电费2.83万元、取暖费36.96万元、公务用车运行维护费10.31万元。</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10.31万元，较年初预算减少3.19万元，降低23.63%，主要原因为按照“八项规定”的工作要求，严控公车使用范围，规范管理，减少运行成本，降低财政支出，提高工作效率，杜绝超预算支出现象；较2017年度决算减少2.92万元，主要原因为严格控制公车使用范围，规范管理，减少运行成本。具体情况如下：</w:t>
      </w:r>
    </w:p>
    <w:p>
      <w:pPr>
        <w:numPr>
          <w:ilvl w:val="0"/>
          <w:numId w:val="1"/>
        </w:numPr>
        <w:ind w:firstLine="64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84864;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本部门2018年度未发生此类支出，较年初预算无增减变化。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（二）公务用车购置及运行维护费支出10.31万元（购置费0元，运行维护费10.31万元）。</w:t>
      </w:r>
      <w:r>
        <w:rPr>
          <w:rFonts w:hint="eastAsia" w:ascii="仿宋_GB2312" w:eastAsia="仿宋_GB2312" w:cs="DengXian-Regular"/>
          <w:sz w:val="32"/>
          <w:szCs w:val="32"/>
        </w:rPr>
        <w:t>本部门2018年度公务用车购置及运行维护费较年初预算减少3.19万元，降低23.63%,主要原因为按照“八项规定”的工作要要求，严格控制公车使用范围，规范管理，减少运行成本，降低财政支出，提高工作效率，杜绝超预算支出现象；较2017年度决算减少2.92万元，主要原因严格控制公车使用范围，规范管理，减少运行成本。</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本部门2018年度公务用车购置量0辆，发生“公务用车购置”经费支出0万元。公务用车购置费支出较年初预算无增减变化，较2017年决算无增减变化。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5辆。公车运行维护费支出较年初预算减少3.19万元，降低23.63%,主要原因为按照“八项规定”的工作要要求，严格控制公车使用范围，规范管理，减少运行成本，降低财政支出，提高工作效率，杜绝超预算支出现象；较2017年度决算减少2.92万元，主要原因严格控制公车使用范围，规范管理，减少运行成本。</w:t>
      </w:r>
    </w:p>
    <w:p>
      <w:pPr>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ascii="仿宋_GB2312" w:eastAsia="仿宋_GB2312" w:cs="DengXian-Regular"/>
          <w:sz w:val="32"/>
          <w:szCs w:val="32"/>
        </w:rPr>
        <w:pict>
          <v:group id="_x0000_s1043" o:spid="_x0000_s1043" o:spt="203" style="position:absolute;left:0pt;margin-left:-0.55pt;margin-top:29.3pt;height:43.95pt;width:301.85pt;mso-position-horizontal-relative:page;mso-position-vertical-relative:page;z-index:251685888;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本部门2018年度未发生公务接待费用支出，较年初预算无增减变化，较2017年决算无增减变化。</w:t>
      </w:r>
    </w:p>
    <w:p>
      <w:pPr>
        <w:pStyle w:val="3"/>
        <w:spacing w:before="0" w:after="0" w:line="500" w:lineRule="exact"/>
        <w:ind w:firstLine="643" w:firstLineChars="200"/>
        <w:rPr>
          <w:rFonts w:ascii="仿宋_GB2312" w:hAnsi="Times New Roman" w:eastAsia="仿宋_GB2312" w:cs="DengXian-Regular"/>
          <w:bCs w:val="0"/>
        </w:rPr>
      </w:pPr>
      <w:r>
        <w:rPr>
          <w:rFonts w:hint="eastAsia" w:ascii="仿宋_GB2312" w:hAnsi="Times New Roman" w:eastAsia="仿宋_GB2312" w:cs="DengXian-Regular"/>
          <w:bCs w:val="0"/>
        </w:rPr>
        <w:t>六、绩效预算情况说明</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绩效预算管理改造督察要求，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鹿泉区2018年扶贫项目绩效评价，1个项目，涉及资金205万元。从评价情况看，评价结果为优秀的项目有1个（鹿泉区2018年扶贫项目）。</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spacing w:line="56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本单位鹿泉区2018年扶贫项目绩效自评：根据年初设定的绩效目标，鹿泉区2018年扶贫项目绩效自评结果为优秀。项目全年预算数为205万元，执行数为205万元，完成预算的100%。主要产出和效果是</w:t>
      </w:r>
      <w:r>
        <w:rPr>
          <w:rFonts w:hint="eastAsia" w:ascii="仿宋_GB2312" w:eastAsia="仿宋_GB2312" w:cs="DengXian-Regular"/>
          <w:sz w:val="32"/>
          <w:szCs w:val="32"/>
          <w:lang w:eastAsia="zh-CN"/>
        </w:rPr>
        <w:t>：</w:t>
      </w:r>
    </w:p>
    <w:p>
      <w:pPr>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项目产出</w:t>
      </w:r>
    </w:p>
    <w:p>
      <w:pPr>
        <w:spacing w:line="560" w:lineRule="exact"/>
        <w:ind w:firstLine="643" w:firstLineChars="200"/>
        <w:rPr>
          <w:rFonts w:ascii="仿宋_GB2312" w:eastAsia="仿宋_GB2312" w:cs="DengXian-Regular"/>
          <w:b/>
          <w:sz w:val="32"/>
          <w:szCs w:val="32"/>
        </w:rPr>
      </w:pPr>
      <w:r>
        <w:rPr>
          <w:rFonts w:hint="eastAsia" w:ascii="仿宋_GB2312" w:eastAsia="仿宋_GB2312" w:cs="DengXian-Regular"/>
          <w:b/>
          <w:sz w:val="32"/>
          <w:szCs w:val="32"/>
        </w:rPr>
        <w:t>1.实际完成率</w:t>
      </w:r>
    </w:p>
    <w:p>
      <w:pPr>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项目总体上按照项目设计方案要求，完成了各项采购内容，项目产出完成情况较好。具体为：（1）城区敬老院屋面光伏发电组件495块，发电容量133.65kW。（2）宜安区敬老院1号屋面光伏发电组件132块，发电容量35.64kW；2号屋面光伏发电组件412块，发电容量111.24kW；3号屋面光伏发电组件252块，发电容量68.04kW。</w:t>
      </w:r>
    </w:p>
    <w:p>
      <w:pPr>
        <w:spacing w:line="560" w:lineRule="exact"/>
        <w:ind w:firstLine="643" w:firstLineChars="200"/>
        <w:rPr>
          <w:rFonts w:ascii="仿宋_GB2312" w:eastAsia="仿宋_GB2312" w:cs="DengXian-Regular"/>
          <w:b/>
          <w:sz w:val="32"/>
          <w:szCs w:val="32"/>
        </w:rPr>
      </w:pPr>
      <w:r>
        <w:rPr>
          <w:rFonts w:hint="eastAsia" w:ascii="仿宋_GB2312" w:eastAsia="仿宋_GB2312" w:cs="DengXian-Regular"/>
          <w:b/>
          <w:sz w:val="32"/>
          <w:szCs w:val="32"/>
        </w:rPr>
        <w:t>2.完成及时情况</w:t>
      </w:r>
    </w:p>
    <w:p>
      <w:pPr>
        <w:spacing w:line="560" w:lineRule="exact"/>
        <w:ind w:firstLine="640" w:firstLineChars="200"/>
        <w:rPr>
          <w:rFonts w:ascii="仿宋_GB2312" w:eastAsia="仿宋_GB2312"/>
          <w:sz w:val="32"/>
          <w:szCs w:val="32"/>
        </w:rPr>
      </w:pPr>
      <w:r>
        <w:rPr>
          <w:rFonts w:hint="eastAsia" w:ascii="仿宋_GB2312" w:eastAsia="仿宋_GB2312" w:cs="DengXian-Regular"/>
          <w:sz w:val="32"/>
          <w:szCs w:val="32"/>
        </w:rPr>
        <w:t>项目采购设施设备由供应商于5月22日进场安装，6月27日安装完毕，6月28日并网发电试运行，7月30日通过验收，项目整体实施进度按照合同约定时间如期开展，未发现明显进度滞后现象，项目</w:t>
      </w:r>
      <w:r>
        <w:rPr>
          <w:rFonts w:hint="eastAsia" w:ascii="仿宋_GB2312" w:eastAsia="仿宋_GB2312"/>
          <w:sz w:val="32"/>
          <w:szCs w:val="32"/>
        </w:rPr>
        <w:t>完成及时有效。</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3.质量达标率</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项目单位通过公开招标确定中标单位，并由中标单位按照项目方案进行工程建设。项目完工后由鹿泉区发改局、鹿泉区民政局、区财政局和电力公司4家单位进行验收，出具竣工验收报告，项目质量达标情况良好。</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4.成本控制及节约情况</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项目通过公开招标方式确定采购供应商及中标金额，中标金额控制在招标采购限定金额内，节约了部分项目成本。同时，年度项目资金支付严格按照当年财政下达资金及合同付款进度要求，未超出当年财政预算范围。但项目立项前期未对所需费用进行详细地测算，故总体成本控制力度有待加强。</w:t>
      </w:r>
    </w:p>
    <w:p>
      <w:pPr>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项目效果</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1.经济效益实现情况</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项目实施后，在创造光伏电站发电收益等方面具有较为显著的经济效益，具体如下：</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一是，2018年发电站运行正常，发电量并网采取自发自用，余电上网方式。自发自用部分由两家敬老院以 0.52 元/千瓦时的价格购买，电网以0.36元/千瓦时的价格收购剩余发电电量。6月28日至12月31日，光伏电站发电151031度，按照上述价格测算，共计产生收益7.45万元。</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二是，光伏电站能够创造长期收益。该光伏电站设计寿命为25年，预计年均总发电量31.18万kWh，25年总发电量为 804.40万kWh，以目前标杆电价0.38元/kWh的标准计算，未来年均发电收益11.85万元，25年总发电收益为305.67万元。</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三是，项目实施后在增加参与光伏扶贫产业项目的贫困户年收入方面推动作用显著。2018 年 7-9 月下发给 121 户建档立卡贫困户扶贫资助金共计4.22万元，直接用于发放贫困户补助资金占光伏电站收益资金的87.19%，建档立卡贫困户受益率达到100%。</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2.社会效益实现情况</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项目是精准扶贫项目之一，将扶贫方式从“大水漫灌”变为“精准滴灌”，将光伏发电与精准扶贫结合起来，是推进产业扶贫的有效措施，是造福贫困地区、贫困群众的民生工程。项目既是扶贫工作的新途径，也是扩大光伏市场的新领域，有利于人民群众增加就业，有利于人民群众生活方式的变革，具有明显的产业带动作用和社会效益。项目实施直接增加建档立卡贫困户年收入，切实带动贫困户脱贫，确保2020年全民建成小康社会。</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3.生态效益实现情况</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项目投入运行后，光伏电站预计年均发电量31.18万kWh，折合每年节约标煤吨数约120吨，能够有效降低二氧化碳排放量，缓解环保压力。</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4.可持续影响实现情况</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项目预期要在25年内持续发挥效益，但光伏电站运行未满一年，目前尚无法准确衡量年均发电量是否能够达到建设初期预计目标，且发电量受到自然条件和光伏组件维护条件等因素影响，不同年度内发电量存在不确定性，项目长期收益情况需在后续进一步定向跟踪。此外，由于电价受国家政策调节，原定可享受的国家补贴资金未能兑现，在目前政策下预期年度总收益未能达到既定标准，未来收益亦具有不确定性。</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5.服务对象满意度实现情况</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作为脱贫攻坚措施之一，项目服务对象主要为建档立卡贫困户，项目实施有助于增加鹿泉区城区内建档立卡贫困户收入。为充分了解贫困户对鹿泉区脱贫攻坚工作的实际需求，全面掌握群众对项目实施效果是否满意，2018 年10月石家庄市第十六督导验收组在鹿泉区发放了脱贫攻坚工作情况调查问卷，有针对性地对鹿泉区贫困户开展满意度调查。经过对问卷调查结果进行汇总统计，鹿泉区贫困户的满意度达到99%。</w:t>
      </w:r>
    </w:p>
    <w:p>
      <w:pPr>
        <w:spacing w:line="560" w:lineRule="exact"/>
        <w:ind w:firstLine="640" w:firstLineChars="200"/>
        <w:rPr>
          <w:rFonts w:ascii="楷体_GB2312" w:hAnsi="楷体_GB2312" w:eastAsia="楷体_GB2312"/>
          <w:sz w:val="32"/>
          <w:szCs w:val="32"/>
        </w:rPr>
      </w:pPr>
      <w:r>
        <w:rPr>
          <w:rFonts w:hint="eastAsia" w:ascii="楷体_GB2312" w:hAnsi="楷体_GB2312" w:eastAsia="楷体_GB2312"/>
          <w:sz w:val="32"/>
          <w:szCs w:val="32"/>
        </w:rPr>
        <w:t>（一）项目存在的主要问题</w:t>
      </w:r>
    </w:p>
    <w:p>
      <w:pPr>
        <w:spacing w:line="56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1.项目前期可行性研究论证不够充分，后续工作部署缺失总体规划</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立项前期制定了《关于产业项目脱贫行动实施方案》，并委托第三方开展项目可行性研究论证，进一步制定了《350kW产业扶贫分布式光伏发电项目方案》，但项目前期可行性研究论证的充分性有待提升，主要表现在：一是，仅对项目实施所需总成本进行了估算，缺失针对项目建设规模、采购设施设备等单项成本的预算明细，难以对后续招标工作中确定供应商形成科学、准确的预算约束；二是，项目采取根据预期发电收益确定光伏电站建设规模的“倒推式”测算方式，该种方式仅从每年固定提升相应贫困人口收入角度出发，对预期收益进行大致估算，前期相关可研论证材料中缺失对成本和效益的直接分析，未充分考虑国家政策变动、电价调整以及光伏电站设施设备老旧、季节光照强度等自然条件影响未来收益的可能性，未来收益存在一定程度的不确定性。</w:t>
      </w:r>
    </w:p>
    <w:p>
      <w:pPr>
        <w:spacing w:line="560" w:lineRule="exact"/>
        <w:ind w:firstLine="640" w:firstLineChars="200"/>
        <w:rPr>
          <w:rFonts w:ascii="楷体_GB2312" w:hAnsi="楷体_GB2312" w:eastAsia="楷体_GB2312"/>
          <w:sz w:val="32"/>
          <w:szCs w:val="32"/>
        </w:rPr>
      </w:pPr>
      <w:r>
        <w:rPr>
          <w:rFonts w:hint="eastAsia" w:ascii="仿宋_GB2312" w:hAnsi="仿宋_GB2312" w:eastAsia="仿宋_GB2312" w:cs="仿宋_GB2312"/>
          <w:sz w:val="32"/>
          <w:szCs w:val="32"/>
        </w:rPr>
        <w:t>此外，针对光伏电站收益分配，项目单位制定了《石家庄市鹿泉区光伏发电项目收益分配方案》（鹿扶〔2018〕7 号），但该分配方案中仅对收益在不同类型贫困户中的分配比例、程序等进行了说明，未涉及全面脱贫工作完成后收益分配规划。且项目作为精准扶贫、精准脱贫的重要举措之一，未来与其他扶贫政策、措施如何有效衔接，如何保障项目建设发电站长期有效发挥效益，规避可能存在的风险，缺乏后续总体部署。</w:t>
      </w:r>
    </w:p>
    <w:p>
      <w:pPr>
        <w:spacing w:line="560" w:lineRule="exact"/>
        <w:ind w:firstLine="640" w:firstLineChars="200"/>
        <w:rPr>
          <w:rFonts w:ascii="楷体_GB2312" w:hAnsi="楷体_GB2312" w:eastAsia="楷体_GB2312"/>
          <w:sz w:val="32"/>
          <w:szCs w:val="32"/>
        </w:rPr>
      </w:pPr>
      <w:r>
        <w:rPr>
          <w:rFonts w:hint="eastAsia" w:ascii="楷体_GB2312" w:hAnsi="楷体_GB2312" w:eastAsia="楷体_GB2312"/>
          <w:sz w:val="32"/>
          <w:szCs w:val="32"/>
        </w:rPr>
        <w:t>2.项目可持续运行机制有待建立，项目效益发挥需后续定向跟踪</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受国家电价政策影响，项目投入运行后，补贴资金未能如期到账，项目既定收益无法达到预期目标水平。并且，项目后续可持续运行机制尚未形成，目前仅明确质保期内由供应商负责维修养护，每年发电收益10%用于日常维护管理，但未制定明确的制度保障对责任主体、维修养护内容等进行约束。</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考虑到项目建设发电站投入运行尚不足一年，发电量后续受设备维护、光照条件等影响较大，年总发电量尚且无法准确考量是否达到既定目标，以及项目单位如何采取相关措施弥补国家电价补贴缺失部分的收益，项目效益是否能够可持续实现，均需后续予以定向跟踪。</w:t>
      </w:r>
    </w:p>
    <w:p>
      <w:pPr>
        <w:spacing w:line="560" w:lineRule="exact"/>
        <w:ind w:firstLine="640" w:firstLineChars="200"/>
        <w:rPr>
          <w:rFonts w:ascii="楷体_GB2312" w:hAnsi="楷体_GB2312" w:eastAsia="楷体_GB2312"/>
          <w:sz w:val="32"/>
          <w:szCs w:val="32"/>
        </w:rPr>
      </w:pPr>
      <w:r>
        <w:rPr>
          <w:rFonts w:hint="eastAsia" w:ascii="楷体_GB2312" w:hAnsi="楷体_GB2312" w:eastAsia="楷体_GB2312"/>
          <w:sz w:val="32"/>
          <w:szCs w:val="32"/>
        </w:rPr>
        <w:t>（二）针对问题提出具体的改进措施或建议</w:t>
      </w:r>
    </w:p>
    <w:p>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1.加强项目立项前期论证的深度和广度，全面做好项目实施总体规划</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建议项目单位在以后年度类似项目工作中，在项目立项前期加大项目可行性研究论证深度和广度，结合项目建设需求、市场价格等做好项目成本预算分析，形成科学、合理的预算测算，为后续工作开展形成强有力的成本控制约束。同时，考虑到项目未涉及跨年度工作内容，建议项目单位按照年度预算管理要求和规范的项目申报程序，申请年度项目资金，区财政局按照批复程序于当年度内下达全部预算。</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此外，建议项目单位做好后续项目总体工作部署，综合考虑项目收益，与国家脱贫政策、措施及目标做好有效衔接，制定后续脱贫工作全面完成后的项目收益分配方案。</w:t>
      </w:r>
    </w:p>
    <w:p>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2.制定明确的可持续运行机制，确保项目效果长期有效发挥</w:t>
      </w:r>
    </w:p>
    <w:p>
      <w:pPr>
        <w:adjustRightInd w:val="0"/>
        <w:snapToGrid w:val="0"/>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建议项目单位结合国家政策调整，及时了解行业及电价调整政策，综合考虑光伏发电站设施设备维护、光照等条件影响，从后续可持续运行保障、责任主体落实、资金来源、风险规避等方面形成明确的制度约束。</w:t>
      </w:r>
    </w:p>
    <w:p>
      <w:pPr>
        <w:adjustRightInd w:val="0"/>
        <w:snapToGrid w:val="0"/>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考虑到发电站正式运行尚未满一年，建议项目单位在后续发电站运行过程中，积极采取相应措施弥补国家电价补贴政策调整带来的预期收益减少部分资金，定向跟踪项目发电收益，确保项目效果有效发挥，扶贫、脱贫目标尽快实现。</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本部门2018年度机关运行经费支出265.03万元</w:t>
      </w:r>
      <w:r>
        <w:rPr>
          <w:sz w:val="44"/>
        </w:rPr>
        <w:pict>
          <v:group id="_x0000_s1040" o:spid="_x0000_s1040" o:spt="203" style="position:absolute;left:0pt;margin-left:-0.55pt;margin-top:29.3pt;height:43.95pt;width:301.85pt;mso-position-horizontal-relative:page;mso-position-vertical-relative:page;z-index:251686912;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J+ys7bAAAACwEAAA8AAAAAAAAA&#10;AQAgAAAAIgAAAGRycy9kb3ducmV2LnhtbFBLAQIUABQAAAAIAIdO4kBfMp5fKwMAAO4IAAAOAAAA&#10;AAAAAAEAIAAAACoBAABkcnMvZTJvRG9jLnhtbFBLBQYAAAAABgAGAFkBAADHBgAAAAA=&#10;">
            <o:lock v:ext="edit"/>
            <v:rect id="矩形 13" o:spid="_x0000_s1042" o:spt="1" style="position:absolute;left:4551;top:52615;height:1175;width:8546;v-text-anchor:middle;" fillcolor="#D9D9D9" filled="t" stroked="f" coordsize="21600,21600" o:gfxdata="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HyIM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1" o:spt="1" style="position:absolute;left:4577;top:52890;height:1123;width:8324;v-text-anchor:middle;" fillcolor="#AD002D" filled="t" stroked="t" coordsize="21600,21600" o:gfxdata="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TbzR7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.比年初预算增加159.36万元，增长150.81%。主要原因是成立军人事务服务中心装修房屋、民政事业服务中心日常维修、宜安敬老院修缮漏房顶、局机关暖气及日常维修等支出。</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本部门2018年度政府采购支出总额911.19万元，从采购类型来看，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567.9</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68.09</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275.2</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额911.19</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100%.其中，</w:t>
      </w:r>
      <w:r>
        <w:rPr>
          <w:rFonts w:ascii="仿宋_GB2312" w:hAnsi="仿宋_GB2312" w:eastAsia="仿宋_GB2312" w:cs="仿宋_GB2312"/>
          <w:color w:val="000000"/>
          <w:kern w:val="0"/>
          <w:sz w:val="32"/>
          <w:szCs w:val="32"/>
        </w:rPr>
        <w:t>授予</w:t>
      </w:r>
      <w:r>
        <w:rPr>
          <w:rFonts w:hint="eastAsia" w:ascii="仿宋_GB2312" w:hAnsi="仿宋_GB2312" w:eastAsia="仿宋_GB2312" w:cs="仿宋_GB2312"/>
          <w:color w:val="000000"/>
          <w:kern w:val="0"/>
          <w:sz w:val="32"/>
          <w:szCs w:val="32"/>
        </w:rPr>
        <w:t>小微</w:t>
      </w:r>
      <w:r>
        <w:rPr>
          <w:rFonts w:ascii="仿宋_GB2312" w:hAnsi="仿宋_GB2312" w:eastAsia="仿宋_GB2312" w:cs="仿宋_GB2312"/>
          <w:color w:val="000000"/>
          <w:kern w:val="0"/>
          <w:sz w:val="32"/>
          <w:szCs w:val="32"/>
        </w:rPr>
        <w:t>企业合同金</w:t>
      </w:r>
      <w:r>
        <w:rPr>
          <w:rFonts w:hint="eastAsia" w:ascii="仿宋_GB2312" w:hAnsi="仿宋_GB2312" w:eastAsia="仿宋_GB2312" w:cs="仿宋_GB2312"/>
          <w:color w:val="000000"/>
          <w:kern w:val="0"/>
          <w:sz w:val="32"/>
          <w:szCs w:val="32"/>
        </w:rPr>
        <w:t>额911.19</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截至2018年12月31日，本部门共有车辆11辆，其中公务用车5辆、业务用车6辆，和上年同期相同无增减变化。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1、本部门2018年度国有资本经营预算财政拨款无收支及结转结余情况，故国有资本经营预算财政拨款收入支出决算表以空表列示。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87936;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71552;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pStyle w:val="11"/>
        <w:shd w:val="clear" w:color="auto" w:fill="FFFFFF"/>
        <w:spacing w:beforeAutospacing="0" w:after="0" w:afterAutospacing="0" w:line="384" w:lineRule="atLeast"/>
        <w:ind w:firstLine="560"/>
        <w:rPr>
          <w:rFonts w:ascii="仿宋_GB2312" w:eastAsia="仿宋_GB2312" w:cs="Times New Roman" w:hAnsiTheme="majorEastAsia"/>
          <w:color w:val="000000"/>
          <w:sz w:val="32"/>
          <w:szCs w:val="32"/>
        </w:rPr>
      </w:pPr>
      <w:r>
        <w:rPr>
          <w:rFonts w:hint="eastAsia" w:ascii="仿宋_GB2312" w:eastAsia="仿宋_GB2312" w:hAnsiTheme="majorEastAsia"/>
          <w:b/>
          <w:bCs/>
          <w:color w:val="000000"/>
          <w:sz w:val="32"/>
          <w:szCs w:val="32"/>
        </w:rPr>
        <w:t>（十）基本建设支出：</w:t>
      </w:r>
      <w:r>
        <w:rPr>
          <w:rFonts w:hint="eastAsia" w:ascii="仿宋_GB2312" w:eastAsia="仿宋_GB2312" w:cs="Times New Roman" w:hAnsiTheme="majorEastAsia"/>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（十一）其他资本性支出：</w:t>
      </w:r>
      <w:r>
        <w:rPr>
          <w:rFonts w:hint="eastAsia" w:ascii="仿宋_GB2312" w:eastAsia="仿宋_GB2312" w:hAnsiTheme="major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88960;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89984;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F7E50708-81DF-4638-9B16-28BFFBA6CA39}"/>
  </w:font>
  <w:font w:name="黑体">
    <w:panose1 w:val="02010600030101010101"/>
    <w:charset w:val="86"/>
    <w:family w:val="auto"/>
    <w:pitch w:val="default"/>
    <w:sig w:usb0="800002BF" w:usb1="38CF7CFA" w:usb2="00000016" w:usb3="00000000" w:csb0="00040001" w:csb1="00000000"/>
    <w:embedRegular r:id="rId2" w:fontKey="{73F82DFE-C273-4312-BE06-19D2FD8EA02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C0D38452-AC58-44E3-B472-5CEA5986DABA}"/>
  </w:font>
  <w:font w:name="Cambria">
    <w:panose1 w:val="02040503050406030204"/>
    <w:charset w:val="00"/>
    <w:family w:val="roman"/>
    <w:pitch w:val="default"/>
    <w:sig w:usb0="E00006FF" w:usb1="420024FF" w:usb2="02000000" w:usb3="00000000" w:csb0="2000019F" w:csb1="00000000"/>
    <w:embedRegular r:id="rId4" w:fontKey="{87E6C297-98AA-4E30-AD00-E391421587B5}"/>
  </w:font>
  <w:font w:name="仿宋_GB2312">
    <w:panose1 w:val="02010609030101010101"/>
    <w:charset w:val="86"/>
    <w:family w:val="modern"/>
    <w:pitch w:val="default"/>
    <w:sig w:usb0="00000001" w:usb1="080E0000" w:usb2="00000000" w:usb3="00000000" w:csb0="00040000" w:csb1="00000000"/>
    <w:embedRegular r:id="rId5" w:fontKey="{E82BBC4C-5196-4FAD-A014-3BF92010695E}"/>
  </w:font>
  <w:font w:name="ArialUnicodeMS">
    <w:altName w:val="Malgun Gothic"/>
    <w:panose1 w:val="00000000000000000000"/>
    <w:charset w:val="81"/>
    <w:family w:val="auto"/>
    <w:pitch w:val="default"/>
    <w:sig w:usb0="00000000" w:usb1="00000000" w:usb2="00000010" w:usb3="00000000" w:csb0="00080001" w:csb1="00000000"/>
    <w:embedRegular r:id="rId6" w:fontKey="{A59E9E2C-B974-4603-A19A-98BD445EEA69}"/>
  </w:font>
  <w:font w:name="楷体">
    <w:panose1 w:val="02010609060101010101"/>
    <w:charset w:val="86"/>
    <w:family w:val="modern"/>
    <w:pitch w:val="default"/>
    <w:sig w:usb0="800002BF" w:usb1="38CF7CFA" w:usb2="00000016" w:usb3="00000000" w:csb0="00040001" w:csb1="00000000"/>
    <w:embedRegular r:id="rId7" w:fontKey="{407C38B2-45E4-4829-920B-ED5BB07CE690}"/>
  </w:font>
  <w:font w:name="DengXian-Regular">
    <w:altName w:val="宋体"/>
    <w:panose1 w:val="00000000000000000000"/>
    <w:charset w:val="86"/>
    <w:family w:val="auto"/>
    <w:pitch w:val="default"/>
    <w:sig w:usb0="00000000" w:usb1="00000000" w:usb2="00000010" w:usb3="00000000" w:csb0="00040001" w:csb1="00000000"/>
    <w:embedRegular r:id="rId8" w:fontKey="{D583D096-F833-4C4C-8768-ECB52F38DA1A}"/>
  </w:font>
  <w:font w:name="仿宋">
    <w:panose1 w:val="02010609060101010101"/>
    <w:charset w:val="86"/>
    <w:family w:val="modern"/>
    <w:pitch w:val="default"/>
    <w:sig w:usb0="800002BF" w:usb1="38CF7CFA" w:usb2="00000016" w:usb3="00000000" w:csb0="00040001" w:csb1="00000000"/>
    <w:embedRegular r:id="rId9" w:fontKey="{F4716689-BC5C-4E75-80E8-EA8953AD542F}"/>
  </w:font>
  <w:font w:name="楷体_GB2312">
    <w:panose1 w:val="02010609030101010101"/>
    <w:charset w:val="86"/>
    <w:family w:val="modern"/>
    <w:pitch w:val="default"/>
    <w:sig w:usb0="00000001" w:usb1="080E0000" w:usb2="00000000" w:usb3="00000000" w:csb0="00040000" w:csb1="00000000"/>
    <w:embedRegular r:id="rId10" w:fontKey="{A29EDD35-9A5C-4D0E-9203-6D00A40EA1BB}"/>
  </w:font>
  <w:font w:name="DengXian-Bold">
    <w:altName w:val="宋体"/>
    <w:panose1 w:val="00000000000000000000"/>
    <w:charset w:val="86"/>
    <w:family w:val="auto"/>
    <w:pitch w:val="default"/>
    <w:sig w:usb0="00000000" w:usb1="00000000" w:usb2="00000010" w:usb3="00000000" w:csb0="00040001" w:csb1="00000000"/>
    <w:embedRegular r:id="rId11" w:fontKey="{9E6667A5-0D4B-4250-82FD-6E3F673D4234}"/>
  </w:font>
  <w:font w:name="MS-UIGothic,Bold">
    <w:altName w:val="Malgun Gothic"/>
    <w:panose1 w:val="00000000000000000000"/>
    <w:charset w:val="81"/>
    <w:family w:val="auto"/>
    <w:pitch w:val="default"/>
    <w:sig w:usb0="00000000" w:usb1="00000000" w:usb2="00000010" w:usb3="00000000" w:csb0="00080000" w:csb1="00000000"/>
    <w:embedRegular r:id="rId12" w:fontKey="{38C89000-F0D5-4CD8-A3CA-4ECFFEF1EE91}"/>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C"/>
    <w:multiLevelType w:val="singleLevel"/>
    <w:tmpl w:val="0000000C"/>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0228A"/>
    <w:rsid w:val="00024E7F"/>
    <w:rsid w:val="000475A0"/>
    <w:rsid w:val="00052C40"/>
    <w:rsid w:val="000838C3"/>
    <w:rsid w:val="000B2446"/>
    <w:rsid w:val="000C2E5C"/>
    <w:rsid w:val="000D7C65"/>
    <w:rsid w:val="000E2F81"/>
    <w:rsid w:val="00117946"/>
    <w:rsid w:val="00117E2C"/>
    <w:rsid w:val="00127415"/>
    <w:rsid w:val="00146C47"/>
    <w:rsid w:val="00152FB8"/>
    <w:rsid w:val="0015344B"/>
    <w:rsid w:val="0016443E"/>
    <w:rsid w:val="001756D6"/>
    <w:rsid w:val="00176658"/>
    <w:rsid w:val="0018239E"/>
    <w:rsid w:val="001842AE"/>
    <w:rsid w:val="001B3410"/>
    <w:rsid w:val="001B5A34"/>
    <w:rsid w:val="001C030D"/>
    <w:rsid w:val="001C4A84"/>
    <w:rsid w:val="001D4A40"/>
    <w:rsid w:val="001E5902"/>
    <w:rsid w:val="001E62AF"/>
    <w:rsid w:val="00233705"/>
    <w:rsid w:val="00271FC8"/>
    <w:rsid w:val="00275CA2"/>
    <w:rsid w:val="002A4CB1"/>
    <w:rsid w:val="002A65A5"/>
    <w:rsid w:val="002C04C4"/>
    <w:rsid w:val="002D08B0"/>
    <w:rsid w:val="002D1AE3"/>
    <w:rsid w:val="002F2ECE"/>
    <w:rsid w:val="00313009"/>
    <w:rsid w:val="00341C8F"/>
    <w:rsid w:val="003537B6"/>
    <w:rsid w:val="0035463A"/>
    <w:rsid w:val="00356E71"/>
    <w:rsid w:val="00391D9D"/>
    <w:rsid w:val="00391E1D"/>
    <w:rsid w:val="003B6C51"/>
    <w:rsid w:val="003C1413"/>
    <w:rsid w:val="003C549F"/>
    <w:rsid w:val="003D5A16"/>
    <w:rsid w:val="003D7136"/>
    <w:rsid w:val="003E7DB3"/>
    <w:rsid w:val="003F0BCC"/>
    <w:rsid w:val="003F7EC9"/>
    <w:rsid w:val="00431175"/>
    <w:rsid w:val="00436D1D"/>
    <w:rsid w:val="00451349"/>
    <w:rsid w:val="004749AF"/>
    <w:rsid w:val="00487F6C"/>
    <w:rsid w:val="004B6E37"/>
    <w:rsid w:val="004C32BA"/>
    <w:rsid w:val="004F5774"/>
    <w:rsid w:val="00535728"/>
    <w:rsid w:val="00575922"/>
    <w:rsid w:val="00581505"/>
    <w:rsid w:val="00595668"/>
    <w:rsid w:val="005A6C90"/>
    <w:rsid w:val="005B17CC"/>
    <w:rsid w:val="005C292F"/>
    <w:rsid w:val="005E3FB0"/>
    <w:rsid w:val="005F4B66"/>
    <w:rsid w:val="005F5208"/>
    <w:rsid w:val="00622766"/>
    <w:rsid w:val="00641318"/>
    <w:rsid w:val="0064405D"/>
    <w:rsid w:val="006474D1"/>
    <w:rsid w:val="00685302"/>
    <w:rsid w:val="00695557"/>
    <w:rsid w:val="006D4EA7"/>
    <w:rsid w:val="006E20A6"/>
    <w:rsid w:val="006F4B13"/>
    <w:rsid w:val="0070012A"/>
    <w:rsid w:val="0070664B"/>
    <w:rsid w:val="007071B8"/>
    <w:rsid w:val="007414DE"/>
    <w:rsid w:val="0074740B"/>
    <w:rsid w:val="007905A9"/>
    <w:rsid w:val="007E5500"/>
    <w:rsid w:val="007F055B"/>
    <w:rsid w:val="007F1BD0"/>
    <w:rsid w:val="0080644C"/>
    <w:rsid w:val="00811C2F"/>
    <w:rsid w:val="00833D46"/>
    <w:rsid w:val="00840A97"/>
    <w:rsid w:val="008577A6"/>
    <w:rsid w:val="00882275"/>
    <w:rsid w:val="00883E2E"/>
    <w:rsid w:val="008C0149"/>
    <w:rsid w:val="008D5DED"/>
    <w:rsid w:val="008E25CA"/>
    <w:rsid w:val="008F34FC"/>
    <w:rsid w:val="00924163"/>
    <w:rsid w:val="00944CD7"/>
    <w:rsid w:val="00945881"/>
    <w:rsid w:val="00950865"/>
    <w:rsid w:val="00950FE6"/>
    <w:rsid w:val="00951DD7"/>
    <w:rsid w:val="00963B6A"/>
    <w:rsid w:val="009831B2"/>
    <w:rsid w:val="009A1ABE"/>
    <w:rsid w:val="009E21A4"/>
    <w:rsid w:val="009F22C6"/>
    <w:rsid w:val="00A07E50"/>
    <w:rsid w:val="00A15397"/>
    <w:rsid w:val="00A35CE0"/>
    <w:rsid w:val="00A4462E"/>
    <w:rsid w:val="00A44AA4"/>
    <w:rsid w:val="00A46A5A"/>
    <w:rsid w:val="00A61623"/>
    <w:rsid w:val="00A84687"/>
    <w:rsid w:val="00AB0A0E"/>
    <w:rsid w:val="00AD3B6E"/>
    <w:rsid w:val="00B1751F"/>
    <w:rsid w:val="00B35A7E"/>
    <w:rsid w:val="00B56722"/>
    <w:rsid w:val="00B74D39"/>
    <w:rsid w:val="00B841C1"/>
    <w:rsid w:val="00B87F9B"/>
    <w:rsid w:val="00B91DA4"/>
    <w:rsid w:val="00BE16E8"/>
    <w:rsid w:val="00BE3ACC"/>
    <w:rsid w:val="00C12630"/>
    <w:rsid w:val="00C34562"/>
    <w:rsid w:val="00C3774E"/>
    <w:rsid w:val="00C41523"/>
    <w:rsid w:val="00C51E81"/>
    <w:rsid w:val="00C53C67"/>
    <w:rsid w:val="00C57456"/>
    <w:rsid w:val="00C65387"/>
    <w:rsid w:val="00C87FAB"/>
    <w:rsid w:val="00C90125"/>
    <w:rsid w:val="00C91FF7"/>
    <w:rsid w:val="00C94E53"/>
    <w:rsid w:val="00C95DB2"/>
    <w:rsid w:val="00CC51C4"/>
    <w:rsid w:val="00D0048E"/>
    <w:rsid w:val="00D23E7A"/>
    <w:rsid w:val="00D40CA2"/>
    <w:rsid w:val="00D44E2E"/>
    <w:rsid w:val="00D61063"/>
    <w:rsid w:val="00D93953"/>
    <w:rsid w:val="00DA39C0"/>
    <w:rsid w:val="00DB35AF"/>
    <w:rsid w:val="00DD72D7"/>
    <w:rsid w:val="00DF1C73"/>
    <w:rsid w:val="00DF5B88"/>
    <w:rsid w:val="00E0589E"/>
    <w:rsid w:val="00E241FA"/>
    <w:rsid w:val="00E2595E"/>
    <w:rsid w:val="00E35374"/>
    <w:rsid w:val="00E500B9"/>
    <w:rsid w:val="00E50C19"/>
    <w:rsid w:val="00E64655"/>
    <w:rsid w:val="00E73081"/>
    <w:rsid w:val="00E85189"/>
    <w:rsid w:val="00E856C9"/>
    <w:rsid w:val="00EB6A8B"/>
    <w:rsid w:val="00EF38C6"/>
    <w:rsid w:val="00EF78F0"/>
    <w:rsid w:val="00F3357E"/>
    <w:rsid w:val="00F34A42"/>
    <w:rsid w:val="00F37103"/>
    <w:rsid w:val="00F61E0E"/>
    <w:rsid w:val="00F679C7"/>
    <w:rsid w:val="00F7711A"/>
    <w:rsid w:val="00FA0D58"/>
    <w:rsid w:val="00FA56F4"/>
    <w:rsid w:val="00FB4EDA"/>
    <w:rsid w:val="00FD3BD5"/>
    <w:rsid w:val="00FE3DC8"/>
    <w:rsid w:val="04073F84"/>
    <w:rsid w:val="05942F56"/>
    <w:rsid w:val="06583D75"/>
    <w:rsid w:val="069E66FC"/>
    <w:rsid w:val="07341193"/>
    <w:rsid w:val="0B60750A"/>
    <w:rsid w:val="0DCD33F9"/>
    <w:rsid w:val="10686488"/>
    <w:rsid w:val="10DF728A"/>
    <w:rsid w:val="1264200E"/>
    <w:rsid w:val="135F4063"/>
    <w:rsid w:val="13A41613"/>
    <w:rsid w:val="141C5B77"/>
    <w:rsid w:val="16964DB8"/>
    <w:rsid w:val="16B26C0E"/>
    <w:rsid w:val="17C3188C"/>
    <w:rsid w:val="18D8339D"/>
    <w:rsid w:val="19B2344D"/>
    <w:rsid w:val="1A21388F"/>
    <w:rsid w:val="1A570D2F"/>
    <w:rsid w:val="1B077F40"/>
    <w:rsid w:val="1CF65A2B"/>
    <w:rsid w:val="1EB364B8"/>
    <w:rsid w:val="21636AD6"/>
    <w:rsid w:val="22E34AAB"/>
    <w:rsid w:val="25A51EC6"/>
    <w:rsid w:val="26A75547"/>
    <w:rsid w:val="27382C95"/>
    <w:rsid w:val="28FB0B8D"/>
    <w:rsid w:val="2A9870FC"/>
    <w:rsid w:val="2AB6407D"/>
    <w:rsid w:val="2D2B7942"/>
    <w:rsid w:val="2D46481D"/>
    <w:rsid w:val="2E733B28"/>
    <w:rsid w:val="2FE016BA"/>
    <w:rsid w:val="310E6882"/>
    <w:rsid w:val="31852B5A"/>
    <w:rsid w:val="326A1072"/>
    <w:rsid w:val="32D01238"/>
    <w:rsid w:val="32EA67DD"/>
    <w:rsid w:val="330425EC"/>
    <w:rsid w:val="34AB56CB"/>
    <w:rsid w:val="355505CA"/>
    <w:rsid w:val="37577BC3"/>
    <w:rsid w:val="37C043F3"/>
    <w:rsid w:val="3CDE3FEA"/>
    <w:rsid w:val="3D1A244F"/>
    <w:rsid w:val="3DD730B8"/>
    <w:rsid w:val="3DFC59A8"/>
    <w:rsid w:val="3ECF245E"/>
    <w:rsid w:val="3FB96314"/>
    <w:rsid w:val="40B02396"/>
    <w:rsid w:val="41A61131"/>
    <w:rsid w:val="4B0D6F45"/>
    <w:rsid w:val="4B2F7F08"/>
    <w:rsid w:val="4EB91F6B"/>
    <w:rsid w:val="4ED736F9"/>
    <w:rsid w:val="516E0F4D"/>
    <w:rsid w:val="52762714"/>
    <w:rsid w:val="52764BB1"/>
    <w:rsid w:val="53A44FAF"/>
    <w:rsid w:val="56795614"/>
    <w:rsid w:val="56EF457F"/>
    <w:rsid w:val="576559BF"/>
    <w:rsid w:val="594329EC"/>
    <w:rsid w:val="5AC07DAD"/>
    <w:rsid w:val="5BEE1540"/>
    <w:rsid w:val="5DC462E8"/>
    <w:rsid w:val="5DE61A5D"/>
    <w:rsid w:val="5E7C3CE8"/>
    <w:rsid w:val="5F337F06"/>
    <w:rsid w:val="62900C4E"/>
    <w:rsid w:val="62C67B71"/>
    <w:rsid w:val="63247CF8"/>
    <w:rsid w:val="63C04243"/>
    <w:rsid w:val="649C01C7"/>
    <w:rsid w:val="66B9384D"/>
    <w:rsid w:val="677C002E"/>
    <w:rsid w:val="699A3F60"/>
    <w:rsid w:val="69D1604F"/>
    <w:rsid w:val="6A2725A9"/>
    <w:rsid w:val="6B1F1D57"/>
    <w:rsid w:val="6FCD5446"/>
    <w:rsid w:val="72902E62"/>
    <w:rsid w:val="73C61104"/>
    <w:rsid w:val="74AF0A51"/>
    <w:rsid w:val="75103BA5"/>
    <w:rsid w:val="776452EA"/>
    <w:rsid w:val="77A63740"/>
    <w:rsid w:val="78361A2F"/>
    <w:rsid w:val="79E71AAF"/>
    <w:rsid w:val="7DC663B9"/>
    <w:rsid w:val="7F3F0155"/>
    <w:rsid w:val="7FC46E6A"/>
    <w:rsid w:val="7FD21032"/>
    <w:rsid w:val="7FEB00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9"/>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0"/>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semiHidden/>
    <w:unhideWhenUsed/>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2"/>
    <w:semiHidden/>
    <w:unhideWhenUsed/>
    <w:qFormat/>
    <w:uiPriority w:val="99"/>
    <w:pPr>
      <w:ind w:left="100" w:leftChars="2500"/>
    </w:pPr>
  </w:style>
  <w:style w:type="paragraph" w:styleId="7">
    <w:name w:val="Balloon Text"/>
    <w:basedOn w:val="1"/>
    <w:link w:val="20"/>
    <w:semiHidden/>
    <w:unhideWhenUsed/>
    <w:qFormat/>
    <w:uiPriority w:val="99"/>
    <w:rPr>
      <w:sz w:val="18"/>
      <w:szCs w:val="18"/>
    </w:rPr>
  </w:style>
  <w:style w:type="paragraph" w:styleId="8">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2"/>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Normal (Web)"/>
    <w:basedOn w:val="1"/>
    <w:qFormat/>
    <w:uiPriority w:val="0"/>
    <w:pPr>
      <w:widowControl/>
      <w:spacing w:beforeAutospacing="1" w:afterAutospacing="1"/>
      <w:jc w:val="left"/>
    </w:pPr>
    <w:rPr>
      <w:rFonts w:ascii="宋体" w:hAnsi="宋体" w:cs="宋体"/>
      <w:kern w:val="0"/>
      <w:sz w:val="24"/>
    </w:rPr>
  </w:style>
  <w:style w:type="paragraph" w:styleId="12">
    <w:name w:val="Title"/>
    <w:basedOn w:val="1"/>
    <w:next w:val="1"/>
    <w:link w:val="21"/>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6">
    <w:name w:val="页眉 Char"/>
    <w:basedOn w:val="15"/>
    <w:link w:val="9"/>
    <w:qFormat/>
    <w:uiPriority w:val="99"/>
    <w:rPr>
      <w:sz w:val="18"/>
      <w:szCs w:val="18"/>
    </w:rPr>
  </w:style>
  <w:style w:type="character" w:customStyle="1" w:styleId="17">
    <w:name w:val="页脚 Char"/>
    <w:basedOn w:val="15"/>
    <w:link w:val="8"/>
    <w:qFormat/>
    <w:uiPriority w:val="99"/>
    <w:rPr>
      <w:sz w:val="18"/>
      <w:szCs w:val="18"/>
    </w:rPr>
  </w:style>
  <w:style w:type="paragraph" w:styleId="18">
    <w:name w:val="No Spacing"/>
    <w:link w:val="19"/>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9">
    <w:name w:val="无间隔 Char"/>
    <w:basedOn w:val="15"/>
    <w:link w:val="18"/>
    <w:qFormat/>
    <w:uiPriority w:val="1"/>
    <w:rPr>
      <w:kern w:val="0"/>
      <w:sz w:val="22"/>
    </w:rPr>
  </w:style>
  <w:style w:type="character" w:customStyle="1" w:styleId="20">
    <w:name w:val="批注框文本 Char"/>
    <w:basedOn w:val="15"/>
    <w:link w:val="7"/>
    <w:semiHidden/>
    <w:qFormat/>
    <w:uiPriority w:val="99"/>
    <w:rPr>
      <w:rFonts w:ascii="Times New Roman" w:hAnsi="Times New Roman" w:eastAsia="宋体" w:cs="Times New Roman"/>
      <w:sz w:val="18"/>
      <w:szCs w:val="18"/>
    </w:rPr>
  </w:style>
  <w:style w:type="character" w:customStyle="1" w:styleId="21">
    <w:name w:val="标题 Char"/>
    <w:basedOn w:val="15"/>
    <w:link w:val="12"/>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2">
    <w:name w:val="副标题 Char"/>
    <w:basedOn w:val="15"/>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3">
    <w:name w:val="Style1"/>
    <w:basedOn w:val="15"/>
    <w:qFormat/>
    <w:uiPriority w:val="1"/>
    <w:rPr>
      <w:rFonts w:asciiTheme="minorHAnsi" w:hAnsiTheme="minorEastAsia" w:eastAsiaTheme="minorEastAsia" w:cstheme="minorBidi"/>
      <w:sz w:val="22"/>
      <w:szCs w:val="22"/>
      <w:lang w:eastAsia="zh-CN"/>
    </w:rPr>
  </w:style>
  <w:style w:type="character" w:customStyle="1" w:styleId="24">
    <w:name w:val="Style2"/>
    <w:basedOn w:val="15"/>
    <w:qFormat/>
    <w:uiPriority w:val="1"/>
    <w:rPr>
      <w:rFonts w:asciiTheme="minorHAnsi" w:hAnsiTheme="minorEastAsia" w:eastAsiaTheme="minorEastAsia" w:cstheme="minorBidi"/>
      <w:sz w:val="22"/>
      <w:szCs w:val="22"/>
      <w:lang w:eastAsia="zh-CN"/>
    </w:rPr>
  </w:style>
  <w:style w:type="character" w:customStyle="1" w:styleId="25">
    <w:name w:val="Style3"/>
    <w:basedOn w:val="15"/>
    <w:qFormat/>
    <w:uiPriority w:val="1"/>
    <w:rPr>
      <w:rFonts w:asciiTheme="minorHAnsi" w:hAnsiTheme="minorEastAsia" w:eastAsiaTheme="minorEastAsia" w:cstheme="minorBidi"/>
      <w:szCs w:val="22"/>
      <w:lang w:eastAsia="zh-CN"/>
    </w:rPr>
  </w:style>
  <w:style w:type="character" w:customStyle="1" w:styleId="26">
    <w:name w:val="Style4"/>
    <w:basedOn w:val="15"/>
    <w:qFormat/>
    <w:uiPriority w:val="1"/>
    <w:rPr>
      <w:rFonts w:asciiTheme="minorHAnsi" w:hAnsiTheme="minorEastAsia" w:eastAsiaTheme="minorEastAsia" w:cstheme="minorBidi"/>
      <w:szCs w:val="22"/>
      <w:lang w:eastAsia="zh-CN"/>
    </w:rPr>
  </w:style>
  <w:style w:type="character" w:customStyle="1" w:styleId="27">
    <w:name w:val="Style5"/>
    <w:basedOn w:val="15"/>
    <w:qFormat/>
    <w:uiPriority w:val="1"/>
    <w:rPr>
      <w:rFonts w:asciiTheme="minorHAnsi" w:hAnsiTheme="minorEastAsia" w:eastAsiaTheme="minorEastAsia" w:cstheme="minorBidi"/>
      <w:sz w:val="22"/>
      <w:szCs w:val="22"/>
      <w:lang w:eastAsia="zh-CN"/>
    </w:rPr>
  </w:style>
  <w:style w:type="character" w:customStyle="1" w:styleId="28">
    <w:name w:val="标题 1 Char"/>
    <w:basedOn w:val="15"/>
    <w:link w:val="2"/>
    <w:qFormat/>
    <w:uiPriority w:val="9"/>
    <w:rPr>
      <w:rFonts w:ascii="Times New Roman" w:hAnsi="Times New Roman" w:eastAsia="宋体" w:cs="Times New Roman"/>
      <w:b/>
      <w:bCs/>
      <w:kern w:val="44"/>
      <w:sz w:val="44"/>
      <w:szCs w:val="44"/>
    </w:rPr>
  </w:style>
  <w:style w:type="character" w:customStyle="1" w:styleId="29">
    <w:name w:val="标题 2 Char"/>
    <w:basedOn w:val="15"/>
    <w:link w:val="3"/>
    <w:qFormat/>
    <w:uiPriority w:val="9"/>
    <w:rPr>
      <w:rFonts w:asciiTheme="majorHAnsi" w:hAnsiTheme="majorHAnsi" w:eastAsiaTheme="majorEastAsia" w:cstheme="majorBidi"/>
      <w:b/>
      <w:bCs/>
      <w:sz w:val="32"/>
      <w:szCs w:val="32"/>
    </w:rPr>
  </w:style>
  <w:style w:type="character" w:customStyle="1" w:styleId="30">
    <w:name w:val="标题 3 Char"/>
    <w:basedOn w:val="15"/>
    <w:link w:val="4"/>
    <w:qFormat/>
    <w:uiPriority w:val="9"/>
    <w:rPr>
      <w:rFonts w:ascii="Times New Roman" w:hAnsi="Times New Roman" w:eastAsia="宋体" w:cs="Times New Roman"/>
      <w:b/>
      <w:bCs/>
      <w:sz w:val="32"/>
      <w:szCs w:val="32"/>
    </w:rPr>
  </w:style>
  <w:style w:type="character" w:customStyle="1" w:styleId="31">
    <w:name w:val="标题 4 Char"/>
    <w:basedOn w:val="15"/>
    <w:link w:val="5"/>
    <w:qFormat/>
    <w:uiPriority w:val="9"/>
    <w:rPr>
      <w:rFonts w:asciiTheme="majorHAnsi" w:hAnsiTheme="majorHAnsi" w:eastAsiaTheme="majorEastAsia" w:cstheme="majorBidi"/>
      <w:b/>
      <w:bCs/>
      <w:sz w:val="28"/>
      <w:szCs w:val="28"/>
    </w:rPr>
  </w:style>
  <w:style w:type="character" w:customStyle="1" w:styleId="32">
    <w:name w:val="日期 Char"/>
    <w:basedOn w:val="15"/>
    <w:link w:val="6"/>
    <w:semiHidden/>
    <w:qFormat/>
    <w:uiPriority w:val="99"/>
    <w:rPr>
      <w:rFonts w:ascii="Times New Roman" w:hAnsi="Times New Roman" w:eastAsia="宋体" w:cs="Times New Roman"/>
      <w:szCs w:val="24"/>
    </w:rPr>
  </w:style>
  <w:style w:type="paragraph" w:styleId="33">
    <w:name w:val="List Paragraph"/>
    <w:basedOn w:val="1"/>
    <w:unhideWhenUsed/>
    <w:qFormat/>
    <w:uiPriority w:val="99"/>
    <w:pPr>
      <w:ind w:firstLine="420" w:firstLineChars="200"/>
    </w:pPr>
  </w:style>
  <w:style w:type="paragraph" w:customStyle="1" w:styleId="34">
    <w:name w:val="默认段落字体 Para Char Char Char Char Char Char Char"/>
    <w:basedOn w:val="1"/>
    <w:qFormat/>
    <w:uiPriority w:val="0"/>
    <w:pPr>
      <w:spacing w:after="0" w:line="240" w:lineRule="auto"/>
    </w:p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7.jpeg"/><Relationship Id="rId10" Type="http://schemas.openxmlformats.org/officeDocument/2006/relationships/chart" Target="charts/chart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金额（万元）</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Pt>
            <c:idx val="4"/>
            <c:bubble3D val="0"/>
            <c:spPr>
              <a:solidFill>
                <a:schemeClr val="accent5">
                  <a:tint val="100000"/>
                  <a:shade val="100000"/>
                  <a:hueMod val="100000"/>
                  <a:satMod val="100000"/>
                </a:schemeClr>
              </a:solidFill>
              <a:ln w="19050">
                <a:solidFill>
                  <a:schemeClr val="lt1"/>
                </a:solidFill>
              </a:ln>
              <a:effectLst/>
            </c:spPr>
          </c:dPt>
          <c:dPt>
            <c:idx val="5"/>
            <c:bubble3D val="0"/>
            <c:spPr>
              <a:solidFill>
                <a:schemeClr val="accent6">
                  <a:tint val="100000"/>
                  <a:shade val="100000"/>
                  <a:hueMod val="100000"/>
                  <a:satMod val="100000"/>
                </a:schemeClr>
              </a:solidFill>
              <a:ln w="19050">
                <a:solidFill>
                  <a:schemeClr val="lt1"/>
                </a:solidFill>
              </a:ln>
              <a:effectLst/>
            </c:spPr>
          </c:dPt>
          <c:dLbls>
            <c:delete val="1"/>
          </c:dLbls>
          <c:cat>
            <c:strRef>
              <c:f>Sheet1!$A$2:$A$7</c:f>
              <c:strCache>
                <c:ptCount val="6"/>
                <c:pt idx="0">
                  <c:v>一般公共服务支出</c:v>
                </c:pt>
                <c:pt idx="1">
                  <c:v>社会保障和就业支出</c:v>
                </c:pt>
                <c:pt idx="2">
                  <c:v>医疗卫生与计划生育支出</c:v>
                </c:pt>
                <c:pt idx="3">
                  <c:v>农林水支出</c:v>
                </c:pt>
                <c:pt idx="4">
                  <c:v>住房保障支出</c:v>
                </c:pt>
                <c:pt idx="5">
                  <c:v>其他支出</c:v>
                </c:pt>
              </c:strCache>
            </c:strRef>
          </c:cat>
          <c:val>
            <c:numRef>
              <c:f>Sheet1!$B$2:$B$7</c:f>
              <c:numCache>
                <c:formatCode>General</c:formatCode>
                <c:ptCount val="6"/>
                <c:pt idx="0">
                  <c:v>1.44</c:v>
                </c:pt>
                <c:pt idx="1">
                  <c:v>9151.49</c:v>
                </c:pt>
                <c:pt idx="2">
                  <c:v>341.59</c:v>
                </c:pt>
                <c:pt idx="3">
                  <c:v>255</c:v>
                </c:pt>
                <c:pt idx="4">
                  <c:v>47.74</c:v>
                </c:pt>
                <c:pt idx="5">
                  <c:v>237.21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117"/>
    <customShpInfo spid="_x0000_s1116"/>
    <customShpInfo spid="_x0000_s1115"/>
    <customShpInfo spid="_x0000_s1114"/>
    <customShpInfo spid="_x0000_s1113"/>
    <customShpInfo spid="_x0000_s1112"/>
    <customShpInfo spid="_x0000_s1111"/>
    <customShpInfo spid="_x0000_s1110"/>
    <customShpInfo spid="_x0000_s1109"/>
    <customShpInfo spid="_x0000_s1108"/>
    <customShpInfo spid="_x0000_s1107"/>
    <customShpInfo spid="_x0000_s1106"/>
    <customShpInfo spid="_x0000_s1105"/>
    <customShpInfo spid="_x0000_s1104"/>
    <customShpInfo spid="_x0000_s1103"/>
    <customShpInfo spid="_x0000_s1102"/>
    <customShpInfo spid="_x0000_s1101"/>
    <customShpInfo spid="_x0000_s1100"/>
    <customShpInfo spid="_x0000_s1099"/>
    <customShpInfo spid="_x0000_s1098"/>
    <customShpInfo spid="_x0000_s1097"/>
    <customShpInfo spid="_x0000_s1096"/>
    <customShpInfo spid="_x0000_s1095"/>
    <customShpInfo spid="_x0000_s1094"/>
    <customShpInfo spid="_x0000_s1093"/>
    <customShpInfo spid="_x0000_s1092"/>
    <customShpInfo spid="_x0000_s1091"/>
    <customShpInfo spid="_x0000_s1090"/>
    <customShpInfo spid="_x0000_s1089"/>
    <customShpInfo spid="_x0000_s1088"/>
    <customShpInfo spid="_x0000_s1087"/>
    <customShpInfo spid="_x0000_s1086"/>
    <customShpInfo spid="_x0000_s1085"/>
    <customShpInfo spid="_x0000_s1084"/>
    <customShpInfo spid="_x0000_s1083"/>
    <customShpInfo spid="_x0000_s1082"/>
    <customShpInfo spid="_x0000_s1081"/>
    <customShpInfo spid="_x0000_s1080"/>
    <customShpInfo spid="_x0000_s1079"/>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6"/>
    <customShpInfo spid="_x0000_s1065"/>
    <customShpInfo spid="_x0000_s1064"/>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19305545-38AA-4EB4-AA2F-40A3132E91D8}">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49</Pages>
  <Words>3875</Words>
  <Characters>22094</Characters>
  <Lines>184</Lines>
  <Paragraphs>51</Paragraphs>
  <TotalTime>266</TotalTime>
  <ScaleCrop>false</ScaleCrop>
  <LinksUpToDate>false</LinksUpToDate>
  <CharactersWithSpaces>25918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2019-09-24T01:18:00Z</cp:lastPrinted>
  <dcterms:modified xsi:type="dcterms:W3CDTF">2025-04-27T06:31:34Z</dcterms:modified>
  <dc:subject>石家庄市xxx部门</dc:subject>
  <dc:title>2017年度部门决算</dc:title>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