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14D3FC">
      <w:pPr>
        <w:pStyle w:val="3"/>
        <w:keepNext/>
        <w:keepLines/>
        <w:pageBreakBefore w:val="0"/>
        <w:widowControl w:val="0"/>
        <w:kinsoku/>
        <w:wordWrap/>
        <w:overflowPunct/>
        <w:topLinePunct w:val="0"/>
        <w:autoSpaceDE/>
        <w:autoSpaceDN/>
        <w:bidi w:val="0"/>
        <w:adjustRightInd/>
        <w:snapToGrid/>
        <w:spacing w:before="0" w:beforeLines="0" w:after="0" w:afterLines="0" w:line="578" w:lineRule="exact"/>
        <w:jc w:val="center"/>
        <w:textAlignment w:val="auto"/>
        <w:rPr>
          <w:rFonts w:hint="eastAsia" w:ascii="宋体" w:hAnsi="宋体"/>
          <w:lang w:eastAsia="zh-CN"/>
        </w:rPr>
      </w:pPr>
      <w:r>
        <w:rPr>
          <w:rFonts w:hint="eastAsia" w:ascii="宋体" w:hAnsi="宋体"/>
          <w:lang w:eastAsia="zh-CN"/>
        </w:rPr>
        <w:t>石家庄市鹿泉区人民代表大会常务委员会</w:t>
      </w:r>
    </w:p>
    <w:p w14:paraId="64B2F809">
      <w:pPr>
        <w:pStyle w:val="3"/>
        <w:keepNext/>
        <w:keepLines/>
        <w:pageBreakBefore w:val="0"/>
        <w:widowControl w:val="0"/>
        <w:kinsoku/>
        <w:wordWrap/>
        <w:overflowPunct/>
        <w:topLinePunct w:val="0"/>
        <w:autoSpaceDE/>
        <w:autoSpaceDN/>
        <w:bidi w:val="0"/>
        <w:adjustRightInd/>
        <w:snapToGrid/>
        <w:spacing w:before="0" w:beforeLines="0" w:after="0" w:afterLines="0" w:line="578" w:lineRule="exact"/>
        <w:jc w:val="center"/>
        <w:textAlignment w:val="auto"/>
        <w:rPr>
          <w:rFonts w:hint="eastAsia" w:ascii="宋体" w:hAnsi="宋体" w:eastAsia="仿宋_GB2312" w:cs="仿宋_GB2312"/>
          <w:sz w:val="32"/>
          <w:szCs w:val="32"/>
          <w:lang w:eastAsia="zh-CN"/>
        </w:rPr>
      </w:pPr>
      <w:r>
        <w:rPr>
          <w:rFonts w:hint="eastAsia" w:ascii="宋体" w:hAnsi="宋体"/>
          <w:lang w:val="en-US" w:eastAsia="zh-CN"/>
        </w:rPr>
        <w:t>2024年度</w:t>
      </w:r>
      <w:r>
        <w:rPr>
          <w:rFonts w:hint="eastAsia" w:ascii="宋体" w:hAnsi="宋体"/>
          <w:lang w:eastAsia="zh-CN"/>
        </w:rPr>
        <w:t>整体支出绩效自评报告</w:t>
      </w:r>
    </w:p>
    <w:p w14:paraId="5AEBD363">
      <w:pPr>
        <w:pageBreakBefore w:val="0"/>
        <w:widowControl w:val="0"/>
        <w:kinsoku/>
        <w:wordWrap/>
        <w:overflowPunct/>
        <w:topLinePunct w:val="0"/>
        <w:autoSpaceDE/>
        <w:autoSpaceDN/>
        <w:bidi w:val="0"/>
        <w:adjustRightInd/>
        <w:snapToGrid/>
        <w:spacing w:line="550" w:lineRule="exact"/>
        <w:ind w:leftChars="0" w:firstLine="640" w:firstLineChars="200"/>
        <w:textAlignment w:val="auto"/>
        <w:rPr>
          <w:rFonts w:hint="eastAsia" w:ascii="宋体" w:hAnsi="宋体" w:eastAsia="仿宋_GB2312" w:cs="仿宋_GB2312"/>
          <w:sz w:val="32"/>
          <w:szCs w:val="32"/>
          <w:lang w:eastAsia="zh-CN"/>
        </w:rPr>
      </w:pPr>
    </w:p>
    <w:p w14:paraId="43A435A8">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石家庄市鹿泉区人民政府《关于全面实施预算绩效管理的实施意见》（鹿发﹝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w:t>
      </w:r>
      <w:r>
        <w:rPr>
          <w:rFonts w:hint="eastAsia" w:ascii="宋体" w:hAnsi="宋体" w:eastAsia="仿宋_GB2312" w:cs="仿宋_GB2312"/>
          <w:sz w:val="32"/>
          <w:szCs w:val="32"/>
          <w:lang w:eastAsia="zh-CN"/>
        </w:rPr>
        <w:t>，遵循“科学性、规范性、客观性和公正性”的原则，对石家庄市鹿泉区人民代表大会常务委员会</w:t>
      </w:r>
      <w:r>
        <w:rPr>
          <w:rFonts w:hint="eastAsia" w:ascii="宋体" w:hAnsi="宋体" w:eastAsia="仿宋_GB2312" w:cs="仿宋_GB2312"/>
          <w:sz w:val="32"/>
          <w:szCs w:val="32"/>
          <w:lang w:val="en-US" w:eastAsia="zh-CN"/>
        </w:rPr>
        <w:t>2024年</w:t>
      </w:r>
      <w:r>
        <w:rPr>
          <w:rFonts w:hint="eastAsia" w:ascii="宋体" w:hAnsi="宋体" w:eastAsia="仿宋_GB2312" w:cs="仿宋_GB2312"/>
          <w:sz w:val="32"/>
          <w:szCs w:val="32"/>
          <w:lang w:eastAsia="zh-CN"/>
        </w:rPr>
        <w:t>整体支出情况实施了财政支出绩效自评价，形成本评价报告。</w:t>
      </w:r>
      <w:r>
        <w:rPr>
          <w:rFonts w:hint="eastAsia" w:ascii="仿宋" w:hAnsi="仿宋" w:eastAsia="仿宋"/>
          <w:sz w:val="32"/>
          <w:szCs w:val="32"/>
        </w:rPr>
        <w:t xml:space="preserve">  </w:t>
      </w:r>
    </w:p>
    <w:p w14:paraId="4AFF2E61">
      <w:pPr>
        <w:widowControl w:val="0"/>
        <w:wordWrap/>
        <w:adjustRightInd w:val="0"/>
        <w:snapToGrid w:val="0"/>
        <w:spacing w:line="560" w:lineRule="exact"/>
        <w:ind w:left="0" w:leftChars="0" w:right="0" w:firstLine="640" w:firstLineChars="200"/>
        <w:textAlignment w:val="auto"/>
        <w:outlineLvl w:val="9"/>
        <w:rPr>
          <w:rFonts w:ascii="黑体" w:hAnsi="黑体" w:eastAsia="黑体"/>
          <w:b/>
          <w:bCs/>
          <w:sz w:val="32"/>
          <w:szCs w:val="36"/>
        </w:rPr>
      </w:pP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14:paraId="319299CF">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14:paraId="77DF37D7">
      <w:pPr>
        <w:widowControl w:val="0"/>
        <w:wordWrap/>
        <w:adjustRightInd w:val="0"/>
        <w:snapToGrid w:val="0"/>
        <w:spacing w:line="560" w:lineRule="exact"/>
        <w:ind w:left="0" w:leftChars="0" w:right="0" w:firstLine="640" w:firstLineChars="200"/>
        <w:textAlignment w:val="auto"/>
        <w:outlineLvl w:val="9"/>
        <w:rPr>
          <w:rFonts w:hint="eastAsia" w:ascii="黑体" w:eastAsia="黑体" w:cs="黑体"/>
          <w:b w:val="0"/>
          <w:bCs w:val="0"/>
          <w:kern w:val="0"/>
          <w:sz w:val="32"/>
          <w:szCs w:val="32"/>
          <w:lang w:eastAsia="zh-CN"/>
        </w:rPr>
      </w:pPr>
      <w:r>
        <w:rPr>
          <w:rFonts w:hint="eastAsia" w:ascii="黑体" w:eastAsia="黑体" w:cs="黑体"/>
          <w:b w:val="0"/>
          <w:bCs w:val="0"/>
          <w:kern w:val="0"/>
          <w:sz w:val="32"/>
          <w:szCs w:val="32"/>
          <w:lang w:eastAsia="zh-CN"/>
        </w:rPr>
        <w:t>部门</w:t>
      </w:r>
      <w:r>
        <w:rPr>
          <w:rFonts w:hint="eastAsia" w:ascii="黑体" w:eastAsia="黑体" w:cs="黑体"/>
          <w:b w:val="0"/>
          <w:bCs w:val="0"/>
          <w:kern w:val="0"/>
          <w:sz w:val="32"/>
          <w:szCs w:val="32"/>
        </w:rPr>
        <w:t>职</w:t>
      </w:r>
      <w:r>
        <w:rPr>
          <w:rFonts w:hint="eastAsia" w:ascii="黑体" w:eastAsia="黑体" w:cs="黑体"/>
          <w:b w:val="0"/>
          <w:bCs w:val="0"/>
          <w:kern w:val="0"/>
          <w:sz w:val="32"/>
          <w:szCs w:val="32"/>
          <w:lang w:eastAsia="zh-CN"/>
        </w:rPr>
        <w:t>能</w:t>
      </w:r>
    </w:p>
    <w:p w14:paraId="5A7EB0C9">
      <w:pPr>
        <w:ind w:firstLine="560"/>
        <w:rPr>
          <w:rFonts w:hint="eastAsia" w:ascii="楷体" w:hAnsi="楷体" w:eastAsia="楷体" w:cs="楷体"/>
          <w:sz w:val="32"/>
          <w:szCs w:val="32"/>
        </w:rPr>
      </w:pPr>
      <w:r>
        <w:rPr>
          <w:rFonts w:hint="eastAsia" w:ascii="楷体" w:hAnsi="楷体" w:eastAsia="楷体" w:cs="楷体"/>
          <w:sz w:val="32"/>
          <w:szCs w:val="32"/>
          <w:lang w:val="en-US" w:eastAsia="zh-CN"/>
        </w:rPr>
        <w:t>1.</w:t>
      </w:r>
      <w:r>
        <w:rPr>
          <w:rFonts w:hint="eastAsia" w:ascii="楷体" w:hAnsi="楷体" w:eastAsia="楷体" w:cs="楷体"/>
          <w:sz w:val="32"/>
          <w:szCs w:val="32"/>
        </w:rPr>
        <w:t>人大监督</w:t>
      </w:r>
    </w:p>
    <w:p w14:paraId="2B25FE6C">
      <w:pPr>
        <w:ind w:firstLine="560"/>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1</w:t>
      </w:r>
      <w:r>
        <w:rPr>
          <w:rFonts w:hint="eastAsia" w:ascii="仿宋_GB2312" w:eastAsia="仿宋_GB2312"/>
          <w:sz w:val="32"/>
          <w:szCs w:val="32"/>
          <w:lang w:eastAsia="zh-CN"/>
        </w:rPr>
        <w:t>）</w:t>
      </w:r>
      <w:r>
        <w:rPr>
          <w:rFonts w:hint="eastAsia" w:ascii="仿宋_GB2312" w:eastAsia="仿宋_GB2312"/>
          <w:sz w:val="32"/>
          <w:szCs w:val="32"/>
        </w:rPr>
        <w:t>监督宪法和法律在我区行政区域内正确实施。</w:t>
      </w:r>
    </w:p>
    <w:p w14:paraId="55B7331A">
      <w:pPr>
        <w:ind w:firstLine="560"/>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2</w:t>
      </w:r>
      <w:r>
        <w:rPr>
          <w:rFonts w:hint="eastAsia" w:ascii="仿宋_GB2312" w:eastAsia="仿宋_GB2312"/>
          <w:sz w:val="32"/>
          <w:szCs w:val="32"/>
          <w:lang w:eastAsia="zh-CN"/>
        </w:rPr>
        <w:t>）</w:t>
      </w:r>
      <w:r>
        <w:rPr>
          <w:rFonts w:hint="eastAsia" w:ascii="仿宋_GB2312" w:eastAsia="仿宋_GB2312"/>
          <w:sz w:val="32"/>
          <w:szCs w:val="32"/>
        </w:rPr>
        <w:t>监督一府两院依法开展工作。</w:t>
      </w:r>
    </w:p>
    <w:p w14:paraId="1C3BD2D6">
      <w:pPr>
        <w:ind w:firstLine="560"/>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3</w:t>
      </w:r>
      <w:r>
        <w:rPr>
          <w:rFonts w:hint="eastAsia" w:ascii="仿宋_GB2312" w:eastAsia="仿宋_GB2312"/>
          <w:sz w:val="32"/>
          <w:szCs w:val="32"/>
          <w:lang w:eastAsia="zh-CN"/>
        </w:rPr>
        <w:t>）监督区本级预算按照区人代会通过的预算有效</w:t>
      </w:r>
      <w:r>
        <w:rPr>
          <w:rFonts w:hint="eastAsia" w:ascii="仿宋_GB2312" w:eastAsia="仿宋_GB2312"/>
          <w:sz w:val="32"/>
          <w:szCs w:val="32"/>
        </w:rPr>
        <w:t>实施。</w:t>
      </w:r>
    </w:p>
    <w:p w14:paraId="136D090E">
      <w:pPr>
        <w:ind w:firstLine="560"/>
        <w:rPr>
          <w:rFonts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4</w:t>
      </w:r>
      <w:r>
        <w:rPr>
          <w:rFonts w:hint="eastAsia" w:ascii="仿宋_GB2312" w:eastAsia="仿宋_GB2312"/>
          <w:sz w:val="32"/>
          <w:szCs w:val="32"/>
          <w:lang w:eastAsia="zh-CN"/>
        </w:rPr>
        <w:t>）</w:t>
      </w:r>
      <w:r>
        <w:rPr>
          <w:rFonts w:hint="eastAsia" w:ascii="仿宋_GB2312" w:eastAsia="仿宋_GB2312"/>
          <w:sz w:val="32"/>
          <w:szCs w:val="32"/>
        </w:rPr>
        <w:t>监督经济和社会发展计划有效实施。</w:t>
      </w:r>
    </w:p>
    <w:p w14:paraId="4EA2CD75">
      <w:pPr>
        <w:ind w:firstLine="640" w:firstLineChars="200"/>
        <w:rPr>
          <w:rFonts w:hint="eastAsia" w:ascii="楷体" w:hAnsi="楷体" w:eastAsia="楷体" w:cs="楷体"/>
          <w:sz w:val="32"/>
          <w:szCs w:val="32"/>
        </w:rPr>
      </w:pPr>
      <w:r>
        <w:rPr>
          <w:rFonts w:hint="eastAsia" w:ascii="楷体" w:hAnsi="楷体" w:eastAsia="楷体" w:cs="楷体"/>
          <w:sz w:val="32"/>
          <w:szCs w:val="32"/>
          <w:lang w:val="en-US" w:eastAsia="zh-CN"/>
        </w:rPr>
        <w:t>2.</w:t>
      </w:r>
      <w:r>
        <w:rPr>
          <w:rFonts w:hint="eastAsia" w:ascii="楷体" w:hAnsi="楷体" w:eastAsia="楷体" w:cs="楷体"/>
          <w:sz w:val="32"/>
          <w:szCs w:val="32"/>
        </w:rPr>
        <w:t>人大会议</w:t>
      </w:r>
    </w:p>
    <w:p w14:paraId="736106E8">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1</w:t>
      </w:r>
      <w:r>
        <w:rPr>
          <w:rFonts w:hint="eastAsia" w:ascii="仿宋_GB2312" w:eastAsia="仿宋_GB2312"/>
          <w:sz w:val="32"/>
          <w:szCs w:val="32"/>
          <w:lang w:eastAsia="zh-CN"/>
        </w:rPr>
        <w:t>）</w:t>
      </w:r>
      <w:r>
        <w:rPr>
          <w:rFonts w:hint="eastAsia" w:ascii="仿宋_GB2312" w:eastAsia="仿宋_GB2312"/>
          <w:sz w:val="32"/>
          <w:szCs w:val="32"/>
        </w:rPr>
        <w:t>在人大代表和区人大常委</w:t>
      </w:r>
      <w:r>
        <w:rPr>
          <w:rFonts w:hint="eastAsia" w:ascii="仿宋_GB2312" w:eastAsia="仿宋_GB2312"/>
          <w:sz w:val="32"/>
          <w:szCs w:val="32"/>
          <w:lang w:eastAsia="zh-CN"/>
        </w:rPr>
        <w:t>会委员</w:t>
      </w:r>
      <w:r>
        <w:rPr>
          <w:rFonts w:hint="eastAsia" w:ascii="仿宋_GB2312" w:eastAsia="仿宋_GB2312"/>
          <w:sz w:val="32"/>
          <w:szCs w:val="32"/>
        </w:rPr>
        <w:t>充分发表审议意见的基础上，作出我区区经济社会发展计划、区总预算和区本级预算等决议。</w:t>
      </w:r>
    </w:p>
    <w:p w14:paraId="744BCC8E">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2</w:t>
      </w:r>
      <w:r>
        <w:rPr>
          <w:rFonts w:hint="eastAsia" w:ascii="仿宋_GB2312" w:eastAsia="仿宋_GB2312"/>
          <w:sz w:val="32"/>
          <w:szCs w:val="32"/>
          <w:lang w:eastAsia="zh-CN"/>
        </w:rPr>
        <w:t>）</w:t>
      </w:r>
      <w:r>
        <w:rPr>
          <w:rFonts w:hint="eastAsia" w:ascii="仿宋_GB2312" w:eastAsia="仿宋_GB2312"/>
          <w:sz w:val="32"/>
          <w:szCs w:val="32"/>
        </w:rPr>
        <w:t>通过听取和审议一府两院等工作报告，作出有关报告的决议。</w:t>
      </w:r>
    </w:p>
    <w:p w14:paraId="1129ED91">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3</w:t>
      </w:r>
      <w:r>
        <w:rPr>
          <w:rFonts w:hint="eastAsia" w:ascii="仿宋_GB2312" w:eastAsia="仿宋_GB2312"/>
          <w:sz w:val="32"/>
          <w:szCs w:val="32"/>
          <w:lang w:eastAsia="zh-CN"/>
        </w:rPr>
        <w:t>）</w:t>
      </w:r>
      <w:r>
        <w:rPr>
          <w:rFonts w:hint="eastAsia" w:ascii="仿宋_GB2312" w:eastAsia="仿宋_GB2312"/>
          <w:sz w:val="32"/>
          <w:szCs w:val="32"/>
        </w:rPr>
        <w:t>通过质询、专题询问和工作评议的方式就一府两院的工作进行监督。</w:t>
      </w:r>
    </w:p>
    <w:p w14:paraId="23558ED5">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4</w:t>
      </w:r>
      <w:r>
        <w:rPr>
          <w:rFonts w:hint="eastAsia" w:ascii="仿宋_GB2312" w:eastAsia="仿宋_GB2312"/>
          <w:sz w:val="32"/>
          <w:szCs w:val="32"/>
          <w:lang w:eastAsia="zh-CN"/>
        </w:rPr>
        <w:t>）</w:t>
      </w:r>
      <w:r>
        <w:rPr>
          <w:rFonts w:hint="eastAsia" w:ascii="仿宋_GB2312" w:eastAsia="仿宋_GB2312"/>
          <w:sz w:val="32"/>
          <w:szCs w:val="32"/>
        </w:rPr>
        <w:t>为保证我区重大决策的科学性和法定性，实施作出有关我区重大问题的决定。</w:t>
      </w:r>
    </w:p>
    <w:p w14:paraId="0DBD31C5">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w:t>
      </w:r>
      <w:r>
        <w:rPr>
          <w:rFonts w:hint="eastAsia" w:ascii="仿宋_GB2312" w:eastAsia="仿宋_GB2312"/>
          <w:sz w:val="32"/>
          <w:szCs w:val="32"/>
          <w:lang w:val="en-US" w:eastAsia="zh-CN"/>
        </w:rPr>
        <w:t>5</w:t>
      </w:r>
      <w:r>
        <w:rPr>
          <w:rFonts w:hint="eastAsia" w:ascii="仿宋_GB2312" w:eastAsia="仿宋_GB2312"/>
          <w:sz w:val="32"/>
          <w:szCs w:val="32"/>
          <w:lang w:eastAsia="zh-CN"/>
        </w:rPr>
        <w:t>）</w:t>
      </w:r>
      <w:r>
        <w:rPr>
          <w:rFonts w:hint="eastAsia" w:ascii="仿宋_GB2312" w:eastAsia="仿宋_GB2312"/>
          <w:sz w:val="32"/>
          <w:szCs w:val="32"/>
        </w:rPr>
        <w:t>高效、精细</w:t>
      </w:r>
      <w:r>
        <w:rPr>
          <w:rFonts w:hint="eastAsia" w:ascii="仿宋_GB2312" w:eastAsia="仿宋_GB2312"/>
          <w:sz w:val="32"/>
          <w:szCs w:val="32"/>
          <w:lang w:eastAsia="zh-CN"/>
        </w:rPr>
        <w:t>地</w:t>
      </w:r>
      <w:r>
        <w:rPr>
          <w:rFonts w:hint="eastAsia" w:ascii="仿宋_GB2312" w:eastAsia="仿宋_GB2312"/>
          <w:sz w:val="32"/>
          <w:szCs w:val="32"/>
        </w:rPr>
        <w:t>筹备区人代会</w:t>
      </w:r>
      <w:r>
        <w:rPr>
          <w:rFonts w:hint="eastAsia" w:ascii="仿宋_GB2312" w:eastAsia="仿宋_GB2312"/>
          <w:sz w:val="32"/>
          <w:szCs w:val="32"/>
          <w:lang w:eastAsia="zh-CN"/>
        </w:rPr>
        <w:t>。</w:t>
      </w:r>
    </w:p>
    <w:p w14:paraId="11009A90">
      <w:pPr>
        <w:ind w:firstLine="560"/>
        <w:rPr>
          <w:rFonts w:hint="eastAsia" w:ascii="楷体" w:hAnsi="楷体" w:eastAsia="楷体" w:cs="楷体"/>
          <w:sz w:val="32"/>
          <w:szCs w:val="32"/>
        </w:rPr>
      </w:pPr>
      <w:r>
        <w:rPr>
          <w:rFonts w:hint="eastAsia" w:ascii="楷体" w:hAnsi="楷体" w:eastAsia="楷体" w:cs="楷体"/>
          <w:sz w:val="32"/>
          <w:szCs w:val="32"/>
          <w:lang w:val="en-US" w:eastAsia="zh-CN"/>
        </w:rPr>
        <w:t>3.</w:t>
      </w:r>
      <w:r>
        <w:rPr>
          <w:rFonts w:hint="eastAsia" w:ascii="楷体" w:hAnsi="楷体" w:eastAsia="楷体" w:cs="楷体"/>
          <w:sz w:val="32"/>
          <w:szCs w:val="32"/>
        </w:rPr>
        <w:t>选举和任免</w:t>
      </w:r>
    </w:p>
    <w:p w14:paraId="22711B81">
      <w:pPr>
        <w:ind w:firstLine="560"/>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1</w:t>
      </w:r>
      <w:r>
        <w:rPr>
          <w:rFonts w:hint="eastAsia" w:ascii="仿宋_GB2312" w:eastAsia="仿宋_GB2312"/>
          <w:sz w:val="32"/>
          <w:szCs w:val="32"/>
          <w:lang w:eastAsia="zh-CN"/>
        </w:rPr>
        <w:t>）</w:t>
      </w:r>
      <w:r>
        <w:rPr>
          <w:rFonts w:hint="eastAsia" w:ascii="仿宋_GB2312" w:eastAsia="仿宋_GB2312"/>
          <w:sz w:val="32"/>
          <w:szCs w:val="32"/>
        </w:rPr>
        <w:t>根据一府两院的工作需要和区委建议，在充分酝酿和审议的基础上，选举产生一府两院的领导成员，确保选出能力突出、责任心强的同志担任一府两院的领导同志。</w:t>
      </w:r>
    </w:p>
    <w:p w14:paraId="623AC65E">
      <w:pPr>
        <w:ind w:firstLine="560"/>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2</w:t>
      </w:r>
      <w:r>
        <w:rPr>
          <w:rFonts w:hint="eastAsia" w:ascii="仿宋_GB2312" w:eastAsia="仿宋_GB2312"/>
          <w:sz w:val="32"/>
          <w:szCs w:val="32"/>
          <w:lang w:eastAsia="zh-CN"/>
        </w:rPr>
        <w:t>）</w:t>
      </w:r>
      <w:r>
        <w:rPr>
          <w:rFonts w:hint="eastAsia" w:ascii="仿宋_GB2312" w:eastAsia="仿宋_GB2312"/>
          <w:sz w:val="32"/>
          <w:szCs w:val="32"/>
        </w:rPr>
        <w:t>为确保有关选举的法律法规符合实际，在充分考察调研的基础上，实施对其进行修改。</w:t>
      </w:r>
    </w:p>
    <w:p w14:paraId="485AF36F">
      <w:pPr>
        <w:ind w:firstLine="560"/>
        <w:rPr>
          <w:rFonts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3</w:t>
      </w:r>
      <w:r>
        <w:rPr>
          <w:rFonts w:hint="eastAsia" w:ascii="仿宋_GB2312" w:eastAsia="仿宋_GB2312"/>
          <w:sz w:val="32"/>
          <w:szCs w:val="32"/>
          <w:lang w:eastAsia="zh-CN"/>
        </w:rPr>
        <w:t>）</w:t>
      </w:r>
      <w:r>
        <w:rPr>
          <w:rFonts w:hint="eastAsia" w:ascii="仿宋_GB2312" w:eastAsia="仿宋_GB2312"/>
          <w:sz w:val="32"/>
          <w:szCs w:val="32"/>
        </w:rPr>
        <w:t>对区政府组成人员和区人民法院、区人民检察院主要负责人进行目标责任监督，确保依法履行职责，完成目标任务。</w:t>
      </w:r>
    </w:p>
    <w:p w14:paraId="2E7E73DA">
      <w:pPr>
        <w:ind w:firstLine="560"/>
        <w:rPr>
          <w:rFonts w:hint="eastAsia" w:ascii="楷体" w:hAnsi="楷体" w:eastAsia="楷体" w:cs="楷体"/>
          <w:sz w:val="32"/>
          <w:szCs w:val="32"/>
        </w:rPr>
      </w:pPr>
      <w:r>
        <w:rPr>
          <w:rFonts w:hint="eastAsia" w:ascii="楷体" w:hAnsi="楷体" w:eastAsia="楷体" w:cs="楷体"/>
          <w:sz w:val="32"/>
          <w:szCs w:val="32"/>
          <w:lang w:val="en-US" w:eastAsia="zh-CN"/>
        </w:rPr>
        <w:t>4.</w:t>
      </w:r>
      <w:r>
        <w:rPr>
          <w:rFonts w:hint="eastAsia" w:ascii="楷体" w:hAnsi="楷体" w:eastAsia="楷体" w:cs="楷体"/>
          <w:sz w:val="32"/>
          <w:szCs w:val="32"/>
        </w:rPr>
        <w:t>人大事务管理</w:t>
      </w:r>
    </w:p>
    <w:p w14:paraId="4B9258B6">
      <w:pPr>
        <w:autoSpaceDE w:val="0"/>
        <w:autoSpaceDN w:val="0"/>
        <w:adjustRightInd w:val="0"/>
        <w:spacing w:line="360" w:lineRule="auto"/>
        <w:ind w:right="198" w:firstLine="640" w:firstLineChars="200"/>
        <w:rPr>
          <w:rFonts w:hint="eastAsia" w:ascii="仿宋_GB2312" w:eastAsia="仿宋_GB2312"/>
          <w:sz w:val="32"/>
          <w:szCs w:val="32"/>
          <w:lang w:eastAsia="zh-CN"/>
        </w:rPr>
      </w:pPr>
      <w:r>
        <w:rPr>
          <w:rFonts w:hint="eastAsia" w:ascii="仿宋_GB2312" w:eastAsia="仿宋_GB2312"/>
          <w:sz w:val="32"/>
          <w:szCs w:val="32"/>
        </w:rPr>
        <w:t>确保新闻宣传工作正常开展，信息系统运行正常，会议表决系统运转良好，机关基础设施运转良好，人大公报等正常出版，信访工作平稳。</w:t>
      </w:r>
    </w:p>
    <w:p w14:paraId="168F4427">
      <w:pPr>
        <w:keepNext/>
        <w:keepLines/>
        <w:spacing w:line="580" w:lineRule="exact"/>
        <w:ind w:firstLine="640" w:firstLineChars="200"/>
        <w:jc w:val="left"/>
        <w:outlineLvl w:val="0"/>
        <w:rPr>
          <w:rFonts w:hint="eastAsia" w:ascii="黑体" w:eastAsia="黑体" w:cs="黑体"/>
          <w:kern w:val="0"/>
          <w:sz w:val="32"/>
          <w:szCs w:val="32"/>
        </w:rPr>
      </w:pPr>
      <w:r>
        <w:rPr>
          <w:rFonts w:hint="eastAsia" w:ascii="黑体" w:eastAsia="黑体" w:cs="黑体"/>
          <w:kern w:val="0"/>
          <w:sz w:val="32"/>
          <w:szCs w:val="32"/>
        </w:rPr>
        <w:t>机构设置</w:t>
      </w:r>
    </w:p>
    <w:p w14:paraId="6FE1272C">
      <w:pPr>
        <w:spacing w:after="0" w:line="560" w:lineRule="exact"/>
        <w:ind w:firstLine="640"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lang w:eastAsia="zh-CN"/>
        </w:rPr>
        <w:t>本单位属</w:t>
      </w:r>
      <w:r>
        <w:rPr>
          <w:rFonts w:hint="eastAsia" w:ascii="仿宋_GB2312" w:hAnsi="仿宋_GB2312" w:eastAsia="仿宋_GB2312" w:cs="仿宋_GB2312"/>
          <w:kern w:val="0"/>
          <w:sz w:val="32"/>
          <w:szCs w:val="32"/>
        </w:rPr>
        <w:t>独立核算</w:t>
      </w:r>
      <w:r>
        <w:rPr>
          <w:rFonts w:hint="eastAsia" w:ascii="仿宋_GB2312" w:hAnsi="仿宋_GB2312" w:eastAsia="仿宋_GB2312" w:cs="仿宋_GB2312"/>
          <w:kern w:val="0"/>
          <w:sz w:val="32"/>
          <w:szCs w:val="32"/>
          <w:lang w:eastAsia="zh-CN"/>
        </w:rPr>
        <w:t>部门，</w:t>
      </w:r>
      <w:r>
        <w:rPr>
          <w:rFonts w:hint="eastAsia" w:ascii="仿宋_GB2312" w:hAnsi="仿宋_GB2312" w:eastAsia="仿宋_GB2312" w:cs="仿宋_GB2312"/>
          <w:kern w:val="0"/>
          <w:sz w:val="32"/>
          <w:szCs w:val="32"/>
        </w:rPr>
        <w:t>共</w:t>
      </w:r>
      <w:r>
        <w:rPr>
          <w:rFonts w:hint="eastAsia" w:ascii="仿宋_GB2312" w:hAnsi="仿宋_GB2312" w:eastAsia="仿宋_GB2312" w:cs="仿宋_GB2312"/>
          <w:kern w:val="0"/>
          <w:sz w:val="32"/>
          <w:szCs w:val="32"/>
          <w:lang w:val="en-US" w:eastAsia="zh-CN"/>
        </w:rPr>
        <w:t>1</w:t>
      </w:r>
      <w:r>
        <w:rPr>
          <w:rFonts w:hint="eastAsia" w:ascii="仿宋_GB2312" w:hAnsi="仿宋_GB2312" w:eastAsia="仿宋_GB2312" w:cs="仿宋_GB2312"/>
          <w:kern w:val="0"/>
          <w:sz w:val="32"/>
          <w:szCs w:val="32"/>
        </w:rPr>
        <w:t>个，具体情况如下：</w:t>
      </w:r>
    </w:p>
    <w:p w14:paraId="3851D45B">
      <w:pPr>
        <w:pStyle w:val="2"/>
        <w:rPr>
          <w:rFonts w:hint="eastAsia" w:ascii="仿宋_GB2312" w:hAnsi="仿宋_GB2312" w:eastAsia="仿宋_GB2312" w:cs="仿宋_GB2312"/>
          <w:kern w:val="0"/>
          <w:sz w:val="32"/>
          <w:szCs w:val="32"/>
        </w:rPr>
      </w:pPr>
    </w:p>
    <w:p w14:paraId="67BC94E0">
      <w:pPr>
        <w:rPr>
          <w:rFonts w:hint="eastAsia"/>
        </w:rPr>
      </w:pPr>
    </w:p>
    <w:tbl>
      <w:tblPr>
        <w:tblStyle w:val="11"/>
        <w:tblpPr w:leftFromText="180" w:rightFromText="180" w:vertAnchor="text" w:horzAnchor="page" w:tblpXSpec="center" w:tblpY="10"/>
        <w:tblOverlap w:val="never"/>
        <w:tblW w:w="86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1"/>
        <w:gridCol w:w="3821"/>
        <w:gridCol w:w="1796"/>
        <w:gridCol w:w="2389"/>
      </w:tblGrid>
      <w:tr w14:paraId="48B6D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691" w:type="dxa"/>
            <w:noWrap w:val="0"/>
            <w:vAlign w:val="center"/>
          </w:tcPr>
          <w:p w14:paraId="0B97C29A">
            <w:pPr>
              <w:spacing w:after="0" w:line="560" w:lineRule="exact"/>
              <w:ind w:left="0" w:leftChars="0" w:firstLine="0" w:firstLineChars="0"/>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lang w:eastAsia="zh-CN"/>
              </w:rPr>
              <w:t>序</w:t>
            </w:r>
            <w:r>
              <w:rPr>
                <w:rFonts w:hint="eastAsia" w:ascii="仿宋_GB2312" w:hAnsi="仿宋_GB2312" w:eastAsia="仿宋_GB2312" w:cs="仿宋_GB2312"/>
                <w:b/>
                <w:bCs/>
                <w:kern w:val="0"/>
                <w:sz w:val="32"/>
                <w:szCs w:val="32"/>
              </w:rPr>
              <w:t>号</w:t>
            </w:r>
          </w:p>
        </w:tc>
        <w:tc>
          <w:tcPr>
            <w:tcW w:w="3821" w:type="dxa"/>
            <w:noWrap w:val="0"/>
            <w:vAlign w:val="center"/>
          </w:tcPr>
          <w:p w14:paraId="0B5E0C08">
            <w:pPr>
              <w:spacing w:after="0" w:line="560" w:lineRule="exact"/>
              <w:ind w:left="0" w:leftChars="0" w:firstLine="0" w:firstLineChars="0"/>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lang w:eastAsia="zh-CN"/>
              </w:rPr>
              <w:t>部门</w:t>
            </w:r>
            <w:r>
              <w:rPr>
                <w:rFonts w:hint="eastAsia" w:ascii="仿宋_GB2312" w:hAnsi="仿宋_GB2312" w:eastAsia="仿宋_GB2312" w:cs="仿宋_GB2312"/>
                <w:b/>
                <w:bCs/>
                <w:kern w:val="0"/>
                <w:sz w:val="32"/>
                <w:szCs w:val="32"/>
              </w:rPr>
              <w:t>名称</w:t>
            </w:r>
          </w:p>
        </w:tc>
        <w:tc>
          <w:tcPr>
            <w:tcW w:w="1796" w:type="dxa"/>
            <w:noWrap w:val="0"/>
            <w:vAlign w:val="center"/>
          </w:tcPr>
          <w:p w14:paraId="7BB77BD5">
            <w:pPr>
              <w:spacing w:after="0" w:line="560" w:lineRule="exact"/>
              <w:ind w:left="0" w:leftChars="0" w:firstLine="0" w:firstLineChars="0"/>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lang w:eastAsia="zh-CN"/>
              </w:rPr>
              <w:t>单位</w:t>
            </w:r>
            <w:r>
              <w:rPr>
                <w:rFonts w:hint="eastAsia" w:ascii="仿宋_GB2312" w:hAnsi="仿宋_GB2312" w:eastAsia="仿宋_GB2312" w:cs="仿宋_GB2312"/>
                <w:b/>
                <w:bCs/>
                <w:kern w:val="0"/>
                <w:sz w:val="32"/>
                <w:szCs w:val="32"/>
              </w:rPr>
              <w:t>基本性质</w:t>
            </w:r>
          </w:p>
        </w:tc>
        <w:tc>
          <w:tcPr>
            <w:tcW w:w="2389" w:type="dxa"/>
            <w:noWrap w:val="0"/>
            <w:vAlign w:val="center"/>
          </w:tcPr>
          <w:p w14:paraId="4C2B4905">
            <w:pPr>
              <w:spacing w:after="0" w:line="560" w:lineRule="exact"/>
              <w:ind w:left="0" w:leftChars="0" w:firstLine="0" w:firstLineChars="0"/>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经费形式</w:t>
            </w:r>
          </w:p>
        </w:tc>
      </w:tr>
      <w:tr w14:paraId="0B940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91" w:type="dxa"/>
            <w:noWrap w:val="0"/>
            <w:vAlign w:val="center"/>
          </w:tcPr>
          <w:p w14:paraId="40962DE7">
            <w:pPr>
              <w:spacing w:after="0" w:line="560" w:lineRule="exact"/>
              <w:ind w:firstLine="640" w:firstLineChars="200"/>
              <w:jc w:val="center"/>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w:t>
            </w:r>
          </w:p>
        </w:tc>
        <w:tc>
          <w:tcPr>
            <w:tcW w:w="3821" w:type="dxa"/>
            <w:noWrap w:val="0"/>
            <w:vAlign w:val="center"/>
          </w:tcPr>
          <w:p w14:paraId="1809293E">
            <w:pPr>
              <w:spacing w:after="0" w:line="560" w:lineRule="exact"/>
              <w:ind w:left="0" w:leftChars="0" w:firstLine="0" w:firstLineChars="0"/>
              <w:jc w:val="center"/>
              <w:rPr>
                <w:rFonts w:hint="eastAsia" w:ascii="仿宋_GB2312" w:hAnsi="仿宋_GB2312" w:eastAsia="仿宋_GB2312" w:cs="仿宋_GB2312"/>
                <w:kern w:val="0"/>
                <w:sz w:val="32"/>
                <w:szCs w:val="32"/>
                <w:lang w:eastAsia="zh-CN"/>
              </w:rPr>
            </w:pPr>
            <w:r>
              <w:rPr>
                <w:rFonts w:hint="eastAsia" w:ascii="仿宋_GB2312" w:hAnsi="仿宋_GB2312" w:eastAsia="仿宋_GB2312" w:cs="仿宋_GB2312"/>
                <w:kern w:val="0"/>
                <w:sz w:val="32"/>
                <w:szCs w:val="32"/>
                <w:lang w:eastAsia="zh-CN"/>
              </w:rPr>
              <w:t>石家庄市鹿泉区人民代表大会常务委员会</w:t>
            </w:r>
          </w:p>
        </w:tc>
        <w:tc>
          <w:tcPr>
            <w:tcW w:w="1796" w:type="dxa"/>
            <w:noWrap w:val="0"/>
            <w:vAlign w:val="center"/>
          </w:tcPr>
          <w:p w14:paraId="37D688B3">
            <w:pPr>
              <w:spacing w:after="0" w:line="560" w:lineRule="exact"/>
              <w:ind w:left="0" w:leftChars="0" w:firstLine="0" w:firstLineChars="0"/>
              <w:jc w:val="center"/>
              <w:rPr>
                <w:rFonts w:hint="eastAsia" w:ascii="仿宋_GB2312" w:hAnsi="仿宋_GB2312" w:eastAsia="仿宋_GB2312" w:cs="仿宋_GB2312"/>
                <w:kern w:val="0"/>
                <w:sz w:val="32"/>
                <w:szCs w:val="32"/>
                <w:lang w:eastAsia="zh-CN"/>
              </w:rPr>
            </w:pPr>
            <w:r>
              <w:rPr>
                <w:rFonts w:hint="eastAsia" w:ascii="仿宋_GB2312" w:hAnsi="仿宋_GB2312" w:eastAsia="仿宋_GB2312" w:cs="仿宋_GB2312"/>
                <w:kern w:val="0"/>
                <w:sz w:val="32"/>
                <w:szCs w:val="32"/>
                <w:lang w:eastAsia="zh-CN"/>
              </w:rPr>
              <w:t>行政单位</w:t>
            </w:r>
          </w:p>
        </w:tc>
        <w:tc>
          <w:tcPr>
            <w:tcW w:w="2389" w:type="dxa"/>
            <w:noWrap w:val="0"/>
            <w:vAlign w:val="center"/>
          </w:tcPr>
          <w:p w14:paraId="03586939">
            <w:pPr>
              <w:spacing w:after="0" w:line="560" w:lineRule="exact"/>
              <w:ind w:left="0" w:leftChars="0" w:firstLine="0" w:firstLineChars="0"/>
              <w:jc w:val="center"/>
              <w:rPr>
                <w:rFonts w:hint="eastAsia" w:ascii="仿宋_GB2312" w:hAnsi="仿宋_GB2312" w:eastAsia="仿宋_GB2312" w:cs="仿宋_GB2312"/>
                <w:kern w:val="0"/>
                <w:sz w:val="32"/>
                <w:szCs w:val="32"/>
                <w:lang w:eastAsia="zh-CN"/>
              </w:rPr>
            </w:pPr>
            <w:r>
              <w:rPr>
                <w:rFonts w:hint="eastAsia" w:ascii="仿宋_GB2312" w:hAnsi="仿宋_GB2312" w:eastAsia="仿宋_GB2312" w:cs="仿宋_GB2312"/>
                <w:kern w:val="0"/>
                <w:sz w:val="32"/>
                <w:szCs w:val="32"/>
                <w:lang w:eastAsia="zh-CN"/>
              </w:rPr>
              <w:t>财政拨款</w:t>
            </w:r>
          </w:p>
        </w:tc>
      </w:tr>
    </w:tbl>
    <w:p w14:paraId="7B52235B">
      <w:pPr>
        <w:spacing w:line="64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区人大常委会机关设科级综合办事机构及工作委员会5个，即：办公室、代表联络选举任免工作委员会、</w:t>
      </w:r>
      <w:r>
        <w:rPr>
          <w:rFonts w:hint="eastAsia" w:ascii="仿宋_GB2312" w:hAnsi="仿宋_GB2312" w:eastAsia="仿宋_GB2312" w:cs="仿宋_GB2312"/>
          <w:sz w:val="32"/>
          <w:szCs w:val="32"/>
          <w:lang w:eastAsia="zh-CN"/>
        </w:rPr>
        <w:t>法制</w:t>
      </w:r>
      <w:r>
        <w:rPr>
          <w:rFonts w:hint="eastAsia" w:ascii="仿宋_GB2312" w:hAnsi="仿宋_GB2312" w:eastAsia="仿宋_GB2312" w:cs="仿宋_GB2312"/>
          <w:sz w:val="32"/>
          <w:szCs w:val="32"/>
        </w:rPr>
        <w:t>工作委员会、</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工作委员会、教育科学文化卫生工作委员会。信访办公室、老干部办公室设在</w:t>
      </w:r>
      <w:r>
        <w:rPr>
          <w:rFonts w:hint="eastAsia" w:ascii="仿宋_GB2312" w:hAnsi="仿宋_GB2312" w:eastAsia="仿宋_GB2312" w:cs="仿宋_GB2312"/>
          <w:sz w:val="32"/>
          <w:szCs w:val="32"/>
          <w:lang w:eastAsia="zh-CN"/>
        </w:rPr>
        <w:t>人大常委会办公室</w:t>
      </w:r>
      <w:r>
        <w:rPr>
          <w:rFonts w:hint="eastAsia" w:ascii="仿宋_GB2312" w:hAnsi="仿宋_GB2312" w:eastAsia="仿宋_GB2312" w:cs="仿宋_GB2312"/>
          <w:sz w:val="32"/>
          <w:szCs w:val="32"/>
        </w:rPr>
        <w:t>内。</w:t>
      </w:r>
    </w:p>
    <w:p w14:paraId="0B1F16F3">
      <w:pPr>
        <w:spacing w:line="64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办公室：掌握人大常委会的全部情况，搞好信息反馈，上呈下达。信访办公室设在</w:t>
      </w:r>
      <w:r>
        <w:rPr>
          <w:rFonts w:hint="eastAsia" w:ascii="仿宋_GB2312" w:hAnsi="仿宋_GB2312" w:eastAsia="仿宋_GB2312" w:cs="仿宋_GB2312"/>
          <w:sz w:val="32"/>
          <w:szCs w:val="32"/>
          <w:lang w:eastAsia="zh-CN"/>
        </w:rPr>
        <w:t>人大常委会办公室</w:t>
      </w:r>
      <w:r>
        <w:rPr>
          <w:rFonts w:hint="eastAsia" w:ascii="仿宋_GB2312" w:hAnsi="仿宋_GB2312" w:eastAsia="仿宋_GB2312" w:cs="仿宋_GB2312"/>
          <w:sz w:val="32"/>
          <w:szCs w:val="32"/>
        </w:rPr>
        <w:t>内，接待群众来信来访，按照登记、批阅、转办或交办督办的程序，办理所受理的信访事项。老干部办公室设在</w:t>
      </w:r>
      <w:r>
        <w:rPr>
          <w:rFonts w:hint="eastAsia" w:ascii="仿宋_GB2312" w:hAnsi="仿宋_GB2312" w:eastAsia="仿宋_GB2312" w:cs="仿宋_GB2312"/>
          <w:sz w:val="32"/>
          <w:szCs w:val="32"/>
          <w:lang w:eastAsia="zh-CN"/>
        </w:rPr>
        <w:t>人大常委会办公室</w:t>
      </w:r>
      <w:r>
        <w:rPr>
          <w:rFonts w:hint="eastAsia" w:ascii="仿宋_GB2312" w:hAnsi="仿宋_GB2312" w:eastAsia="仿宋_GB2312" w:cs="仿宋_GB2312"/>
          <w:sz w:val="32"/>
          <w:szCs w:val="32"/>
        </w:rPr>
        <w:t>内，做好</w:t>
      </w:r>
      <w:bookmarkStart w:id="0" w:name="_GoBack"/>
      <w:bookmarkEnd w:id="0"/>
      <w:r>
        <w:rPr>
          <w:rFonts w:hint="eastAsia" w:ascii="仿宋_GB2312" w:hAnsi="仿宋_GB2312" w:eastAsia="仿宋_GB2312" w:cs="仿宋_GB2312"/>
          <w:sz w:val="32"/>
          <w:szCs w:val="32"/>
          <w:lang w:eastAsia="zh-CN"/>
        </w:rPr>
        <w:t>人大常委会机关</w:t>
      </w:r>
      <w:r>
        <w:rPr>
          <w:rFonts w:hint="eastAsia" w:ascii="仿宋_GB2312" w:hAnsi="仿宋_GB2312" w:eastAsia="仿宋_GB2312" w:cs="仿宋_GB2312"/>
          <w:sz w:val="32"/>
          <w:szCs w:val="32"/>
        </w:rPr>
        <w:t>老干部信息统计工作，熟悉掌握老干部基本情况。</w:t>
      </w:r>
    </w:p>
    <w:p w14:paraId="1882F4DD">
      <w:pPr>
        <w:spacing w:line="64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代表联络选举任免工作委员会：负责接受、审理、传递、催办转达有关人民代表提出的议案、建议、批评和意见</w:t>
      </w:r>
      <w:r>
        <w:rPr>
          <w:rFonts w:hint="eastAsia" w:ascii="仿宋_GB2312" w:hAnsi="仿宋_GB2312" w:eastAsia="仿宋_GB2312" w:cs="仿宋_GB2312"/>
          <w:sz w:val="32"/>
          <w:szCs w:val="32"/>
          <w:lang w:eastAsia="zh-CN"/>
        </w:rPr>
        <w:t>。</w:t>
      </w:r>
    </w:p>
    <w:p w14:paraId="246885E1">
      <w:pPr>
        <w:spacing w:line="64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法制</w:t>
      </w:r>
      <w:r>
        <w:rPr>
          <w:rFonts w:hint="eastAsia" w:ascii="仿宋_GB2312" w:hAnsi="仿宋_GB2312" w:eastAsia="仿宋_GB2312" w:cs="仿宋_GB2312"/>
          <w:sz w:val="32"/>
          <w:szCs w:val="32"/>
        </w:rPr>
        <w:t>工作委员会：负责调查了解“一府两院”贯彻执行《宪法》、法律法规和人大及常委会决议、决定的情况，发现“一府两院”发布的行政命令和乡镇人代会决议与宪法、法律法规相抵触的问题向人大常委会提出报告或议案的建议。</w:t>
      </w:r>
    </w:p>
    <w:p w14:paraId="6DC365E7">
      <w:pPr>
        <w:spacing w:line="64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工作委员会：负责了解和掌握人民政府贯彻执行有关农业、工业、财经、贸易等方面的法律、法令、法规和人大及其常委会决议、决定情况，对财政经济方面的议案进行调查研究，提出意见，为人大常委会审议提供依据。</w:t>
      </w:r>
    </w:p>
    <w:p w14:paraId="54A97F58">
      <w:pPr>
        <w:spacing w:line="64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教育科学文化卫生工作委员会：负责调查了解与教育、科学、文化、卫生、体育、计划生育等有关的法律、法令、法规的贯彻执行情况。</w:t>
      </w:r>
    </w:p>
    <w:p w14:paraId="71811E1A">
      <w:pPr>
        <w:keepNext/>
        <w:keepLines/>
        <w:spacing w:line="580" w:lineRule="exact"/>
        <w:ind w:firstLine="640" w:firstLineChars="200"/>
        <w:jc w:val="left"/>
        <w:outlineLvl w:val="0"/>
        <w:rPr>
          <w:rFonts w:hint="eastAsia" w:ascii="黑体" w:eastAsia="黑体" w:cs="黑体"/>
          <w:kern w:val="0"/>
          <w:sz w:val="32"/>
          <w:szCs w:val="32"/>
          <w:lang w:eastAsia="zh-CN"/>
        </w:rPr>
      </w:pPr>
      <w:r>
        <w:rPr>
          <w:rFonts w:hint="eastAsia" w:ascii="黑体" w:eastAsia="黑体" w:cs="黑体"/>
          <w:kern w:val="0"/>
          <w:sz w:val="32"/>
          <w:szCs w:val="32"/>
          <w:lang w:eastAsia="zh-CN"/>
        </w:rPr>
        <w:t>人员情况</w:t>
      </w:r>
    </w:p>
    <w:p w14:paraId="24815509">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eastAsia="zh-CN"/>
        </w:rPr>
        <w:t>石家庄市鹿泉区人民代表大会常务委员会行政编制</w:t>
      </w:r>
      <w:r>
        <w:rPr>
          <w:rFonts w:hint="eastAsia" w:ascii="仿宋" w:hAnsi="仿宋" w:eastAsia="仿宋"/>
          <w:sz w:val="32"/>
          <w:szCs w:val="32"/>
          <w:lang w:val="en-US" w:eastAsia="zh-CN"/>
        </w:rPr>
        <w:t>20人，在职人员20人，事业编制10人，在岗10人。</w:t>
      </w:r>
    </w:p>
    <w:p w14:paraId="6F84A392">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val="en-US" w:eastAsia="zh-CN"/>
        </w:rPr>
        <w:t>（二）</w:t>
      </w:r>
      <w:r>
        <w:rPr>
          <w:rFonts w:hint="eastAsia" w:ascii="仿宋" w:hAnsi="仿宋" w:eastAsia="仿宋" w:cs="楷体_GB2312"/>
          <w:b/>
          <w:bCs/>
          <w:sz w:val="32"/>
          <w:szCs w:val="32"/>
          <w:lang w:eastAsia="zh-CN"/>
        </w:rPr>
        <w:t>部门收支预决算情况</w:t>
      </w:r>
    </w:p>
    <w:p w14:paraId="086C4ACC">
      <w:pPr>
        <w:pStyle w:val="16"/>
        <w:keepNext w:val="0"/>
        <w:keepLines w:val="0"/>
        <w:pageBreakBefore w:val="0"/>
        <w:widowControl w:val="0"/>
        <w:kinsoku/>
        <w:wordWrap/>
        <w:overflowPunct/>
        <w:topLinePunct w:val="0"/>
        <w:autoSpaceDE/>
        <w:autoSpaceDN/>
        <w:bidi w:val="0"/>
        <w:spacing w:line="580" w:lineRule="exact"/>
        <w:ind w:left="0" w:leftChars="0" w:firstLine="640" w:firstLineChars="200"/>
        <w:textAlignment w:val="auto"/>
        <w:rPr>
          <w:rFonts w:hint="eastAsia" w:ascii="仿宋_GB2312" w:eastAsia="仿宋_GB2312" w:cs="仿宋_GB2312" w:hAnsiTheme="minorHAnsi"/>
          <w:kern w:val="0"/>
          <w:sz w:val="32"/>
          <w:szCs w:val="32"/>
          <w:lang w:val="en-US" w:eastAsia="zh-CN" w:bidi="ar-SA"/>
        </w:rPr>
      </w:pPr>
      <w:r>
        <w:rPr>
          <w:rFonts w:hint="eastAsia" w:ascii="仿宋_GB2312" w:eastAsia="仿宋_GB2312" w:cs="仿宋_GB2312" w:hAnsiTheme="minorHAnsi"/>
          <w:kern w:val="0"/>
          <w:sz w:val="32"/>
          <w:szCs w:val="32"/>
          <w:lang w:val="en-US" w:eastAsia="zh-CN" w:bidi="ar-SA"/>
        </w:rPr>
        <w:t>2024年预算收入</w:t>
      </w:r>
      <w:r>
        <w:rPr>
          <w:rFonts w:hint="eastAsia" w:ascii="仿宋_GB2312" w:hAnsi="仿宋_GB2312" w:eastAsia="仿宋_GB2312" w:cs="仿宋_GB2312"/>
          <w:kern w:val="2"/>
          <w:sz w:val="32"/>
          <w:szCs w:val="32"/>
          <w:lang w:val="en-US" w:eastAsia="zh-CN" w:bidi="ar-SA"/>
        </w:rPr>
        <w:t>868.41</w:t>
      </w:r>
      <w:r>
        <w:rPr>
          <w:rFonts w:hint="eastAsia" w:ascii="仿宋_GB2312" w:eastAsia="仿宋_GB2312" w:cs="仿宋_GB2312" w:hAnsiTheme="minorHAnsi"/>
          <w:kern w:val="0"/>
          <w:sz w:val="32"/>
          <w:szCs w:val="32"/>
          <w:lang w:val="en-US" w:eastAsia="zh-CN" w:bidi="ar-SA"/>
        </w:rPr>
        <w:t>万元，均为一般公共预算收入。</w:t>
      </w:r>
    </w:p>
    <w:p w14:paraId="13174B8F">
      <w:pPr>
        <w:pStyle w:val="16"/>
        <w:keepNext w:val="0"/>
        <w:keepLines w:val="0"/>
        <w:pageBreakBefore w:val="0"/>
        <w:widowControl w:val="0"/>
        <w:kinsoku/>
        <w:wordWrap/>
        <w:overflowPunct/>
        <w:topLinePunct w:val="0"/>
        <w:autoSpaceDE/>
        <w:autoSpaceDN/>
        <w:bidi w:val="0"/>
        <w:spacing w:line="580" w:lineRule="exact"/>
        <w:ind w:left="0" w:leftChars="0" w:firstLine="640" w:firstLineChars="200"/>
        <w:textAlignment w:val="auto"/>
        <w:rPr>
          <w:rFonts w:hint="eastAsia" w:ascii="仿宋_GB2312" w:eastAsia="仿宋_GB2312" w:cs="仿宋_GB2312" w:hAnsiTheme="minorHAnsi"/>
          <w:kern w:val="0"/>
          <w:sz w:val="32"/>
          <w:szCs w:val="32"/>
          <w:lang w:val="en-US" w:eastAsia="zh-CN" w:bidi="ar-SA"/>
        </w:rPr>
      </w:pPr>
      <w:r>
        <w:rPr>
          <w:rFonts w:hint="eastAsia" w:ascii="仿宋_GB2312" w:eastAsia="仿宋_GB2312" w:cs="仿宋_GB2312" w:hAnsiTheme="minorHAnsi"/>
          <w:kern w:val="0"/>
          <w:sz w:val="32"/>
          <w:szCs w:val="32"/>
          <w:lang w:val="en-US" w:eastAsia="zh-CN" w:bidi="ar-SA"/>
        </w:rPr>
        <w:t>2024年单位支出预算为</w:t>
      </w:r>
      <w:r>
        <w:rPr>
          <w:rFonts w:hint="eastAsia" w:ascii="仿宋_GB2312" w:hAnsi="仿宋_GB2312" w:eastAsia="仿宋_GB2312" w:cs="仿宋_GB2312"/>
          <w:kern w:val="2"/>
          <w:sz w:val="32"/>
          <w:szCs w:val="32"/>
          <w:lang w:val="en-US" w:eastAsia="zh-CN" w:bidi="ar-SA"/>
        </w:rPr>
        <w:t>868.41</w:t>
      </w:r>
      <w:r>
        <w:rPr>
          <w:rFonts w:hint="eastAsia" w:ascii="仿宋_GB2312" w:eastAsia="仿宋_GB2312" w:cs="仿宋_GB2312" w:hAnsiTheme="minorHAnsi"/>
          <w:kern w:val="0"/>
          <w:sz w:val="32"/>
          <w:szCs w:val="32"/>
          <w:lang w:val="en-US" w:eastAsia="zh-CN" w:bidi="ar-SA"/>
        </w:rPr>
        <w:t>万元，其中基本支出</w:t>
      </w:r>
      <w:r>
        <w:rPr>
          <w:rFonts w:hint="eastAsia" w:ascii="仿宋_GB2312" w:hAnsi="仿宋_GB2312" w:eastAsia="仿宋_GB2312" w:cs="仿宋_GB2312"/>
          <w:kern w:val="2"/>
          <w:sz w:val="32"/>
          <w:szCs w:val="32"/>
          <w:lang w:val="en-US" w:eastAsia="zh-CN" w:bidi="ar-SA"/>
        </w:rPr>
        <w:t>764.64</w:t>
      </w:r>
      <w:r>
        <w:rPr>
          <w:rFonts w:hint="eastAsia" w:ascii="仿宋_GB2312" w:eastAsia="仿宋_GB2312" w:cs="仿宋_GB2312" w:hAnsiTheme="minorHAnsi"/>
          <w:kern w:val="0"/>
          <w:sz w:val="32"/>
          <w:szCs w:val="32"/>
          <w:lang w:val="en-US" w:eastAsia="zh-CN" w:bidi="ar-SA"/>
        </w:rPr>
        <w:t>万元，包括人员经费</w:t>
      </w:r>
      <w:r>
        <w:rPr>
          <w:rFonts w:hint="eastAsia" w:ascii="仿宋_GB2312" w:hAnsi="仿宋_GB2312" w:eastAsia="仿宋_GB2312" w:cs="仿宋_GB2312"/>
          <w:kern w:val="2"/>
          <w:sz w:val="32"/>
          <w:szCs w:val="32"/>
          <w:lang w:val="en-US" w:eastAsia="zh-CN" w:bidi="ar-SA"/>
        </w:rPr>
        <w:t>666.93</w:t>
      </w:r>
      <w:r>
        <w:rPr>
          <w:rFonts w:hint="eastAsia" w:ascii="仿宋_GB2312" w:eastAsia="仿宋_GB2312" w:cs="仿宋_GB2312" w:hAnsiTheme="minorHAnsi"/>
          <w:kern w:val="0"/>
          <w:sz w:val="32"/>
          <w:szCs w:val="32"/>
          <w:lang w:val="en-US" w:eastAsia="zh-CN" w:bidi="ar-SA"/>
        </w:rPr>
        <w:t>万元和日常公用经费</w:t>
      </w:r>
      <w:r>
        <w:rPr>
          <w:rFonts w:hint="eastAsia" w:ascii="仿宋_GB2312" w:hAnsi="仿宋_GB2312" w:eastAsia="仿宋_GB2312" w:cs="仿宋_GB2312"/>
          <w:kern w:val="2"/>
          <w:sz w:val="32"/>
          <w:szCs w:val="32"/>
          <w:lang w:val="en-US" w:eastAsia="zh-CN" w:bidi="ar-SA"/>
        </w:rPr>
        <w:t>97.71</w:t>
      </w:r>
      <w:r>
        <w:rPr>
          <w:rFonts w:hint="eastAsia" w:ascii="仿宋_GB2312" w:eastAsia="仿宋_GB2312" w:cs="仿宋_GB2312" w:hAnsiTheme="minorHAnsi"/>
          <w:kern w:val="0"/>
          <w:sz w:val="32"/>
          <w:szCs w:val="32"/>
          <w:lang w:val="en-US" w:eastAsia="zh-CN" w:bidi="ar-SA"/>
        </w:rPr>
        <w:t>万元；项目支出103.77万元，主要为人大会议支出30.05万元，人大代表工作支出1.09万元，代表履职能力提升支出24.12万元，一般行政事务管理6.62万元，人大监督32.03万元，退役安置支出9.86万元，其他支出0万元。</w:t>
      </w:r>
    </w:p>
    <w:p w14:paraId="4EE30B3C">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cs="仿宋_GB2312" w:hAnsiTheme="minorHAnsi"/>
          <w:kern w:val="0"/>
          <w:sz w:val="32"/>
          <w:szCs w:val="32"/>
          <w:lang w:val="en-US" w:eastAsia="zh-CN" w:bidi="ar-SA"/>
        </w:rPr>
      </w:pPr>
      <w:r>
        <w:rPr>
          <w:rFonts w:hint="eastAsia" w:ascii="仿宋_GB2312" w:eastAsia="仿宋_GB2312" w:cs="仿宋_GB2312" w:hAnsiTheme="minorHAnsi"/>
          <w:kern w:val="0"/>
          <w:sz w:val="32"/>
          <w:szCs w:val="32"/>
          <w:lang w:val="en-US" w:eastAsia="zh-CN" w:bidi="ar-SA"/>
        </w:rPr>
        <w:t>202</w:t>
      </w:r>
      <w:r>
        <w:rPr>
          <w:rFonts w:hint="eastAsia" w:ascii="仿宋_GB2312" w:eastAsia="仿宋_GB2312" w:cs="仿宋_GB2312"/>
          <w:kern w:val="0"/>
          <w:sz w:val="32"/>
          <w:szCs w:val="32"/>
          <w:lang w:val="en-US" w:eastAsia="zh-CN" w:bidi="ar-SA"/>
        </w:rPr>
        <w:t>4</w:t>
      </w:r>
      <w:r>
        <w:rPr>
          <w:rFonts w:hint="eastAsia" w:ascii="仿宋_GB2312" w:eastAsia="仿宋_GB2312" w:cs="仿宋_GB2312" w:hAnsiTheme="minorHAnsi"/>
          <w:kern w:val="0"/>
          <w:sz w:val="32"/>
          <w:szCs w:val="32"/>
          <w:lang w:val="en-US" w:eastAsia="zh-CN" w:bidi="ar-SA"/>
        </w:rPr>
        <w:t>年度决算财政拨款本年支出8</w:t>
      </w:r>
      <w:r>
        <w:rPr>
          <w:rFonts w:hint="eastAsia" w:ascii="仿宋_GB2312" w:eastAsia="仿宋_GB2312" w:cs="仿宋_GB2312"/>
          <w:kern w:val="0"/>
          <w:sz w:val="32"/>
          <w:szCs w:val="32"/>
          <w:lang w:val="en-US" w:eastAsia="zh-CN" w:bidi="ar-SA"/>
        </w:rPr>
        <w:t>68.41</w:t>
      </w:r>
      <w:r>
        <w:rPr>
          <w:rFonts w:hint="eastAsia" w:ascii="仿宋_GB2312" w:eastAsia="仿宋_GB2312" w:cs="仿宋_GB2312" w:hAnsiTheme="minorHAnsi"/>
          <w:kern w:val="0"/>
          <w:sz w:val="32"/>
          <w:szCs w:val="32"/>
          <w:lang w:val="en-US" w:eastAsia="zh-CN" w:bidi="ar-SA"/>
        </w:rPr>
        <w:t>万元，均为一般公共预算财政拨款本年支出，其中：基本支出76</w:t>
      </w:r>
      <w:r>
        <w:rPr>
          <w:rFonts w:hint="eastAsia" w:ascii="仿宋_GB2312" w:eastAsia="仿宋_GB2312" w:cs="仿宋_GB2312"/>
          <w:kern w:val="0"/>
          <w:sz w:val="32"/>
          <w:szCs w:val="32"/>
          <w:lang w:val="en-US" w:eastAsia="zh-CN" w:bidi="ar-SA"/>
        </w:rPr>
        <w:t>4.64</w:t>
      </w:r>
      <w:r>
        <w:rPr>
          <w:rFonts w:hint="eastAsia" w:ascii="仿宋_GB2312" w:eastAsia="仿宋_GB2312" w:cs="仿宋_GB2312" w:hAnsiTheme="minorHAnsi"/>
          <w:kern w:val="0"/>
          <w:sz w:val="32"/>
          <w:szCs w:val="32"/>
          <w:lang w:val="en-US" w:eastAsia="zh-CN" w:bidi="ar-SA"/>
        </w:rPr>
        <w:t>万元，项目支出</w:t>
      </w:r>
      <w:r>
        <w:rPr>
          <w:rFonts w:hint="eastAsia" w:ascii="仿宋_GB2312" w:eastAsia="仿宋_GB2312" w:cs="仿宋_GB2312"/>
          <w:kern w:val="0"/>
          <w:sz w:val="32"/>
          <w:szCs w:val="32"/>
          <w:lang w:val="en-US" w:eastAsia="zh-CN" w:bidi="ar-SA"/>
        </w:rPr>
        <w:t>103.77</w:t>
      </w:r>
      <w:r>
        <w:rPr>
          <w:rFonts w:hint="eastAsia" w:ascii="仿宋_GB2312" w:eastAsia="仿宋_GB2312" w:cs="仿宋_GB2312" w:hAnsiTheme="minorHAnsi"/>
          <w:kern w:val="0"/>
          <w:sz w:val="32"/>
          <w:szCs w:val="32"/>
          <w:lang w:val="en-US" w:eastAsia="zh-CN" w:bidi="ar-SA"/>
        </w:rPr>
        <w:t>万元，基本建设类项目0万元。</w:t>
      </w:r>
    </w:p>
    <w:p w14:paraId="65EE0B56">
      <w:pPr>
        <w:widowControl w:val="0"/>
        <w:wordWrap/>
        <w:adjustRightInd w:val="0"/>
        <w:snapToGrid w:val="0"/>
        <w:spacing w:line="560" w:lineRule="exact"/>
        <w:ind w:right="0" w:firstLine="321" w:firstLineChars="1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14:paraId="3D430342">
      <w:pPr>
        <w:pStyle w:val="16"/>
        <w:keepNext w:val="0"/>
        <w:keepLines w:val="0"/>
        <w:pageBreakBefore w:val="0"/>
        <w:widowControl w:val="0"/>
        <w:kinsoku/>
        <w:wordWrap/>
        <w:overflowPunct/>
        <w:topLinePunct w:val="0"/>
        <w:autoSpaceDE/>
        <w:autoSpaceDN/>
        <w:bidi w:val="0"/>
        <w:spacing w:line="58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根据鹿泉区人代会会议通过的工作报告，在区人代会闭会期间，根据我区的具体情况和实际需要，审议决定我区政治、经济、科学、教育、文化、卫生、环境与资源保护、民政、民族等工作的重大事项以及人民群众普遍关注和迫切要求解决的重大问题；审查和批准国民经济和社会发展计划、预算在执行过程中所必须作的部分调整方案。监督区人民政府、区监察委员会、区人民法院和区检察院的工作。紧扣区委建设“经济强区，魅力鹿泉，生态宜居宜业宜游省会新城区”决策部署，坚持稳中求进工作总基调，立足新发展阶段，贯彻新发展理念，构建新发展格局，以推动高质量发展为主题，依法履职、为民尽责，敢于争先、全力创优，在鹿泉高质量发展新征程中发出人大声音、展示人大作为、贡献人大力量。</w:t>
      </w:r>
    </w:p>
    <w:p w14:paraId="30FB8D3E">
      <w:pPr>
        <w:pStyle w:val="9"/>
        <w:pageBreakBefore w:val="0"/>
        <w:widowControl w:val="0"/>
        <w:kinsoku/>
        <w:wordWrap/>
        <w:overflowPunct/>
        <w:topLinePunct w:val="0"/>
        <w:autoSpaceDE/>
        <w:autoSpaceDN/>
        <w:bidi w:val="0"/>
        <w:spacing w:line="540" w:lineRule="exact"/>
        <w:ind w:right="0" w:righ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项目绩效总目标完成情况：2024年我部门完成各项工作任务。</w:t>
      </w:r>
    </w:p>
    <w:p w14:paraId="42BB1354">
      <w:pPr>
        <w:pStyle w:val="9"/>
        <w:pageBreakBefore w:val="0"/>
        <w:widowControl w:val="0"/>
        <w:kinsoku/>
        <w:wordWrap/>
        <w:overflowPunct/>
        <w:topLinePunct w:val="0"/>
        <w:autoSpaceDE/>
        <w:autoSpaceDN/>
        <w:bidi w:val="0"/>
        <w:spacing w:line="540" w:lineRule="exact"/>
        <w:ind w:right="0" w:rightChars="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从整体情况来看，严格按照年初预算进行部门整体支出。在支出过程中，能严格遵守各项规章制度。</w:t>
      </w:r>
    </w:p>
    <w:p w14:paraId="695A8240">
      <w:pPr>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14:paraId="4B2A35C7">
      <w:pPr>
        <w:pageBreakBefore w:val="0"/>
        <w:widowControl w:val="0"/>
        <w:kinsoku/>
        <w:wordWrap/>
        <w:overflowPunct/>
        <w:topLinePunct w:val="0"/>
        <w:autoSpaceDE/>
        <w:autoSpaceDN/>
        <w:bidi w:val="0"/>
        <w:spacing w:line="540" w:lineRule="exact"/>
        <w:ind w:left="0" w:leftChars="0" w:right="0" w:rightChars="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14:paraId="2628C85F">
      <w:pPr>
        <w:pageBreakBefore w:val="0"/>
        <w:widowControl w:val="0"/>
        <w:kinsoku/>
        <w:wordWrap/>
        <w:overflowPunct/>
        <w:topLinePunct w:val="0"/>
        <w:autoSpaceDE/>
        <w:autoSpaceDN/>
        <w:bidi w:val="0"/>
        <w:spacing w:line="540" w:lineRule="exact"/>
        <w:ind w:left="0" w:leftChars="0" w:right="0" w:rightChars="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 xml:space="preserve"> </w:t>
      </w:r>
      <w:r>
        <w:rPr>
          <w:rFonts w:hint="eastAsia" w:ascii="仿宋" w:hAnsi="仿宋" w:eastAsia="仿宋"/>
          <w:sz w:val="32"/>
          <w:szCs w:val="32"/>
          <w:lang w:val="en-US" w:eastAsia="zh-CN"/>
        </w:rPr>
        <w:t>严格落实《预算法》及省、市、区绩效管理工作的有关规定，通过开展部门整体支出绩效评价，促进部门整体预算绩效管理工作水平的提升，强化部门支出责任，规范资金管理行为，提高财政资金使用效益，保障部门更好地履行职责。</w:t>
      </w:r>
    </w:p>
    <w:p w14:paraId="0DF91BE9">
      <w:pPr>
        <w:pStyle w:val="9"/>
        <w:pageBreakBefore w:val="0"/>
        <w:widowControl w:val="0"/>
        <w:kinsoku/>
        <w:wordWrap/>
        <w:overflowPunct/>
        <w:topLinePunct w:val="0"/>
        <w:autoSpaceDE/>
        <w:autoSpaceDN/>
        <w:bidi w:val="0"/>
        <w:spacing w:line="540" w:lineRule="exact"/>
        <w:ind w:right="0" w:rightChars="0"/>
        <w:rPr>
          <w:rFonts w:ascii="仿宋" w:hAnsi="仿宋" w:eastAsia="仿宋"/>
          <w:sz w:val="32"/>
          <w:szCs w:val="32"/>
        </w:rPr>
      </w:pPr>
      <w:r>
        <w:rPr>
          <w:rFonts w:hint="eastAsia" w:ascii="仿宋" w:hAnsi="仿宋" w:eastAsia="仿宋"/>
          <w:sz w:val="32"/>
          <w:szCs w:val="32"/>
          <w:lang w:val="en-US" w:eastAsia="zh-CN"/>
        </w:rPr>
        <w:t>根据区财政局《关于开展2025年绩效自评工作的通知》相关要求，对2024年部门所有区级预算项目进行绩效自评，我部门收到通知后高度重视，对此项工作进行了安排部署，成立部门预算项目绩效评价领导小组，严格按照文件要求对标对表，通过查账目、检查系统运行情况等方式，认真对照绩效自评，对我部门2024年区级预算项目进行自查自评，形成绩效评价报告。</w:t>
      </w:r>
    </w:p>
    <w:p w14:paraId="33ADDC2C">
      <w:pPr>
        <w:pageBreakBefore w:val="0"/>
        <w:widowControl w:val="0"/>
        <w:numPr>
          <w:ilvl w:val="0"/>
          <w:numId w:val="1"/>
        </w:numPr>
        <w:kinsoku/>
        <w:wordWrap/>
        <w:overflowPunct/>
        <w:topLinePunct w:val="0"/>
        <w:autoSpaceDE/>
        <w:autoSpaceDN/>
        <w:bidi w:val="0"/>
        <w:spacing w:line="540" w:lineRule="exact"/>
        <w:ind w:left="642" w:leftChars="0" w:right="0" w:rightChars="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14:paraId="34E67357">
      <w:pPr>
        <w:pStyle w:val="9"/>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baseline"/>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绩效自评方法和过程主要如下：</w:t>
      </w:r>
    </w:p>
    <w:p w14:paraId="3DD061F7">
      <w:pPr>
        <w:pStyle w:val="9"/>
        <w:keepNext w:val="0"/>
        <w:keepLines w:val="0"/>
        <w:pageBreakBefore w:val="0"/>
        <w:widowControl w:val="0"/>
        <w:numPr>
          <w:ilvl w:val="0"/>
          <w:numId w:val="2"/>
        </w:numPr>
        <w:kinsoku/>
        <w:wordWrap/>
        <w:overflowPunct/>
        <w:topLinePunct w:val="0"/>
        <w:autoSpaceDE/>
        <w:autoSpaceDN/>
        <w:bidi w:val="0"/>
        <w:adjustRightInd/>
        <w:snapToGrid/>
        <w:spacing w:line="540" w:lineRule="exact"/>
        <w:ind w:left="0" w:leftChars="0" w:right="0" w:rightChars="0" w:firstLine="640" w:firstLineChars="200"/>
        <w:textAlignment w:val="baseline"/>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核实数据：对2024年度部门整体支出数据的准确性、真实性进行核实，将2023年度和2024年度部门整体支出情况进行分析比较；</w:t>
      </w:r>
    </w:p>
    <w:p w14:paraId="5ADBCEB2">
      <w:pPr>
        <w:pStyle w:val="9"/>
        <w:keepNext w:val="0"/>
        <w:keepLines w:val="0"/>
        <w:pageBreakBefore w:val="0"/>
        <w:widowControl w:val="0"/>
        <w:numPr>
          <w:ilvl w:val="0"/>
          <w:numId w:val="2"/>
        </w:numPr>
        <w:kinsoku/>
        <w:wordWrap/>
        <w:overflowPunct/>
        <w:topLinePunct w:val="0"/>
        <w:autoSpaceDE/>
        <w:autoSpaceDN/>
        <w:bidi w:val="0"/>
        <w:adjustRightInd/>
        <w:snapToGrid/>
        <w:spacing w:line="540" w:lineRule="exact"/>
        <w:ind w:left="0" w:leftChars="0" w:right="0" w:rightChars="0" w:firstLine="640" w:firstLineChars="200"/>
        <w:textAlignment w:val="baseline"/>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查阅资料：查阅2024年度预算安排、预算追加、资金管理、经费支出、资产管理等相关文件资料和财务凭证；</w:t>
      </w:r>
    </w:p>
    <w:p w14:paraId="77AC82EB">
      <w:pPr>
        <w:pStyle w:val="9"/>
        <w:keepNext w:val="0"/>
        <w:keepLines w:val="0"/>
        <w:pageBreakBefore w:val="0"/>
        <w:widowControl w:val="0"/>
        <w:numPr>
          <w:ilvl w:val="0"/>
          <w:numId w:val="2"/>
        </w:numPr>
        <w:kinsoku/>
        <w:wordWrap/>
        <w:overflowPunct/>
        <w:topLinePunct w:val="0"/>
        <w:autoSpaceDE/>
        <w:autoSpaceDN/>
        <w:bidi w:val="0"/>
        <w:adjustRightInd/>
        <w:snapToGrid/>
        <w:spacing w:line="540" w:lineRule="exact"/>
        <w:ind w:left="0" w:leftChars="0" w:right="0" w:rightChars="0" w:firstLine="640" w:firstLineChars="200"/>
        <w:textAlignment w:val="baseline"/>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归纳汇总：对收集的评价材料结合本单位情况进行综合分析、归纳汇总；</w:t>
      </w:r>
    </w:p>
    <w:p w14:paraId="071D2F3A">
      <w:pPr>
        <w:pStyle w:val="9"/>
        <w:keepNext w:val="0"/>
        <w:keepLines w:val="0"/>
        <w:pageBreakBefore w:val="0"/>
        <w:widowControl w:val="0"/>
        <w:numPr>
          <w:ilvl w:val="0"/>
          <w:numId w:val="2"/>
        </w:numPr>
        <w:kinsoku/>
        <w:wordWrap/>
        <w:overflowPunct/>
        <w:topLinePunct w:val="0"/>
        <w:autoSpaceDE/>
        <w:autoSpaceDN/>
        <w:bidi w:val="0"/>
        <w:adjustRightInd/>
        <w:snapToGrid/>
        <w:spacing w:line="540" w:lineRule="exact"/>
        <w:ind w:left="0" w:leftChars="0" w:right="0" w:rightChars="0" w:firstLine="640" w:firstLineChars="200"/>
        <w:textAlignment w:val="baseline"/>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根据评价材料结合各项评价指标进行分析评价；</w:t>
      </w:r>
    </w:p>
    <w:p w14:paraId="5B4F38B9">
      <w:pPr>
        <w:pStyle w:val="9"/>
        <w:keepNext w:val="0"/>
        <w:keepLines w:val="0"/>
        <w:pageBreakBefore w:val="0"/>
        <w:widowControl w:val="0"/>
        <w:numPr>
          <w:ilvl w:val="0"/>
          <w:numId w:val="0"/>
        </w:numPr>
        <w:kinsoku/>
        <w:wordWrap/>
        <w:overflowPunct/>
        <w:topLinePunct w:val="0"/>
        <w:autoSpaceDE/>
        <w:autoSpaceDN/>
        <w:bidi w:val="0"/>
        <w:adjustRightInd/>
        <w:snapToGrid/>
        <w:spacing w:line="540" w:lineRule="exact"/>
        <w:ind w:right="0" w:rightChars="0" w:firstLine="640" w:firstLineChars="200"/>
        <w:textAlignment w:val="baseline"/>
        <w:rPr>
          <w:rFonts w:hint="eastAsia"/>
        </w:rPr>
      </w:pPr>
      <w:r>
        <w:rPr>
          <w:rFonts w:hint="eastAsia" w:ascii="仿宋" w:hAnsi="仿宋" w:eastAsia="仿宋" w:cs="仿宋"/>
          <w:sz w:val="32"/>
          <w:szCs w:val="32"/>
          <w:lang w:val="en-US" w:eastAsia="zh-CN"/>
        </w:rPr>
        <w:t>5、形成部门整体支出绩效自评报告。</w:t>
      </w:r>
    </w:p>
    <w:p w14:paraId="5371ABEC">
      <w:pPr>
        <w:pageBreakBefore w:val="0"/>
        <w:widowControl w:val="0"/>
        <w:kinsoku/>
        <w:wordWrap/>
        <w:overflowPunct/>
        <w:topLinePunct w:val="0"/>
        <w:autoSpaceDE/>
        <w:autoSpaceDN/>
        <w:bidi w:val="0"/>
        <w:spacing w:line="540" w:lineRule="exact"/>
        <w:ind w:left="0" w:leftChars="0" w:right="0" w:rightChars="0" w:firstLine="640" w:firstLineChars="200"/>
        <w:textAlignment w:val="auto"/>
        <w:outlineLvl w:val="9"/>
        <w:rPr>
          <w:rFonts w:hint="eastAsia" w:ascii="黑体" w:hAnsi="黑体" w:eastAsia="黑体"/>
          <w:b/>
          <w:bCs/>
          <w:sz w:val="32"/>
          <w:szCs w:val="32"/>
          <w:lang w:eastAsia="zh-CN"/>
        </w:rPr>
      </w:pP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14:paraId="1503E2C1">
      <w:pPr>
        <w:pageBreakBefore w:val="0"/>
        <w:widowControl w:val="0"/>
        <w:numPr>
          <w:ilvl w:val="0"/>
          <w:numId w:val="3"/>
        </w:numPr>
        <w:kinsoku/>
        <w:wordWrap/>
        <w:overflowPunct/>
        <w:topLinePunct w:val="0"/>
        <w:autoSpaceDE/>
        <w:autoSpaceDN/>
        <w:bidi w:val="0"/>
        <w:spacing w:line="540" w:lineRule="exact"/>
        <w:ind w:left="0" w:leftChars="0" w:right="0" w:rightChars="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14:paraId="724FED69">
      <w:pPr>
        <w:pStyle w:val="9"/>
        <w:keepNext w:val="0"/>
        <w:keepLines w:val="0"/>
        <w:pageBreakBefore w:val="0"/>
        <w:widowControl w:val="0"/>
        <w:numPr>
          <w:ilvl w:val="0"/>
          <w:numId w:val="0"/>
        </w:numPr>
        <w:kinsoku/>
        <w:wordWrap/>
        <w:overflowPunct/>
        <w:topLinePunct w:val="0"/>
        <w:autoSpaceDE/>
        <w:autoSpaceDN/>
        <w:bidi w:val="0"/>
        <w:adjustRightInd/>
        <w:snapToGrid/>
        <w:spacing w:line="540" w:lineRule="exact"/>
        <w:ind w:right="0" w:rightChars="0" w:firstLine="640" w:firstLineChars="200"/>
        <w:textAlignment w:val="baseline"/>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根据鹿泉区人代会会议通过的工作报告，在区人代会闭会期间，根据我区的具体情况和实际需要，审议决定我区政治、经济、科学、教育、文化、卫生、环境与资源保护、民政、民族等工作的重大事项以及人民群众普遍关注和迫切要求解决的重大问题；审查和批准国民经济和社会发展计划、预算在执行过程中所必须作的部分调整方案。监督区人民政府、区监察委员会、区人民法院和区检察院的工作。紧扣区委建设“经济强区，魅力鹿泉，生态宜居宜业宜游省会新城区”决策部署，坚持稳中求进工作总基调，立足新发展阶段，贯彻新发展理念，构建新发展格局，以推动高质量发展为主题，依法履职、为民尽责，敢于争先、全力创优，在鹿泉高质量发展新征程中发出人大声音、展示人大作为、贡献人大力量。</w:t>
      </w:r>
    </w:p>
    <w:p w14:paraId="3DA5DA77">
      <w:pPr>
        <w:pageBreakBefore w:val="0"/>
        <w:widowControl w:val="0"/>
        <w:numPr>
          <w:ilvl w:val="0"/>
          <w:numId w:val="3"/>
        </w:numPr>
        <w:kinsoku/>
        <w:wordWrap/>
        <w:overflowPunct/>
        <w:topLinePunct w:val="0"/>
        <w:autoSpaceDE/>
        <w:autoSpaceDN/>
        <w:bidi w:val="0"/>
        <w:spacing w:line="540" w:lineRule="exact"/>
        <w:ind w:left="0" w:leftChars="0" w:right="0" w:rightChars="0" w:firstLine="643" w:firstLineChars="200"/>
        <w:textAlignment w:val="auto"/>
        <w:outlineLvl w:val="9"/>
        <w:rPr>
          <w:rFonts w:hint="eastAsia" w:ascii="仿宋" w:hAnsi="仿宋" w:eastAsia="仿宋" w:cs="楷体_GB2312"/>
          <w:b/>
          <w:bCs/>
          <w:sz w:val="32"/>
          <w:szCs w:val="32"/>
          <w:lang w:val="en-US" w:eastAsia="zh-CN"/>
        </w:rPr>
      </w:pPr>
      <w:r>
        <w:rPr>
          <w:rFonts w:hint="eastAsia" w:ascii="仿宋" w:hAnsi="仿宋" w:eastAsia="仿宋" w:cs="楷体_GB2312"/>
          <w:b/>
          <w:bCs/>
          <w:sz w:val="32"/>
          <w:szCs w:val="32"/>
          <w:lang w:val="en-US" w:eastAsia="zh-CN"/>
        </w:rPr>
        <w:t>分项绩效目标</w:t>
      </w:r>
    </w:p>
    <w:p w14:paraId="49B9DB88">
      <w:pPr>
        <w:pStyle w:val="18"/>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1、监督工作</w:t>
      </w:r>
    </w:p>
    <w:p w14:paraId="5A9D2926">
      <w:pPr>
        <w:pStyle w:val="18"/>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绩效目标：按照区人大常委会2024年监督工作思路，完成监督工作任务。</w:t>
      </w:r>
    </w:p>
    <w:p w14:paraId="44C328A7">
      <w:pPr>
        <w:pStyle w:val="18"/>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绩效指标：监督工作任务完成率</w:t>
      </w:r>
    </w:p>
    <w:p w14:paraId="378CB8E4">
      <w:pPr>
        <w:pStyle w:val="18"/>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2、人大会议</w:t>
      </w:r>
    </w:p>
    <w:p w14:paraId="28F85D23">
      <w:pPr>
        <w:pStyle w:val="18"/>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绩效目标：召开区人民代表大会1次，区人大常委会会议6次，机关各部门根据工作需要召开会议。</w:t>
      </w:r>
    </w:p>
    <w:p w14:paraId="1A673582">
      <w:pPr>
        <w:pStyle w:val="18"/>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绩效指标：会议召开率、会议任务完成率 </w:t>
      </w:r>
    </w:p>
    <w:p w14:paraId="7DEFB2FF">
      <w:pPr>
        <w:pStyle w:val="18"/>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3、选举任免工作</w:t>
      </w:r>
    </w:p>
    <w:p w14:paraId="3CE035EF">
      <w:pPr>
        <w:pStyle w:val="18"/>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绩效目标：依法依规完成人大选举及常委会人事任免工作。</w:t>
      </w:r>
    </w:p>
    <w:p w14:paraId="3890BCF3">
      <w:pPr>
        <w:pStyle w:val="18"/>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绩效指标：工作完成率、任务实现率</w:t>
      </w:r>
    </w:p>
    <w:p w14:paraId="68ED3861">
      <w:pPr>
        <w:pStyle w:val="18"/>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4、人大代表工作</w:t>
      </w:r>
    </w:p>
    <w:p w14:paraId="729A422B">
      <w:pPr>
        <w:pStyle w:val="18"/>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绩效目标：按照工作需要，依法依规组织区人大代表、区人大常委会组成人员及区人大代表进行执法检查和集中视察；开展代表建议督办；组织对常委会组成人员及代表培训。</w:t>
      </w:r>
    </w:p>
    <w:p w14:paraId="1DC41875">
      <w:pPr>
        <w:pStyle w:val="18"/>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绩效指标： 执法检查和集中视察任务完成率、代表建议督办完成率、培训计划完成率。</w:t>
      </w:r>
    </w:p>
    <w:p w14:paraId="2E580144">
      <w:pPr>
        <w:pStyle w:val="18"/>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5、人大事务管理</w:t>
      </w:r>
    </w:p>
    <w:p w14:paraId="5EC97B80">
      <w:pPr>
        <w:pStyle w:val="18"/>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按照2024年区人大常委会机关工作思路，完成机关人事、财务、会务、接待、公文办理、党建、信访、宣传、纪检监察组及机关纪委、离退休人员服务、信息化建设与维护、基础设施建设与维护、文印、后勤服务以及领导交办的其他工作，努力将区人大常委会机关建设成为作风一流、业务一流、服务一流、纪律一流的代表机关和工作机关。</w:t>
      </w:r>
    </w:p>
    <w:p w14:paraId="5455D95E">
      <w:pPr>
        <w:pStyle w:val="18"/>
        <w:rPr>
          <w:rFonts w:hint="eastAsia" w:ascii="黑体" w:hAnsi="黑体" w:eastAsia="黑体"/>
          <w:sz w:val="32"/>
          <w:szCs w:val="32"/>
        </w:rPr>
      </w:pPr>
      <w:r>
        <w:rPr>
          <w:rFonts w:hint="eastAsia" w:ascii="仿宋" w:hAnsi="仿宋" w:eastAsia="仿宋" w:cs="仿宋"/>
          <w:kern w:val="2"/>
          <w:sz w:val="32"/>
          <w:szCs w:val="32"/>
          <w:lang w:val="en-US" w:eastAsia="zh-CN" w:bidi="ar-SA"/>
        </w:rPr>
        <w:t>绩效指标：工作任务完成率</w:t>
      </w:r>
    </w:p>
    <w:p w14:paraId="4243C091">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14:paraId="3754F438">
      <w:pPr>
        <w:pStyle w:val="18"/>
        <w:rPr>
          <w:rFonts w:hint="eastAsia" w:ascii="仿宋" w:hAnsi="仿宋" w:eastAsia="仿宋"/>
          <w:sz w:val="32"/>
          <w:szCs w:val="32"/>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，给出总得分，满分100分，得出综合绩效评价等级。</w:t>
      </w:r>
      <w:r>
        <w:rPr>
          <w:rFonts w:hint="eastAsia" w:ascii="仿宋" w:hAnsi="仿宋" w:eastAsia="仿宋"/>
          <w:sz w:val="32"/>
          <w:szCs w:val="32"/>
          <w:lang w:eastAsia="zh-CN"/>
        </w:rPr>
        <w:t>部门整体支出</w:t>
      </w:r>
      <w:r>
        <w:rPr>
          <w:rFonts w:hint="eastAsia" w:ascii="仿宋" w:hAnsi="仿宋" w:eastAsia="仿宋"/>
          <w:sz w:val="32"/>
          <w:szCs w:val="32"/>
        </w:rPr>
        <w:t>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tbl>
      <w:tblPr>
        <w:tblStyle w:val="10"/>
        <w:tblpPr w:leftFromText="180" w:rightFromText="180" w:vertAnchor="text" w:horzAnchor="page" w:tblpXSpec="center" w:tblpY="548"/>
        <w:tblOverlap w:val="never"/>
        <w:tblW w:w="848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09"/>
        <w:gridCol w:w="915"/>
        <w:gridCol w:w="1350"/>
        <w:gridCol w:w="1185"/>
        <w:gridCol w:w="1109"/>
        <w:gridCol w:w="316"/>
        <w:gridCol w:w="645"/>
        <w:gridCol w:w="2551"/>
      </w:tblGrid>
      <w:tr w14:paraId="32C626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514" w:hRule="atLeast"/>
          <w:jc w:val="center"/>
        </w:trPr>
        <w:tc>
          <w:tcPr>
            <w:tcW w:w="8480" w:type="dxa"/>
            <w:gridSpan w:val="8"/>
            <w:tcBorders>
              <w:top w:val="nil"/>
              <w:left w:val="nil"/>
              <w:bottom w:val="nil"/>
              <w:right w:val="nil"/>
            </w:tcBorders>
            <w:shd w:val="clear" w:color="auto" w:fill="auto"/>
            <w:noWrap/>
            <w:vAlign w:val="center"/>
          </w:tcPr>
          <w:p w14:paraId="22C28E0F">
            <w:pPr>
              <w:keepNext w:val="0"/>
              <w:keepLines w:val="0"/>
              <w:widowControl/>
              <w:suppressLineNumbers w:val="0"/>
              <w:jc w:val="center"/>
              <w:textAlignment w:val="center"/>
              <w:rPr>
                <w:rFonts w:hint="eastAsia" w:ascii="宋体" w:hAnsi="宋体" w:eastAsia="宋体" w:cs="宋体"/>
                <w:i w:val="0"/>
                <w:iCs w:val="0"/>
                <w:color w:val="000000"/>
                <w:sz w:val="44"/>
                <w:szCs w:val="44"/>
                <w:u w:val="none"/>
              </w:rPr>
            </w:pPr>
            <w:r>
              <w:rPr>
                <w:rFonts w:hint="eastAsia" w:ascii="宋体" w:hAnsi="宋体" w:eastAsia="宋体" w:cs="宋体"/>
                <w:i w:val="0"/>
                <w:iCs w:val="0"/>
                <w:color w:val="auto"/>
                <w:kern w:val="0"/>
                <w:sz w:val="44"/>
                <w:szCs w:val="44"/>
                <w:u w:val="none"/>
                <w:lang w:val="en-US" w:eastAsia="zh-CN" w:bidi="ar"/>
              </w:rPr>
              <w:t>部门绩效自评结果公开汇总表</w:t>
            </w:r>
          </w:p>
        </w:tc>
      </w:tr>
      <w:tr w14:paraId="3729A4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539" w:hRule="atLeast"/>
          <w:jc w:val="center"/>
        </w:trPr>
        <w:tc>
          <w:tcPr>
            <w:tcW w:w="1324" w:type="dxa"/>
            <w:gridSpan w:val="2"/>
            <w:tcBorders>
              <w:top w:val="nil"/>
              <w:left w:val="nil"/>
              <w:bottom w:val="single" w:color="000000" w:sz="4" w:space="0"/>
              <w:right w:val="nil"/>
            </w:tcBorders>
            <w:shd w:val="clear" w:color="auto" w:fill="auto"/>
            <w:noWrap/>
            <w:vAlign w:val="center"/>
          </w:tcPr>
          <w:p w14:paraId="7F45FB5F">
            <w:pPr>
              <w:keepNext w:val="0"/>
              <w:keepLines w:val="0"/>
              <w:widowControl/>
              <w:suppressLineNumbers w:val="0"/>
              <w:jc w:val="left"/>
              <w:textAlignment w:val="center"/>
              <w:rPr>
                <w:rFonts w:ascii="仿宋" w:hAnsi="仿宋" w:eastAsia="仿宋" w:cs="仿宋"/>
                <w:i w:val="0"/>
                <w:iCs w:val="0"/>
                <w:color w:val="000000"/>
                <w:sz w:val="28"/>
                <w:szCs w:val="28"/>
                <w:u w:val="none"/>
              </w:rPr>
            </w:pPr>
          </w:p>
        </w:tc>
        <w:tc>
          <w:tcPr>
            <w:tcW w:w="1350" w:type="dxa"/>
            <w:tcBorders>
              <w:top w:val="nil"/>
              <w:left w:val="nil"/>
              <w:bottom w:val="single" w:color="000000" w:sz="4" w:space="0"/>
              <w:right w:val="nil"/>
            </w:tcBorders>
            <w:shd w:val="clear" w:color="auto" w:fill="auto"/>
            <w:noWrap/>
            <w:vAlign w:val="center"/>
          </w:tcPr>
          <w:p w14:paraId="146D946A">
            <w:pPr>
              <w:jc w:val="center"/>
              <w:rPr>
                <w:rFonts w:hint="eastAsia" w:ascii="仿宋" w:hAnsi="仿宋" w:eastAsia="仿宋" w:cs="仿宋"/>
                <w:i w:val="0"/>
                <w:iCs w:val="0"/>
                <w:color w:val="000000"/>
                <w:sz w:val="28"/>
                <w:szCs w:val="28"/>
                <w:u w:val="none"/>
              </w:rPr>
            </w:pPr>
          </w:p>
        </w:tc>
        <w:tc>
          <w:tcPr>
            <w:tcW w:w="1185" w:type="dxa"/>
            <w:tcBorders>
              <w:top w:val="nil"/>
              <w:left w:val="nil"/>
              <w:bottom w:val="single" w:color="000000" w:sz="4" w:space="0"/>
              <w:right w:val="nil"/>
            </w:tcBorders>
            <w:shd w:val="clear" w:color="auto" w:fill="auto"/>
            <w:noWrap/>
            <w:vAlign w:val="center"/>
          </w:tcPr>
          <w:p w14:paraId="286C1781">
            <w:pPr>
              <w:jc w:val="center"/>
              <w:rPr>
                <w:rFonts w:hint="eastAsia" w:ascii="仿宋" w:hAnsi="仿宋" w:eastAsia="仿宋" w:cs="仿宋"/>
                <w:i w:val="0"/>
                <w:iCs w:val="0"/>
                <w:color w:val="000000"/>
                <w:sz w:val="28"/>
                <w:szCs w:val="28"/>
                <w:u w:val="none"/>
              </w:rPr>
            </w:pPr>
          </w:p>
        </w:tc>
        <w:tc>
          <w:tcPr>
            <w:tcW w:w="1109" w:type="dxa"/>
            <w:tcBorders>
              <w:top w:val="nil"/>
              <w:left w:val="nil"/>
              <w:bottom w:val="single" w:color="000000" w:sz="4" w:space="0"/>
              <w:right w:val="nil"/>
            </w:tcBorders>
            <w:shd w:val="clear" w:color="auto" w:fill="auto"/>
            <w:noWrap/>
            <w:vAlign w:val="center"/>
          </w:tcPr>
          <w:p w14:paraId="50A9A3DC">
            <w:pPr>
              <w:jc w:val="center"/>
              <w:rPr>
                <w:rFonts w:hint="eastAsia" w:ascii="仿宋" w:hAnsi="仿宋" w:eastAsia="仿宋" w:cs="仿宋"/>
                <w:i w:val="0"/>
                <w:iCs w:val="0"/>
                <w:color w:val="000000"/>
                <w:sz w:val="28"/>
                <w:szCs w:val="28"/>
                <w:u w:val="none"/>
              </w:rPr>
            </w:pPr>
          </w:p>
        </w:tc>
        <w:tc>
          <w:tcPr>
            <w:tcW w:w="3512" w:type="dxa"/>
            <w:gridSpan w:val="3"/>
            <w:tcBorders>
              <w:top w:val="nil"/>
              <w:left w:val="nil"/>
              <w:bottom w:val="single" w:color="000000" w:sz="4" w:space="0"/>
              <w:right w:val="nil"/>
            </w:tcBorders>
            <w:shd w:val="clear" w:color="auto" w:fill="auto"/>
            <w:noWrap/>
            <w:vAlign w:val="center"/>
          </w:tcPr>
          <w:p w14:paraId="3EEA4074">
            <w:pPr>
              <w:keepNext w:val="0"/>
              <w:keepLines w:val="0"/>
              <w:widowControl/>
              <w:suppressLineNumbers w:val="0"/>
              <w:jc w:val="righ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单位：万元</w:t>
            </w:r>
          </w:p>
        </w:tc>
      </w:tr>
      <w:tr w14:paraId="7D4D8A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384" w:hRule="atLeast"/>
          <w:jc w:val="center"/>
        </w:trPr>
        <w:tc>
          <w:tcPr>
            <w:tcW w:w="4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899B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2727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项目名称</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8809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项目实施单位</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1BF3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预算数</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（调整后）</w:t>
            </w: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5F2A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执行数</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（至2024年底）</w:t>
            </w:r>
          </w:p>
        </w:tc>
        <w:tc>
          <w:tcPr>
            <w:tcW w:w="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F068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结余交回财政数</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E82D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自评得分</w:t>
            </w:r>
          </w:p>
        </w:tc>
        <w:tc>
          <w:tcPr>
            <w:tcW w:w="2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477F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自评结果应用意见</w:t>
            </w:r>
          </w:p>
        </w:tc>
      </w:tr>
      <w:tr w14:paraId="4B86D6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jc w:val="center"/>
        </w:trPr>
        <w:tc>
          <w:tcPr>
            <w:tcW w:w="4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F2FE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53F64">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代表订报刊杂志费</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777C3">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石家庄市鹿泉区人民代表大会常务委员会</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4595A">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9.12502</w:t>
            </w: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53B17">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9.12502</w:t>
            </w:r>
          </w:p>
        </w:tc>
        <w:tc>
          <w:tcPr>
            <w:tcW w:w="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E7BB6">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409E2">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98</w:t>
            </w:r>
          </w:p>
        </w:tc>
        <w:tc>
          <w:tcPr>
            <w:tcW w:w="2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78F81">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该项目绩效自评为优秀。我们会加强精细化管理，合理安排使用此项资金，保证该项目正常开展。</w:t>
            </w:r>
          </w:p>
        </w:tc>
      </w:tr>
      <w:tr w14:paraId="463A3A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jc w:val="center"/>
        </w:trPr>
        <w:tc>
          <w:tcPr>
            <w:tcW w:w="4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D523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2</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C07C9">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代表经费</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930E3">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石家庄市鹿泉区人民代表大会常务委员会</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1C52C">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20.0557</w:t>
            </w: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DD5F9">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20.0557</w:t>
            </w:r>
          </w:p>
        </w:tc>
        <w:tc>
          <w:tcPr>
            <w:tcW w:w="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FDD46">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A196D">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100</w:t>
            </w:r>
          </w:p>
        </w:tc>
        <w:tc>
          <w:tcPr>
            <w:tcW w:w="2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F4734">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该项目绩效自评为优秀。我们会继续保证资金充足，保证工作正常开展，促进项目高质量发展。</w:t>
            </w:r>
          </w:p>
        </w:tc>
      </w:tr>
      <w:tr w14:paraId="1A37AD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jc w:val="center"/>
        </w:trPr>
        <w:tc>
          <w:tcPr>
            <w:tcW w:w="4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2CD5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3</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89711">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代表之家（站）活动费</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3296C">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石家庄市鹿泉区人民代表大会常务委员会</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EE502">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11.9776</w:t>
            </w: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0206D">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11.9776</w:t>
            </w:r>
          </w:p>
        </w:tc>
        <w:tc>
          <w:tcPr>
            <w:tcW w:w="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4C10F">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2683A">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100</w:t>
            </w:r>
          </w:p>
        </w:tc>
        <w:tc>
          <w:tcPr>
            <w:tcW w:w="2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4B1F5">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该项目绩效自评为优秀。我们将加强对该项目预算资金安排工作，精准争取该方面资金，使预算资金更贴合实际。</w:t>
            </w:r>
          </w:p>
        </w:tc>
      </w:tr>
      <w:tr w14:paraId="1CFD1B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jc w:val="center"/>
        </w:trPr>
        <w:tc>
          <w:tcPr>
            <w:tcW w:w="4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2C9E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4</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EAAFE">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人大志编写</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C7953">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石家庄市鹿泉区人民代表大会常务委员会</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3D34B">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15</w:t>
            </w: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DC95C">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15</w:t>
            </w:r>
          </w:p>
        </w:tc>
        <w:tc>
          <w:tcPr>
            <w:tcW w:w="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4FF2B">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2D34B">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100</w:t>
            </w:r>
          </w:p>
        </w:tc>
        <w:tc>
          <w:tcPr>
            <w:tcW w:w="2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99430">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该项目绩效自评为优秀。今后我们会更加精准争取该方面资金，使预算资金更贴切实际，保证工作正常开展。</w:t>
            </w:r>
          </w:p>
        </w:tc>
      </w:tr>
      <w:tr w14:paraId="1F0C46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jc w:val="center"/>
        </w:trPr>
        <w:tc>
          <w:tcPr>
            <w:tcW w:w="4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2844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5</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A60CB">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会议接待费</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7803A">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石家庄市鹿泉区人民代表大会常务委员会</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E6C61">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6.616</w:t>
            </w: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BF23E">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6.616</w:t>
            </w:r>
          </w:p>
        </w:tc>
        <w:tc>
          <w:tcPr>
            <w:tcW w:w="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E5125">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EE951">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100</w:t>
            </w:r>
          </w:p>
        </w:tc>
        <w:tc>
          <w:tcPr>
            <w:tcW w:w="2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B7CAB">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该项目绩效自评为优秀。我们会合理安排使用此项资金，保证该项目正常开展。</w:t>
            </w:r>
          </w:p>
        </w:tc>
      </w:tr>
      <w:tr w14:paraId="45B286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jc w:val="center"/>
        </w:trPr>
        <w:tc>
          <w:tcPr>
            <w:tcW w:w="4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9FD9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6</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8347B">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人代会会议费</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F815A">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石家庄市鹿泉区人民代表大会常务委员会</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75484">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20</w:t>
            </w: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61D99">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20</w:t>
            </w:r>
          </w:p>
        </w:tc>
        <w:tc>
          <w:tcPr>
            <w:tcW w:w="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EDD81">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F6099">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100</w:t>
            </w:r>
          </w:p>
        </w:tc>
        <w:tc>
          <w:tcPr>
            <w:tcW w:w="2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26811">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该项目绩效自评为优秀。以后我们会合理安排使用此项资金，保证该项目正常开展。</w:t>
            </w:r>
          </w:p>
        </w:tc>
      </w:tr>
      <w:tr w14:paraId="070243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jc w:val="center"/>
        </w:trPr>
        <w:tc>
          <w:tcPr>
            <w:tcW w:w="4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7F0E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7</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72994">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人代会会议费</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26D37">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石家庄市鹿泉区人民代表大会常务委员会</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A8B2F">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10.04955</w:t>
            </w: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6870E">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10.04955</w:t>
            </w:r>
          </w:p>
        </w:tc>
        <w:tc>
          <w:tcPr>
            <w:tcW w:w="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42D56">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4E840">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100</w:t>
            </w:r>
          </w:p>
        </w:tc>
        <w:tc>
          <w:tcPr>
            <w:tcW w:w="2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0FEB6">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该项目绩效自评为优秀。以后我们会合理安排使用此项资金，保证该项目正常开展。</w:t>
            </w:r>
          </w:p>
        </w:tc>
      </w:tr>
      <w:tr w14:paraId="57B72E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jc w:val="center"/>
        </w:trPr>
        <w:tc>
          <w:tcPr>
            <w:tcW w:w="4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42AD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8</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B01F2">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涉军公益岗工资</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71767">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石家庄市鹿泉区人民代表大会常务委员会</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E90DC">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9.85758</w:t>
            </w: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AABFE">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9.85758</w:t>
            </w:r>
          </w:p>
        </w:tc>
        <w:tc>
          <w:tcPr>
            <w:tcW w:w="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8A1A9">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50815">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100</w:t>
            </w:r>
          </w:p>
        </w:tc>
        <w:tc>
          <w:tcPr>
            <w:tcW w:w="2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89BC8">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该项目绩效自评为优秀。我们会合理安排使用此项资金，保证该项目正常开展。</w:t>
            </w:r>
          </w:p>
        </w:tc>
      </w:tr>
      <w:tr w14:paraId="6A46CC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0" w:hRule="atLeast"/>
          <w:jc w:val="center"/>
        </w:trPr>
        <w:tc>
          <w:tcPr>
            <w:tcW w:w="4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14251">
            <w:pPr>
              <w:keepNext w:val="0"/>
              <w:keepLines w:val="0"/>
              <w:widowControl/>
              <w:suppressLineNumbers w:val="0"/>
              <w:jc w:val="center"/>
              <w:textAlignment w:val="center"/>
              <w:rPr>
                <w:rFonts w:hint="eastAsia"/>
                <w:lang w:val="en-US" w:eastAsia="zh-CN"/>
              </w:rPr>
            </w:pPr>
            <w:r>
              <w:rPr>
                <w:rFonts w:hint="eastAsia" w:ascii="宋体" w:hAnsi="宋体" w:eastAsia="宋体" w:cs="宋体"/>
                <w:i w:val="0"/>
                <w:color w:val="000000"/>
                <w:kern w:val="0"/>
                <w:sz w:val="22"/>
                <w:szCs w:val="22"/>
                <w:u w:val="none"/>
                <w:lang w:val="en-US" w:eastAsia="zh-CN" w:bidi="ar"/>
              </w:rPr>
              <w:t>9</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4CF39">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专项业务费</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C69A1">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石家庄市鹿泉区人民代表大会常务委员会</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8C073">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1.09</w:t>
            </w:r>
          </w:p>
        </w:tc>
        <w:tc>
          <w:tcPr>
            <w:tcW w:w="11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103A8">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1.09</w:t>
            </w:r>
          </w:p>
        </w:tc>
        <w:tc>
          <w:tcPr>
            <w:tcW w:w="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6293E">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CD12D">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100</w:t>
            </w:r>
          </w:p>
        </w:tc>
        <w:tc>
          <w:tcPr>
            <w:tcW w:w="25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E2EAF">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宋体" w:hAnsi="宋体" w:eastAsia="宋体" w:cs="宋体"/>
                <w:i w:val="0"/>
                <w:color w:val="000000"/>
                <w:kern w:val="0"/>
                <w:sz w:val="22"/>
                <w:szCs w:val="22"/>
                <w:u w:val="none"/>
                <w:lang w:val="en-US" w:eastAsia="zh-CN" w:bidi="ar"/>
              </w:rPr>
              <w:t>该项目绩效自评为优秀。我们会继续保证资金充足，保证工作正常开展，促进项目高质量发展。</w:t>
            </w:r>
          </w:p>
        </w:tc>
      </w:tr>
    </w:tbl>
    <w:p w14:paraId="508585A3">
      <w:pPr>
        <w:pageBreakBefore w:val="0"/>
        <w:widowControl w:val="0"/>
        <w:kinsoku/>
        <w:wordWrap/>
        <w:overflowPunct/>
        <w:topLinePunct w:val="0"/>
        <w:autoSpaceDE/>
        <w:autoSpaceDN/>
        <w:bidi w:val="0"/>
        <w:spacing w:line="540" w:lineRule="exact"/>
        <w:ind w:left="0" w:leftChars="0" w:right="0" w:rightChars="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14:paraId="47100AD1">
      <w:pPr>
        <w:pageBreakBefore w:val="0"/>
        <w:widowControl w:val="0"/>
        <w:kinsoku/>
        <w:wordWrap/>
        <w:overflowPunct/>
        <w:topLinePunct w:val="0"/>
        <w:autoSpaceDE/>
        <w:autoSpaceDN/>
        <w:bidi w:val="0"/>
        <w:spacing w:line="540" w:lineRule="exact"/>
        <w:ind w:left="0" w:leftChars="0" w:right="0" w:rightChars="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14:paraId="4ACB34FA">
      <w:pPr>
        <w:pStyle w:val="9"/>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baseline"/>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预算过程绩效管理制度体系不健全，需进一步完善；全面推进预算绩效管理工作贯彻不到位，需进一步加强；对自身预算绩效管理不到位，需进一步落实；填报预算数字存在不准确，需进一步细致。</w:t>
      </w:r>
    </w:p>
    <w:p w14:paraId="32C34696">
      <w:pPr>
        <w:pStyle w:val="9"/>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baseline"/>
        <w:rPr>
          <w:rFonts w:hint="default" w:eastAsia="仿宋"/>
          <w:b w:val="0"/>
          <w:bCs w:val="0"/>
          <w:sz w:val="32"/>
          <w:szCs w:val="32"/>
          <w:lang w:val="en-US" w:eastAsia="zh-CN"/>
        </w:rPr>
      </w:pPr>
      <w:r>
        <w:rPr>
          <w:rFonts w:hint="eastAsia" w:ascii="仿宋" w:hAnsi="仿宋" w:eastAsia="仿宋"/>
          <w:b w:val="0"/>
          <w:bCs w:val="0"/>
          <w:sz w:val="32"/>
          <w:szCs w:val="32"/>
          <w:lang w:val="en-US" w:eastAsia="zh-CN"/>
        </w:rPr>
        <w:t>究其原因：一是经办人员业务能力有待提高；二是预算执行和绩效管理的监督管理不到位。</w:t>
      </w:r>
    </w:p>
    <w:p w14:paraId="2C9D7730">
      <w:pPr>
        <w:pageBreakBefore w:val="0"/>
        <w:widowControl w:val="0"/>
        <w:numPr>
          <w:ilvl w:val="0"/>
          <w:numId w:val="0"/>
        </w:numPr>
        <w:kinsoku/>
        <w:wordWrap/>
        <w:overflowPunct/>
        <w:topLinePunct w:val="0"/>
        <w:autoSpaceDE/>
        <w:autoSpaceDN/>
        <w:bidi w:val="0"/>
        <w:spacing w:line="540" w:lineRule="exact"/>
        <w:ind w:leftChars="200" w:right="0" w:rightChars="0"/>
        <w:textAlignment w:val="auto"/>
        <w:outlineLvl w:val="9"/>
        <w:rPr>
          <w:b/>
          <w:bCs/>
        </w:rPr>
      </w:pPr>
      <w:r>
        <w:rPr>
          <w:rFonts w:hint="eastAsia" w:ascii="仿宋" w:hAnsi="仿宋" w:eastAsia="仿宋"/>
          <w:b/>
          <w:bCs/>
          <w:sz w:val="32"/>
          <w:szCs w:val="32"/>
          <w:lang w:eastAsia="zh-CN"/>
        </w:rPr>
        <w:t>（二）</w:t>
      </w:r>
      <w:r>
        <w:rPr>
          <w:rFonts w:hint="eastAsia" w:ascii="仿宋" w:hAnsi="仿宋" w:eastAsia="仿宋"/>
          <w:b/>
          <w:bCs/>
          <w:sz w:val="32"/>
          <w:szCs w:val="32"/>
        </w:rPr>
        <w:t>针对问题提出具体的改进措施或建议</w:t>
      </w:r>
    </w:p>
    <w:p w14:paraId="532926DF">
      <w:pPr>
        <w:pStyle w:val="9"/>
        <w:pageBreakBefore w:val="0"/>
        <w:widowControl w:val="0"/>
        <w:kinsoku/>
        <w:wordWrap/>
        <w:overflowPunct/>
        <w:topLinePunct w:val="0"/>
        <w:autoSpaceDE/>
        <w:autoSpaceDN/>
        <w:bidi w:val="0"/>
        <w:spacing w:line="540" w:lineRule="exact"/>
        <w:ind w:right="0" w:righ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一是加强领导，精心组织，逐步推开，实现编制预算绩效目标全覆盖。</w:t>
      </w:r>
    </w:p>
    <w:p w14:paraId="64DB6BE7">
      <w:pPr>
        <w:pStyle w:val="9"/>
        <w:pageBreakBefore w:val="0"/>
        <w:widowControl w:val="0"/>
        <w:kinsoku/>
        <w:wordWrap/>
        <w:overflowPunct/>
        <w:topLinePunct w:val="0"/>
        <w:autoSpaceDE/>
        <w:autoSpaceDN/>
        <w:bidi w:val="0"/>
        <w:spacing w:line="540" w:lineRule="exact"/>
        <w:ind w:right="0" w:righ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二是完善相关制度，推进制度落实。</w:t>
      </w:r>
    </w:p>
    <w:p w14:paraId="53C04199">
      <w:pPr>
        <w:pStyle w:val="9"/>
        <w:pageBreakBefore w:val="0"/>
        <w:widowControl w:val="0"/>
        <w:kinsoku/>
        <w:wordWrap/>
        <w:overflowPunct/>
        <w:topLinePunct w:val="0"/>
        <w:autoSpaceDE/>
        <w:autoSpaceDN/>
        <w:bidi w:val="0"/>
        <w:spacing w:line="540" w:lineRule="exact"/>
        <w:ind w:right="0" w:righ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三是细化预算编制工作，认真做好预算编制。</w:t>
      </w:r>
    </w:p>
    <w:p w14:paraId="31EB6FA9">
      <w:pPr>
        <w:pStyle w:val="9"/>
        <w:pageBreakBefore w:val="0"/>
        <w:widowControl w:val="0"/>
        <w:kinsoku/>
        <w:wordWrap/>
        <w:overflowPunct/>
        <w:topLinePunct w:val="0"/>
        <w:autoSpaceDE/>
        <w:autoSpaceDN/>
        <w:bidi w:val="0"/>
        <w:spacing w:line="540" w:lineRule="exact"/>
        <w:ind w:right="0" w:righ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四是加强财务管理，严格财务审核。</w:t>
      </w:r>
    </w:p>
    <w:p w14:paraId="695E74EA">
      <w:pPr>
        <w:pStyle w:val="9"/>
        <w:pageBreakBefore w:val="0"/>
        <w:widowControl w:val="0"/>
        <w:kinsoku/>
        <w:wordWrap/>
        <w:overflowPunct/>
        <w:topLinePunct w:val="0"/>
        <w:autoSpaceDE/>
        <w:autoSpaceDN/>
        <w:bidi w:val="0"/>
        <w:spacing w:line="540" w:lineRule="exact"/>
        <w:ind w:right="0" w:rightChars="0"/>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五是加强项目开展进度的跟踪，开展项目事前、事中、事后绩效跟踪评价。</w:t>
      </w:r>
    </w:p>
    <w:p w14:paraId="2A858B98">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p>
    <w:p w14:paraId="3CD95486">
      <w:pPr>
        <w:pageBreakBefore w:val="0"/>
        <w:widowControl w:val="0"/>
        <w:kinsoku/>
        <w:wordWrap/>
        <w:overflowPunct/>
        <w:topLinePunct w:val="0"/>
        <w:autoSpaceDE/>
        <w:autoSpaceDN/>
        <w:bidi w:val="0"/>
        <w:adjustRightInd/>
        <w:snapToGrid/>
        <w:spacing w:line="550" w:lineRule="exact"/>
        <w:textAlignment w:val="auto"/>
        <w:rPr>
          <w:rFonts w:hint="eastAsia" w:ascii="宋体" w:hAnsi="宋体" w:eastAsia="仿宋_GB2312" w:cs="仿宋_GB2312"/>
          <w:sz w:val="32"/>
          <w:szCs w:val="32"/>
          <w:lang w:val="en-US" w:eastAsia="zh-CN"/>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DB8B57">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041718">
                          <w:pPr>
                            <w:pStyle w:val="7"/>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8041718">
                    <w:pPr>
                      <w:pStyle w:val="7"/>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DC026D"/>
    <w:multiLevelType w:val="singleLevel"/>
    <w:tmpl w:val="99DC026D"/>
    <w:lvl w:ilvl="0" w:tentative="0">
      <w:start w:val="1"/>
      <w:numFmt w:val="decimal"/>
      <w:suff w:val="nothing"/>
      <w:lvlText w:val="%1、"/>
      <w:lvlJc w:val="left"/>
    </w:lvl>
  </w:abstractNum>
  <w:abstractNum w:abstractNumId="1">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M0YjBiYzBjYWUyZjcwMTEzZTJkMjkwZjk0NTU2NDMifQ=="/>
  </w:docVars>
  <w:rsids>
    <w:rsidRoot w:val="00000000"/>
    <w:rsid w:val="00086E0E"/>
    <w:rsid w:val="0463522E"/>
    <w:rsid w:val="071F1601"/>
    <w:rsid w:val="07994268"/>
    <w:rsid w:val="0B5758C4"/>
    <w:rsid w:val="0D6B07C9"/>
    <w:rsid w:val="13007A3D"/>
    <w:rsid w:val="173D5B03"/>
    <w:rsid w:val="1CD203FA"/>
    <w:rsid w:val="1FA34548"/>
    <w:rsid w:val="210B78D1"/>
    <w:rsid w:val="21C916A0"/>
    <w:rsid w:val="29CA1C81"/>
    <w:rsid w:val="2E3327E8"/>
    <w:rsid w:val="34CB5A03"/>
    <w:rsid w:val="365E4655"/>
    <w:rsid w:val="38EA6FCF"/>
    <w:rsid w:val="393F251C"/>
    <w:rsid w:val="39502C3D"/>
    <w:rsid w:val="3F9D555A"/>
    <w:rsid w:val="45B925DE"/>
    <w:rsid w:val="4F532425"/>
    <w:rsid w:val="51FA59C7"/>
    <w:rsid w:val="56603B62"/>
    <w:rsid w:val="5F26795D"/>
    <w:rsid w:val="61942BFF"/>
    <w:rsid w:val="62DC1205"/>
    <w:rsid w:val="62DE4C05"/>
    <w:rsid w:val="65D50ABD"/>
    <w:rsid w:val="6D7014D0"/>
    <w:rsid w:val="6E5F46BA"/>
    <w:rsid w:val="77196A15"/>
    <w:rsid w:val="7CDB0D73"/>
    <w:rsid w:val="7CEE43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4">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sz w:val="32"/>
    </w:rPr>
  </w:style>
  <w:style w:type="paragraph" w:styleId="5">
    <w:name w:val="heading 3"/>
    <w:basedOn w:val="1"/>
    <w:next w:val="1"/>
    <w:link w:val="13"/>
    <w:semiHidden/>
    <w:unhideWhenUsed/>
    <w:qFormat/>
    <w:uiPriority w:val="0"/>
    <w:pPr>
      <w:keepNext/>
      <w:keepLines/>
      <w:spacing w:before="260" w:beforeLines="0" w:beforeAutospacing="0" w:after="260" w:afterLines="0" w:afterAutospacing="0" w:line="413" w:lineRule="auto"/>
      <w:outlineLvl w:val="2"/>
    </w:pPr>
    <w:rPr>
      <w:rFonts w:eastAsia="楷体_GB2312" w:asciiTheme="minorAscii" w:hAnsiTheme="minorAscii"/>
      <w:sz w:val="32"/>
    </w:rPr>
  </w:style>
  <w:style w:type="character" w:default="1" w:styleId="12">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customStyle="1" w:styleId="2">
    <w:name w:val="Normal Indent1"/>
    <w:basedOn w:val="1"/>
    <w:next w:val="1"/>
    <w:qFormat/>
    <w:uiPriority w:val="0"/>
    <w:pPr>
      <w:wordWrap w:val="0"/>
      <w:ind w:left="3400"/>
      <w:jc w:val="both"/>
    </w:pPr>
    <w:rPr>
      <w:sz w:val="21"/>
      <w:lang w:val="en-US" w:eastAsia="zh-CN"/>
    </w:rPr>
  </w:style>
  <w:style w:type="paragraph" w:styleId="6">
    <w:name w:val="Body Text Indent"/>
    <w:basedOn w:val="1"/>
    <w:qFormat/>
    <w:uiPriority w:val="0"/>
    <w:pPr>
      <w:spacing w:line="360" w:lineRule="auto"/>
      <w:ind w:firstLine="200" w:firstLineChars="200"/>
      <w:textAlignment w:val="baseline"/>
    </w:pPr>
    <w:rPr>
      <w:rFonts w:hint="eastAsia" w:ascii="Times New Roman" w:hAnsi="Times New Roman" w:eastAsia="宋体" w:cs="Times New Roman"/>
      <w:sz w:val="24"/>
    </w:rPr>
  </w:style>
  <w:style w:type="paragraph" w:styleId="7">
    <w:name w:val="footer"/>
    <w:basedOn w:val="1"/>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Body Text First Indent 2"/>
    <w:basedOn w:val="6"/>
    <w:qFormat/>
    <w:uiPriority w:val="0"/>
    <w:pPr>
      <w:ind w:firstLine="420"/>
    </w:pPr>
    <w:rPr>
      <w:rFonts w:ascii="Times New Roman" w:hAnsi="Times New Roman" w:eastAsia="宋体" w:cs="Times New Roman"/>
    </w:rPr>
  </w:style>
  <w:style w:type="table" w:styleId="11">
    <w:name w:val="Table Grid"/>
    <w:basedOn w:val="10"/>
    <w:qFormat/>
    <w:uiPriority w:val="0"/>
    <w:pPr>
      <w:widowControl w:val="0"/>
      <w:spacing w:line="600" w:lineRule="exact"/>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3">
    <w:name w:val="标题 3 Char"/>
    <w:link w:val="5"/>
    <w:qFormat/>
    <w:uiPriority w:val="0"/>
    <w:rPr>
      <w:rFonts w:eastAsia="楷体_GB2312" w:asciiTheme="minorAscii" w:hAnsiTheme="minorAscii"/>
      <w:sz w:val="32"/>
    </w:rPr>
  </w:style>
  <w:style w:type="paragraph" w:customStyle="1" w:styleId="14">
    <w:name w:val="No Spacing"/>
    <w:qFormat/>
    <w:uiPriority w:val="1"/>
    <w:pPr>
      <w:widowControl w:val="0"/>
      <w:jc w:val="both"/>
    </w:pPr>
    <w:rPr>
      <w:rFonts w:ascii="宋体" w:hAnsi="宋体" w:eastAsia="仿宋_GB2312" w:cs="Times New Roman"/>
      <w:kern w:val="2"/>
      <w:sz w:val="32"/>
      <w:szCs w:val="22"/>
      <w:lang w:val="en-US" w:eastAsia="zh-CN" w:bidi="ar-SA"/>
    </w:rPr>
  </w:style>
  <w:style w:type="paragraph" w:customStyle="1" w:styleId="15">
    <w:name w:val="无间隔1"/>
    <w:basedOn w:val="1"/>
    <w:qFormat/>
    <w:uiPriority w:val="0"/>
    <w:rPr>
      <w:rFonts w:ascii="宋体" w:hAnsi="宋体" w:eastAsia="仿宋_GB2312"/>
      <w:sz w:val="32"/>
      <w:szCs w:val="32"/>
    </w:rPr>
  </w:style>
  <w:style w:type="paragraph" w:customStyle="1" w:styleId="16">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character" w:customStyle="1" w:styleId="19">
    <w:name w:val="font41"/>
    <w:basedOn w:val="12"/>
    <w:qFormat/>
    <w:uiPriority w:val="0"/>
    <w:rPr>
      <w:rFonts w:hint="eastAsia" w:ascii="仿宋_GB2312" w:eastAsia="仿宋_GB2312" w:cs="仿宋_GB2312"/>
      <w:color w:val="000000"/>
      <w:sz w:val="22"/>
      <w:szCs w:val="22"/>
      <w:u w:val="none"/>
    </w:rPr>
  </w:style>
  <w:style w:type="character" w:customStyle="1" w:styleId="20">
    <w:name w:val="font51"/>
    <w:basedOn w:val="12"/>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4343</Words>
  <Characters>4572</Characters>
  <Lines>0</Lines>
  <Paragraphs>0</Paragraphs>
  <TotalTime>22</TotalTime>
  <ScaleCrop>false</ScaleCrop>
  <LinksUpToDate>false</LinksUpToDate>
  <CharactersWithSpaces>4581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2021-07-13T05:26:00Z</dcterms:created>
  <dc:creator>DELL</dc:creator>
  <cp:lastModifiedBy>陶然</cp:lastModifiedBy>
  <dcterms:modified xsi:type="dcterms:W3CDTF">2025-05-09T02:40:31Z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A6769BE8240D4476A3659A2B58F26223_12</vt:lpwstr>
  </property>
  <property fmtid="{D5CDD505-2E9C-101B-9397-08002B2CF9AE}" pid="4" name="KSOTemplateDocerSaveRecord">
    <vt:lpwstr>eyJoZGlkIjoiMWM0YjBiYzBjYWUyZjcwMTEzZTJkMjkwZjk0NTU2NDMiLCJ1c2VySWQiOiI2NTg2MTA3NTYifQ==</vt:lpwstr>
  </property>
</Properties>
</file>