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center"/>
        <w:rPr>
          <w:rFonts w:ascii="宋体" w:hAnsi="宋体" w:cs="宋体"/>
          <w:b/>
          <w:bCs/>
          <w:sz w:val="44"/>
          <w:szCs w:val="44"/>
        </w:rPr>
      </w:pPr>
    </w:p>
    <w:p>
      <w:pPr>
        <w:spacing w:line="560" w:lineRule="exact"/>
        <w:jc w:val="center"/>
        <w:rPr>
          <w:rFonts w:ascii="宋体" w:hAnsi="宋体" w:cs="宋体"/>
          <w:b/>
          <w:bCs/>
          <w:sz w:val="44"/>
          <w:szCs w:val="44"/>
        </w:rPr>
      </w:pPr>
      <w:r>
        <w:rPr>
          <w:rFonts w:hint="eastAsia" w:ascii="宋体" w:hAnsi="宋体" w:cs="宋体"/>
          <w:b/>
          <w:bCs/>
          <w:sz w:val="44"/>
          <w:szCs w:val="44"/>
        </w:rPr>
        <w:t>石家庄市鹿泉区白鹿泉乡人民政府</w:t>
      </w:r>
    </w:p>
    <w:p>
      <w:pPr>
        <w:spacing w:line="560" w:lineRule="exact"/>
        <w:jc w:val="center"/>
        <w:rPr>
          <w:rFonts w:ascii="宋体" w:hAnsi="宋体" w:cs="宋体"/>
          <w:b/>
          <w:bCs/>
          <w:sz w:val="44"/>
          <w:szCs w:val="44"/>
        </w:rPr>
      </w:pPr>
      <w:r>
        <w:rPr>
          <w:rFonts w:hint="eastAsia" w:ascii="宋体" w:hAnsi="宋体" w:cs="宋体"/>
          <w:b/>
          <w:bCs/>
          <w:sz w:val="44"/>
          <w:szCs w:val="44"/>
        </w:rPr>
        <w:t>202</w:t>
      </w:r>
      <w:r>
        <w:rPr>
          <w:rFonts w:ascii="宋体" w:hAnsi="宋体" w:cs="宋体"/>
          <w:b/>
          <w:bCs/>
          <w:sz w:val="44"/>
          <w:szCs w:val="44"/>
        </w:rPr>
        <w:t>4</w:t>
      </w:r>
      <w:r>
        <w:rPr>
          <w:rFonts w:hint="eastAsia" w:ascii="宋体" w:hAnsi="宋体" w:cs="宋体"/>
          <w:b/>
          <w:bCs/>
          <w:sz w:val="44"/>
          <w:szCs w:val="44"/>
        </w:rPr>
        <w:t>年度整体支出绩效自评报告</w:t>
      </w:r>
    </w:p>
    <w:p>
      <w:pPr>
        <w:spacing w:line="560" w:lineRule="exact"/>
        <w:jc w:val="center"/>
        <w:rPr>
          <w:rFonts w:ascii="华文楷体" w:eastAsia="华文楷体"/>
          <w:sz w:val="32"/>
          <w:szCs w:val="32"/>
        </w:rPr>
      </w:pP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贯彻落实石家庄市鹿泉区人民政府《关于全面实施预算绩效管理的实施意见》（鹿发〔2019〕8号）文件精神，遵循“科学性、规范性、客观性和公正性”的原则，对石家庄市鹿泉区白鹿泉乡人民政府202</w:t>
      </w:r>
      <w:r>
        <w:rPr>
          <w:rFonts w:ascii="仿宋" w:hAnsi="仿宋" w:eastAsia="仿宋"/>
          <w:sz w:val="32"/>
          <w:szCs w:val="32"/>
        </w:rPr>
        <w:t>4</w:t>
      </w:r>
      <w:r>
        <w:rPr>
          <w:rFonts w:hint="eastAsia" w:ascii="仿宋" w:hAnsi="仿宋" w:eastAsia="仿宋"/>
          <w:sz w:val="32"/>
          <w:szCs w:val="32"/>
        </w:rPr>
        <w:t>年整体支出情况实施了财政支出绩效自评价，形成本评价报告。</w:t>
      </w:r>
    </w:p>
    <w:p>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pPr>
        <w:widowControl/>
        <w:shd w:val="clear" w:color="auto" w:fill="FFFFFF"/>
        <w:spacing w:line="560" w:lineRule="exact"/>
        <w:ind w:firstLine="640"/>
        <w:rPr>
          <w:rFonts w:hint="eastAsia" w:ascii="仿宋" w:hAnsi="仿宋" w:eastAsia="仿宋" w:cs="Arial"/>
          <w:color w:val="000000"/>
          <w:kern w:val="0"/>
          <w:sz w:val="32"/>
          <w:szCs w:val="32"/>
          <w:shd w:val="clear" w:color="auto" w:fill="FFFFFF"/>
        </w:rPr>
      </w:pPr>
      <w:r>
        <w:rPr>
          <w:rFonts w:hint="eastAsia" w:ascii="仿宋" w:hAnsi="仿宋" w:eastAsia="仿宋" w:cs="Arial"/>
          <w:color w:val="000000"/>
          <w:kern w:val="0"/>
          <w:sz w:val="32"/>
          <w:szCs w:val="32"/>
          <w:shd w:val="clear" w:color="auto" w:fill="FFFFFF"/>
        </w:rPr>
        <w:t>白鹿泉乡党委、人大、政府主要职责是：</w:t>
      </w:r>
    </w:p>
    <w:p>
      <w:pPr>
        <w:widowControl/>
        <w:numPr>
          <w:ilvl w:val="0"/>
          <w:numId w:val="1"/>
        </w:numPr>
        <w:shd w:val="clear" w:color="auto" w:fill="FFFFFF"/>
        <w:spacing w:line="560" w:lineRule="exact"/>
        <w:ind w:firstLine="640"/>
        <w:rPr>
          <w:rFonts w:hint="eastAsia" w:ascii="仿宋" w:hAnsi="仿宋" w:eastAsia="仿宋" w:cs="Arial"/>
          <w:color w:val="000000"/>
          <w:kern w:val="0"/>
          <w:sz w:val="32"/>
          <w:szCs w:val="32"/>
          <w:shd w:val="clear" w:color="auto" w:fill="FFFFFF"/>
        </w:rPr>
      </w:pPr>
      <w:r>
        <w:rPr>
          <w:rFonts w:hint="eastAsia" w:ascii="仿宋" w:hAnsi="仿宋" w:eastAsia="仿宋" w:cs="Arial"/>
          <w:color w:val="000000"/>
          <w:kern w:val="0"/>
          <w:sz w:val="32"/>
          <w:szCs w:val="32"/>
          <w:shd w:val="clear" w:color="auto" w:fill="FFFFFF"/>
        </w:rPr>
        <w:t>宣传贯彻执行党的路线方针政策和党中央、上级党组织及本乡党员代表大会（党员大会）的决议。贯彻执行法律、法规、规章和上级人民代表大会及其常务委员会决议及上级政府的决定、命令，执行本级人民代表大会的决议。</w:t>
      </w:r>
    </w:p>
    <w:p>
      <w:pPr>
        <w:widowControl/>
        <w:numPr>
          <w:ilvl w:val="0"/>
          <w:numId w:val="1"/>
        </w:numPr>
        <w:shd w:val="clear" w:color="auto" w:fill="FFFFFF"/>
        <w:spacing w:line="560" w:lineRule="exact"/>
        <w:ind w:firstLine="640"/>
        <w:rPr>
          <w:rFonts w:ascii="仿宋" w:hAnsi="仿宋" w:eastAsia="仿宋" w:cs="Arial"/>
          <w:color w:val="000000"/>
          <w:kern w:val="0"/>
          <w:sz w:val="32"/>
          <w:szCs w:val="32"/>
          <w:shd w:val="clear" w:color="auto" w:fill="FFFFFF"/>
        </w:rPr>
      </w:pPr>
      <w:r>
        <w:rPr>
          <w:rFonts w:hint="eastAsia" w:ascii="仿宋" w:hAnsi="仿宋" w:eastAsia="仿宋" w:cs="Arial"/>
          <w:color w:val="000000"/>
          <w:kern w:val="0"/>
          <w:sz w:val="32"/>
          <w:szCs w:val="32"/>
          <w:shd w:val="clear" w:color="auto" w:fill="FFFFFF"/>
        </w:rPr>
        <w:t>讨论和决定本乡经济建设、政治建设、文化建设、社会建设、生态文明建设和党的建设以及乡村振兴中的重大问题。</w:t>
      </w:r>
    </w:p>
    <w:p>
      <w:pPr>
        <w:widowControl/>
        <w:numPr>
          <w:ilvl w:val="0"/>
          <w:numId w:val="1"/>
        </w:numPr>
        <w:shd w:val="clear" w:color="auto" w:fill="FFFFFF"/>
        <w:spacing w:line="560" w:lineRule="exact"/>
        <w:ind w:firstLine="640"/>
        <w:rPr>
          <w:rFonts w:ascii="仿宋" w:hAnsi="仿宋" w:eastAsia="仿宋" w:cs="Arial"/>
          <w:color w:val="000000"/>
          <w:kern w:val="0"/>
          <w:sz w:val="32"/>
          <w:szCs w:val="32"/>
          <w:shd w:val="clear" w:color="auto" w:fill="FFFFFF"/>
        </w:rPr>
      </w:pPr>
      <w:r>
        <w:rPr>
          <w:rFonts w:hint="eastAsia" w:ascii="仿宋" w:hAnsi="仿宋" w:eastAsia="仿宋" w:cs="Arial"/>
          <w:color w:val="000000"/>
          <w:kern w:val="0"/>
          <w:sz w:val="32"/>
          <w:szCs w:val="32"/>
          <w:shd w:val="clear" w:color="auto" w:fill="FFFFFF"/>
        </w:rPr>
        <w:t>组织召开本级人民代表大会，充分行使重大事项决定权、监督权和任免权，做好人大代表工作，联系选民、反映群众意见和要求。</w:t>
      </w:r>
    </w:p>
    <w:p>
      <w:pPr>
        <w:widowControl/>
        <w:numPr>
          <w:ilvl w:val="0"/>
          <w:numId w:val="1"/>
        </w:numPr>
        <w:shd w:val="clear" w:color="auto" w:fill="FFFFFF"/>
        <w:spacing w:line="560" w:lineRule="exact"/>
        <w:ind w:firstLine="640"/>
        <w:rPr>
          <w:rFonts w:ascii="仿宋" w:hAnsi="仿宋" w:eastAsia="仿宋" w:cs="Arial"/>
          <w:color w:val="000000"/>
          <w:kern w:val="0"/>
          <w:sz w:val="32"/>
          <w:szCs w:val="32"/>
          <w:shd w:val="clear" w:color="auto" w:fill="FFFFFF"/>
        </w:rPr>
      </w:pPr>
      <w:r>
        <w:rPr>
          <w:rFonts w:hint="eastAsia" w:ascii="仿宋" w:hAnsi="仿宋" w:eastAsia="仿宋" w:cs="Arial"/>
          <w:color w:val="000000"/>
          <w:kern w:val="0"/>
          <w:sz w:val="32"/>
          <w:szCs w:val="32"/>
          <w:shd w:val="clear" w:color="auto" w:fill="FFFFFF"/>
        </w:rPr>
        <w:t>执行本行政区域内的经济和社会发展计划，预算，管理本行政区域内的经济、教育、科学、文化、卫生健康、体育事业</w:t>
      </w:r>
      <w:bookmarkStart w:id="0" w:name="_GoBack"/>
      <w:bookmarkEnd w:id="0"/>
      <w:r>
        <w:rPr>
          <w:rFonts w:hint="eastAsia" w:ascii="仿宋" w:hAnsi="仿宋" w:eastAsia="仿宋" w:cs="Arial"/>
          <w:color w:val="000000"/>
          <w:kern w:val="0"/>
          <w:sz w:val="32"/>
          <w:szCs w:val="32"/>
          <w:shd w:val="clear" w:color="auto" w:fill="FFFFFF"/>
        </w:rPr>
        <w:t>和财政、统计、民政、司法行政等行政工作。落实本级行政区域内发展规划、专项规划、区域规划、国土空间规划。</w:t>
      </w:r>
    </w:p>
    <w:p>
      <w:pPr>
        <w:widowControl/>
        <w:numPr>
          <w:ilvl w:val="0"/>
          <w:numId w:val="1"/>
        </w:numPr>
        <w:shd w:val="clear" w:color="auto" w:fill="FFFFFF"/>
        <w:spacing w:line="560" w:lineRule="exact"/>
        <w:ind w:firstLine="640"/>
        <w:rPr>
          <w:rFonts w:ascii="仿宋" w:hAnsi="仿宋" w:eastAsia="仿宋" w:cs="Arial"/>
          <w:color w:val="000000"/>
          <w:kern w:val="0"/>
          <w:sz w:val="32"/>
          <w:szCs w:val="32"/>
          <w:shd w:val="clear" w:color="auto" w:fill="FFFFFF"/>
        </w:rPr>
      </w:pPr>
      <w:r>
        <w:rPr>
          <w:rFonts w:hint="eastAsia" w:ascii="仿宋" w:hAnsi="仿宋" w:eastAsia="仿宋" w:cs="Arial"/>
          <w:color w:val="000000"/>
          <w:kern w:val="0"/>
          <w:sz w:val="32"/>
          <w:szCs w:val="32"/>
          <w:shd w:val="clear" w:color="auto" w:fill="FFFFFF"/>
        </w:rPr>
        <w:t>乡党委领导乡政权机关、群团组织和其他各类组织，加强指导和规范，支持和保证这些机关和组织依照国家法律法规以及各自章程履行职责。坚持党管武装的根本原则和制度，协调各方力量，对乡人民武装工作实行统一领导。</w:t>
      </w:r>
    </w:p>
    <w:p>
      <w:pPr>
        <w:widowControl/>
        <w:numPr>
          <w:ilvl w:val="0"/>
          <w:numId w:val="1"/>
        </w:numPr>
        <w:shd w:val="clear" w:color="auto" w:fill="FFFFFF"/>
        <w:spacing w:line="560" w:lineRule="exact"/>
        <w:ind w:firstLine="640"/>
        <w:rPr>
          <w:rFonts w:ascii="仿宋" w:hAnsi="仿宋" w:eastAsia="仿宋" w:cs="Arial"/>
          <w:color w:val="000000"/>
          <w:kern w:val="0"/>
          <w:sz w:val="32"/>
          <w:szCs w:val="32"/>
          <w:shd w:val="clear" w:color="auto" w:fill="FFFFFF"/>
        </w:rPr>
      </w:pPr>
      <w:r>
        <w:rPr>
          <w:rFonts w:hint="eastAsia" w:ascii="仿宋" w:hAnsi="仿宋" w:eastAsia="仿宋" w:cs="Arial"/>
          <w:color w:val="000000"/>
          <w:kern w:val="0"/>
          <w:sz w:val="32"/>
          <w:szCs w:val="32"/>
          <w:shd w:val="clear" w:color="auto" w:fill="FFFFFF"/>
        </w:rPr>
        <w:t>加强乡党委自身建设和村党组织建设，以及其他隶属乡党委的党组织建设，抓好发展党员工作，加强党员队伍建设。维护和执行党的纪律，监督党员干部和其他任何工作人员严格遵守国家法律法规。</w:t>
      </w:r>
    </w:p>
    <w:p>
      <w:pPr>
        <w:widowControl/>
        <w:numPr>
          <w:ilvl w:val="0"/>
          <w:numId w:val="1"/>
        </w:numPr>
        <w:shd w:val="clear" w:color="auto" w:fill="FFFFFF"/>
        <w:spacing w:line="560" w:lineRule="exact"/>
        <w:ind w:firstLine="640"/>
        <w:rPr>
          <w:rFonts w:ascii="仿宋" w:hAnsi="仿宋" w:eastAsia="仿宋" w:cs="Arial"/>
          <w:color w:val="000000"/>
          <w:kern w:val="0"/>
          <w:sz w:val="32"/>
          <w:szCs w:val="32"/>
          <w:shd w:val="clear" w:color="auto" w:fill="FFFFFF"/>
        </w:rPr>
      </w:pPr>
      <w:r>
        <w:rPr>
          <w:rFonts w:hint="eastAsia" w:ascii="仿宋" w:hAnsi="仿宋" w:eastAsia="仿宋" w:cs="Arial"/>
          <w:color w:val="000000"/>
          <w:kern w:val="0"/>
          <w:sz w:val="32"/>
          <w:szCs w:val="32"/>
          <w:shd w:val="clear" w:color="auto" w:fill="FFFFFF"/>
        </w:rPr>
        <w:t>按照干部管理权限，负责对干部的教育、培训、选拔、考核和监督工作。协助管理上级有关部门驻乡单位的干部。做好人才服务工作。</w:t>
      </w:r>
    </w:p>
    <w:p>
      <w:pPr>
        <w:widowControl/>
        <w:numPr>
          <w:ilvl w:val="0"/>
          <w:numId w:val="1"/>
        </w:numPr>
        <w:shd w:val="clear" w:color="auto" w:fill="FFFFFF"/>
        <w:spacing w:line="560" w:lineRule="exact"/>
        <w:ind w:firstLine="640"/>
        <w:rPr>
          <w:rFonts w:ascii="仿宋" w:hAnsi="仿宋" w:eastAsia="仿宋" w:cs="Arial"/>
          <w:color w:val="000000"/>
          <w:kern w:val="0"/>
          <w:sz w:val="32"/>
          <w:szCs w:val="32"/>
          <w:shd w:val="clear" w:color="auto" w:fill="FFFFFF"/>
        </w:rPr>
      </w:pPr>
      <w:r>
        <w:rPr>
          <w:rFonts w:hint="eastAsia" w:ascii="仿宋" w:hAnsi="仿宋" w:eastAsia="仿宋" w:cs="Arial"/>
          <w:color w:val="000000"/>
          <w:kern w:val="0"/>
          <w:sz w:val="32"/>
          <w:szCs w:val="32"/>
          <w:shd w:val="clear" w:color="auto" w:fill="FFFFFF"/>
        </w:rPr>
        <w:t>领导本乡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pPr>
        <w:widowControl/>
        <w:numPr>
          <w:ilvl w:val="0"/>
          <w:numId w:val="1"/>
        </w:numPr>
        <w:shd w:val="clear" w:color="auto" w:fill="FFFFFF"/>
        <w:spacing w:line="560" w:lineRule="exact"/>
        <w:ind w:firstLine="640"/>
        <w:rPr>
          <w:rFonts w:ascii="仿宋" w:hAnsi="仿宋" w:eastAsia="仿宋" w:cs="Arial"/>
          <w:color w:val="000000"/>
          <w:kern w:val="0"/>
          <w:sz w:val="32"/>
          <w:szCs w:val="32"/>
          <w:shd w:val="clear" w:color="auto" w:fill="FFFFFF"/>
        </w:rPr>
      </w:pPr>
      <w:r>
        <w:rPr>
          <w:rFonts w:hint="eastAsia" w:ascii="仿宋" w:hAnsi="仿宋" w:eastAsia="仿宋" w:cs="Arial"/>
          <w:color w:val="000000"/>
          <w:kern w:val="0"/>
          <w:sz w:val="32"/>
          <w:szCs w:val="32"/>
          <w:shd w:val="clear" w:color="auto" w:fill="FFFFFF"/>
        </w:rPr>
        <w:t>保护社会主义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pPr>
        <w:widowControl/>
        <w:numPr>
          <w:ilvl w:val="0"/>
          <w:numId w:val="1"/>
        </w:numPr>
        <w:shd w:val="clear" w:color="auto" w:fill="FFFFFF"/>
        <w:spacing w:line="560" w:lineRule="exact"/>
        <w:ind w:firstLine="640"/>
        <w:rPr>
          <w:rFonts w:ascii="仿宋" w:hAnsi="仿宋" w:eastAsia="仿宋" w:cs="Arial"/>
          <w:color w:val="000000"/>
          <w:kern w:val="0"/>
          <w:sz w:val="32"/>
          <w:szCs w:val="32"/>
          <w:shd w:val="clear" w:color="auto" w:fill="FFFFFF"/>
        </w:rPr>
      </w:pPr>
      <w:r>
        <w:rPr>
          <w:rFonts w:hint="eastAsia" w:ascii="仿宋" w:hAnsi="仿宋" w:eastAsia="仿宋" w:cs="Arial"/>
          <w:color w:val="000000"/>
          <w:kern w:val="0"/>
          <w:sz w:val="32"/>
          <w:szCs w:val="32"/>
          <w:shd w:val="clear" w:color="auto" w:fill="FFFFFF"/>
        </w:rPr>
        <w:t>承办上级党委、人大、政府交办的其他事项。</w:t>
      </w:r>
    </w:p>
    <w:p>
      <w:pPr>
        <w:widowControl/>
        <w:shd w:val="clear" w:color="auto" w:fill="FFFFFF"/>
        <w:spacing w:line="560" w:lineRule="exact"/>
        <w:ind w:firstLine="640"/>
        <w:rPr>
          <w:rFonts w:hint="default" w:ascii="仿宋" w:hAnsi="仿宋" w:eastAsia="仿宋" w:cs="Arial"/>
          <w:color w:val="000000"/>
          <w:kern w:val="0"/>
          <w:sz w:val="32"/>
          <w:szCs w:val="32"/>
          <w:shd w:val="clear" w:color="auto" w:fill="FFFFFF"/>
          <w:lang w:val="en-US" w:eastAsia="zh-CN"/>
        </w:rPr>
      </w:pPr>
      <w:r>
        <w:rPr>
          <w:rFonts w:hint="eastAsia" w:ascii="仿宋" w:hAnsi="仿宋" w:eastAsia="仿宋" w:cs="Arial"/>
          <w:color w:val="000000"/>
          <w:kern w:val="0"/>
          <w:sz w:val="32"/>
          <w:szCs w:val="32"/>
          <w:shd w:val="clear" w:color="auto" w:fill="FFFFFF"/>
        </w:rPr>
        <w:t>白鹿泉乡内设机构</w:t>
      </w:r>
      <w:r>
        <w:rPr>
          <w:rFonts w:hint="eastAsia" w:ascii="仿宋" w:hAnsi="仿宋" w:eastAsia="仿宋" w:cs="Arial"/>
          <w:color w:val="000000"/>
          <w:kern w:val="0"/>
          <w:sz w:val="32"/>
          <w:szCs w:val="32"/>
          <w:shd w:val="clear" w:color="auto" w:fill="FFFFFF"/>
          <w:lang w:val="en-US" w:eastAsia="zh-CN"/>
        </w:rPr>
        <w:t>4</w:t>
      </w:r>
      <w:r>
        <w:rPr>
          <w:rFonts w:hint="eastAsia" w:ascii="仿宋" w:hAnsi="仿宋" w:eastAsia="仿宋" w:cs="Arial"/>
          <w:color w:val="000000"/>
          <w:kern w:val="0"/>
          <w:sz w:val="32"/>
          <w:szCs w:val="32"/>
          <w:shd w:val="clear" w:color="auto" w:fill="FFFFFF"/>
        </w:rPr>
        <w:t>个，分别为：党政综合办公室、党建工作办公室（挂人大主席团办公室牌子）、社会治理和应急管理办公室（挂综合指挥和信息化网络中心牌子）、自然资源和生态环境办公室；下辖事业单位</w:t>
      </w:r>
      <w:r>
        <w:rPr>
          <w:rFonts w:hint="eastAsia" w:ascii="仿宋" w:hAnsi="仿宋" w:eastAsia="仿宋" w:cs="Arial"/>
          <w:color w:val="000000"/>
          <w:kern w:val="0"/>
          <w:sz w:val="32"/>
          <w:szCs w:val="32"/>
          <w:shd w:val="clear" w:color="auto" w:fill="FFFFFF"/>
          <w:lang w:val="en-US" w:eastAsia="zh-CN"/>
        </w:rPr>
        <w:t>3</w:t>
      </w:r>
      <w:r>
        <w:rPr>
          <w:rFonts w:hint="eastAsia" w:ascii="仿宋" w:hAnsi="仿宋" w:eastAsia="仿宋" w:cs="Arial"/>
          <w:color w:val="000000"/>
          <w:kern w:val="0"/>
          <w:sz w:val="32"/>
          <w:szCs w:val="32"/>
          <w:shd w:val="clear" w:color="auto" w:fill="FFFFFF"/>
        </w:rPr>
        <w:t>个：综合行政执法队、行政综合服务中心（挂综合文化服务站、财政所牌子）、农业综合服务中心（挂经济发展办公室牌子）。</w:t>
      </w:r>
      <w:r>
        <w:rPr>
          <w:rFonts w:hint="eastAsia" w:ascii="仿宋" w:hAnsi="仿宋" w:eastAsia="仿宋" w:cs="Arial"/>
          <w:color w:val="000000"/>
          <w:kern w:val="0"/>
          <w:sz w:val="32"/>
          <w:szCs w:val="32"/>
          <w:shd w:val="clear" w:color="auto" w:fill="FFFFFF"/>
          <w:lang w:val="en-US" w:eastAsia="zh-CN"/>
        </w:rPr>
        <w:t>另根据中央和省委要求，设立退役军人服务站，规格为股级，所属类别为公益一类。乡纪委（监察办公室），负责全乡党的纪律检查工作。</w:t>
      </w:r>
    </w:p>
    <w:p>
      <w:pPr>
        <w:widowControl/>
        <w:shd w:val="clear" w:color="auto" w:fill="FFFFFF"/>
        <w:spacing w:line="560" w:lineRule="exact"/>
        <w:ind w:firstLine="640"/>
        <w:rPr>
          <w:rFonts w:ascii="仿宋" w:hAnsi="仿宋" w:eastAsia="仿宋" w:cs="Arial"/>
          <w:color w:val="000000"/>
          <w:kern w:val="0"/>
          <w:sz w:val="32"/>
          <w:szCs w:val="32"/>
          <w:shd w:val="clear" w:color="auto" w:fill="FFFFFF"/>
        </w:rPr>
      </w:pPr>
      <w:r>
        <w:rPr>
          <w:rFonts w:hint="eastAsia" w:ascii="仿宋" w:hAnsi="仿宋" w:eastAsia="仿宋" w:cs="Arial"/>
          <w:color w:val="000000"/>
          <w:kern w:val="0"/>
          <w:sz w:val="32"/>
          <w:szCs w:val="32"/>
          <w:shd w:val="clear" w:color="auto" w:fill="FFFFFF"/>
        </w:rPr>
        <w:t>截至202</w:t>
      </w:r>
      <w:r>
        <w:rPr>
          <w:rFonts w:hint="eastAsia" w:ascii="仿宋" w:hAnsi="仿宋" w:eastAsia="仿宋" w:cs="Arial"/>
          <w:color w:val="000000"/>
          <w:kern w:val="0"/>
          <w:sz w:val="32"/>
          <w:szCs w:val="32"/>
          <w:shd w:val="clear" w:color="auto" w:fill="FFFFFF"/>
          <w:lang w:val="en-US" w:eastAsia="zh-CN"/>
        </w:rPr>
        <w:t>4</w:t>
      </w:r>
      <w:r>
        <w:rPr>
          <w:rFonts w:hint="eastAsia" w:ascii="仿宋" w:hAnsi="仿宋" w:eastAsia="仿宋" w:cs="Arial"/>
          <w:color w:val="000000"/>
          <w:kern w:val="0"/>
          <w:sz w:val="32"/>
          <w:szCs w:val="32"/>
          <w:shd w:val="clear" w:color="auto" w:fill="FFFFFF"/>
        </w:rPr>
        <w:t>年底，部门独立编制机构1个为白鹿泉乡人民政府；独立核算机构1个为白鹿泉乡人民政府，年末在职在编实有人数</w:t>
      </w:r>
      <w:r>
        <w:rPr>
          <w:rFonts w:hint="eastAsia" w:ascii="仿宋" w:hAnsi="仿宋" w:eastAsia="仿宋" w:cs="Arial"/>
          <w:color w:val="000000"/>
          <w:kern w:val="0"/>
          <w:sz w:val="32"/>
          <w:szCs w:val="32"/>
          <w:highlight w:val="none"/>
          <w:shd w:val="clear" w:color="auto" w:fill="FFFFFF"/>
          <w:lang w:val="en-US" w:eastAsia="zh-CN"/>
        </w:rPr>
        <w:t>45</w:t>
      </w:r>
      <w:r>
        <w:rPr>
          <w:rFonts w:hint="eastAsia" w:ascii="仿宋" w:hAnsi="仿宋" w:eastAsia="仿宋" w:cs="Arial"/>
          <w:color w:val="000000"/>
          <w:kern w:val="0"/>
          <w:sz w:val="32"/>
          <w:szCs w:val="32"/>
          <w:highlight w:val="none"/>
          <w:shd w:val="clear" w:color="auto" w:fill="FFFFFF"/>
        </w:rPr>
        <w:t>人，其中行政在编人员2</w:t>
      </w:r>
      <w:r>
        <w:rPr>
          <w:rFonts w:hint="eastAsia" w:ascii="仿宋" w:hAnsi="仿宋" w:eastAsia="仿宋" w:cs="Arial"/>
          <w:color w:val="000000"/>
          <w:kern w:val="0"/>
          <w:sz w:val="32"/>
          <w:szCs w:val="32"/>
          <w:highlight w:val="none"/>
          <w:shd w:val="clear" w:color="auto" w:fill="FFFFFF"/>
          <w:lang w:val="en-US" w:eastAsia="zh-CN"/>
        </w:rPr>
        <w:t>1</w:t>
      </w:r>
      <w:r>
        <w:rPr>
          <w:rFonts w:hint="eastAsia" w:ascii="仿宋" w:hAnsi="仿宋" w:eastAsia="仿宋" w:cs="Arial"/>
          <w:color w:val="000000"/>
          <w:kern w:val="0"/>
          <w:sz w:val="32"/>
          <w:szCs w:val="32"/>
          <w:highlight w:val="none"/>
          <w:shd w:val="clear" w:color="auto" w:fill="FFFFFF"/>
        </w:rPr>
        <w:t>人，非参公事业人员</w:t>
      </w:r>
      <w:r>
        <w:rPr>
          <w:rFonts w:hint="eastAsia" w:ascii="仿宋" w:hAnsi="仿宋" w:eastAsia="仿宋" w:cs="Arial"/>
          <w:color w:val="000000"/>
          <w:kern w:val="0"/>
          <w:sz w:val="32"/>
          <w:szCs w:val="32"/>
          <w:highlight w:val="none"/>
          <w:shd w:val="clear" w:color="auto" w:fill="FFFFFF"/>
          <w:lang w:val="en-US" w:eastAsia="zh-CN"/>
        </w:rPr>
        <w:t>24</w:t>
      </w:r>
      <w:r>
        <w:rPr>
          <w:rFonts w:hint="eastAsia" w:ascii="仿宋" w:hAnsi="仿宋" w:eastAsia="仿宋" w:cs="Arial"/>
          <w:color w:val="000000"/>
          <w:kern w:val="0"/>
          <w:sz w:val="32"/>
          <w:szCs w:val="32"/>
          <w:highlight w:val="none"/>
          <w:shd w:val="clear" w:color="auto" w:fill="FFFFFF"/>
        </w:rPr>
        <w:t>人。</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cs="Arial"/>
          <w:color w:val="000000"/>
          <w:kern w:val="0"/>
          <w:sz w:val="32"/>
          <w:szCs w:val="32"/>
          <w:shd w:val="clear" w:color="auto" w:fill="FFFFFF"/>
        </w:rPr>
        <w:t>截至202</w:t>
      </w:r>
      <w:r>
        <w:rPr>
          <w:rFonts w:hint="eastAsia" w:ascii="仿宋" w:hAnsi="仿宋" w:eastAsia="仿宋" w:cs="Arial"/>
          <w:color w:val="000000"/>
          <w:kern w:val="0"/>
          <w:sz w:val="32"/>
          <w:szCs w:val="32"/>
          <w:shd w:val="clear" w:color="auto" w:fill="FFFFFF"/>
          <w:lang w:val="en-US" w:eastAsia="zh-CN"/>
        </w:rPr>
        <w:t>4</w:t>
      </w:r>
      <w:r>
        <w:rPr>
          <w:rFonts w:hint="eastAsia" w:ascii="仿宋" w:hAnsi="仿宋" w:eastAsia="仿宋" w:cs="Arial"/>
          <w:color w:val="000000"/>
          <w:kern w:val="0"/>
          <w:sz w:val="32"/>
          <w:szCs w:val="32"/>
          <w:shd w:val="clear" w:color="auto" w:fill="FFFFFF"/>
        </w:rPr>
        <w:t>年12月31日，本部门共有车辆</w:t>
      </w:r>
      <w:r>
        <w:rPr>
          <w:rFonts w:hint="eastAsia" w:ascii="仿宋" w:hAnsi="仿宋" w:eastAsia="仿宋" w:cs="Arial"/>
          <w:color w:val="000000"/>
          <w:kern w:val="0"/>
          <w:sz w:val="32"/>
          <w:szCs w:val="32"/>
          <w:shd w:val="clear" w:color="auto" w:fill="FFFFFF"/>
          <w:lang w:val="en-US" w:eastAsia="zh-CN"/>
        </w:rPr>
        <w:t>8</w:t>
      </w:r>
      <w:r>
        <w:rPr>
          <w:rFonts w:hint="eastAsia" w:ascii="仿宋" w:hAnsi="仿宋" w:eastAsia="仿宋" w:cs="Arial"/>
          <w:color w:val="000000"/>
          <w:kern w:val="0"/>
          <w:sz w:val="32"/>
          <w:szCs w:val="32"/>
          <w:shd w:val="clear" w:color="auto" w:fill="FFFFFF"/>
        </w:rPr>
        <w:t>辆。其中，副部（省）级及以上领导用车0辆，主要领导干部用车0辆，机要通信用车1辆，应急保障用车1辆，执法执勤用车0辆，特种专业技术用车</w:t>
      </w:r>
      <w:r>
        <w:rPr>
          <w:rFonts w:hint="eastAsia" w:ascii="仿宋" w:hAnsi="仿宋" w:eastAsia="仿宋" w:cs="Arial"/>
          <w:color w:val="000000"/>
          <w:kern w:val="0"/>
          <w:sz w:val="32"/>
          <w:szCs w:val="32"/>
          <w:shd w:val="clear" w:color="auto" w:fill="FFFFFF"/>
          <w:lang w:val="en-US" w:eastAsia="zh-CN"/>
        </w:rPr>
        <w:t>6</w:t>
      </w:r>
      <w:r>
        <w:rPr>
          <w:rFonts w:hint="eastAsia" w:ascii="仿宋" w:hAnsi="仿宋" w:eastAsia="仿宋" w:cs="Arial"/>
          <w:color w:val="000000"/>
          <w:kern w:val="0"/>
          <w:sz w:val="32"/>
          <w:szCs w:val="32"/>
          <w:shd w:val="clear" w:color="auto" w:fill="FFFFFF"/>
        </w:rPr>
        <w:t>辆，离退休干部用车0辆，其他用车0辆；单位价值</w:t>
      </w:r>
      <w:r>
        <w:rPr>
          <w:rFonts w:ascii="仿宋" w:hAnsi="仿宋" w:eastAsia="仿宋" w:cs="Arial"/>
          <w:color w:val="000000"/>
          <w:kern w:val="0"/>
          <w:sz w:val="32"/>
          <w:szCs w:val="32"/>
          <w:shd w:val="clear" w:color="auto" w:fill="FFFFFF"/>
        </w:rPr>
        <w:t>100</w:t>
      </w:r>
      <w:r>
        <w:rPr>
          <w:rFonts w:hint="eastAsia" w:ascii="仿宋" w:hAnsi="仿宋" w:eastAsia="仿宋" w:cs="Arial"/>
          <w:color w:val="000000"/>
          <w:kern w:val="0"/>
          <w:sz w:val="32"/>
          <w:szCs w:val="32"/>
          <w:shd w:val="clear" w:color="auto" w:fill="FFFFFF"/>
        </w:rPr>
        <w:t>万元以上设备（不含车辆）0台（套）。</w:t>
      </w:r>
    </w:p>
    <w:p>
      <w:pPr>
        <w:numPr>
          <w:ilvl w:val="0"/>
          <w:numId w:val="2"/>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pPr>
        <w:adjustRightInd w:val="0"/>
        <w:snapToGrid w:val="0"/>
        <w:spacing w:line="578" w:lineRule="exact"/>
        <w:ind w:firstLine="640" w:firstLineChars="200"/>
        <w:rPr>
          <w:rFonts w:ascii="仿宋" w:hAnsi="仿宋" w:eastAsia="仿宋"/>
          <w:sz w:val="32"/>
          <w:szCs w:val="32"/>
          <w:highlight w:val="none"/>
        </w:rPr>
      </w:pPr>
      <w:r>
        <w:rPr>
          <w:rFonts w:hint="eastAsia" w:ascii="仿宋" w:hAnsi="仿宋" w:eastAsia="仿宋"/>
          <w:sz w:val="32"/>
          <w:szCs w:val="32"/>
          <w:highlight w:val="none"/>
        </w:rPr>
        <w:t>1、收入支出预算总体情况说明</w:t>
      </w:r>
    </w:p>
    <w:p>
      <w:pPr>
        <w:adjustRightInd w:val="0"/>
        <w:snapToGrid w:val="0"/>
        <w:spacing w:line="578" w:lineRule="exact"/>
        <w:ind w:firstLine="640" w:firstLineChars="200"/>
        <w:rPr>
          <w:rFonts w:ascii="仿宋" w:hAnsi="仿宋" w:eastAsia="仿宋"/>
          <w:sz w:val="32"/>
          <w:szCs w:val="32"/>
          <w:highlight w:val="none"/>
        </w:rPr>
      </w:pPr>
      <w:r>
        <w:rPr>
          <w:rFonts w:hint="eastAsia" w:ascii="仿宋" w:hAnsi="仿宋" w:eastAsia="仿宋"/>
          <w:sz w:val="32"/>
          <w:szCs w:val="32"/>
          <w:highlight w:val="none"/>
        </w:rPr>
        <w:t>本部门</w:t>
      </w:r>
      <w:r>
        <w:rPr>
          <w:rFonts w:ascii="仿宋" w:hAnsi="仿宋" w:eastAsia="仿宋"/>
          <w:sz w:val="32"/>
          <w:szCs w:val="32"/>
          <w:highlight w:val="none"/>
        </w:rPr>
        <w:t>202</w:t>
      </w:r>
      <w:r>
        <w:rPr>
          <w:rFonts w:hint="eastAsia" w:ascii="仿宋" w:hAnsi="仿宋" w:eastAsia="仿宋"/>
          <w:sz w:val="32"/>
          <w:szCs w:val="32"/>
          <w:highlight w:val="none"/>
          <w:lang w:val="en-US" w:eastAsia="zh-CN"/>
        </w:rPr>
        <w:t>4</w:t>
      </w:r>
      <w:r>
        <w:rPr>
          <w:rFonts w:hint="eastAsia" w:ascii="仿宋" w:hAnsi="仿宋" w:eastAsia="仿宋"/>
          <w:sz w:val="32"/>
          <w:szCs w:val="32"/>
          <w:highlight w:val="none"/>
        </w:rPr>
        <w:t>年度</w:t>
      </w:r>
      <w:r>
        <w:rPr>
          <w:rFonts w:ascii="仿宋" w:hAnsi="仿宋" w:eastAsia="仿宋"/>
          <w:sz w:val="32"/>
          <w:szCs w:val="32"/>
          <w:highlight w:val="none"/>
        </w:rPr>
        <w:t>预算收入总计</w:t>
      </w:r>
      <w:r>
        <w:rPr>
          <w:rFonts w:hint="eastAsia" w:ascii="仿宋" w:hAnsi="仿宋" w:eastAsia="仿宋"/>
          <w:sz w:val="32"/>
          <w:szCs w:val="32"/>
          <w:highlight w:val="none"/>
          <w:lang w:val="en-US" w:eastAsia="zh-CN"/>
        </w:rPr>
        <w:t>2484.08</w:t>
      </w:r>
      <w:r>
        <w:rPr>
          <w:rFonts w:hint="eastAsia" w:ascii="仿宋" w:hAnsi="仿宋" w:eastAsia="仿宋"/>
          <w:sz w:val="32"/>
          <w:szCs w:val="32"/>
          <w:highlight w:val="none"/>
        </w:rPr>
        <w:t>万元，</w:t>
      </w:r>
      <w:r>
        <w:rPr>
          <w:rFonts w:ascii="仿宋" w:hAnsi="仿宋" w:eastAsia="仿宋"/>
          <w:sz w:val="32"/>
          <w:szCs w:val="32"/>
          <w:highlight w:val="none"/>
        </w:rPr>
        <w:t>预算支出</w:t>
      </w:r>
      <w:r>
        <w:rPr>
          <w:rFonts w:hint="eastAsia" w:ascii="仿宋" w:hAnsi="仿宋" w:eastAsia="仿宋"/>
          <w:sz w:val="32"/>
          <w:szCs w:val="32"/>
          <w:highlight w:val="none"/>
          <w:lang w:val="en-US" w:eastAsia="zh-CN"/>
        </w:rPr>
        <w:t>2484.08</w:t>
      </w:r>
      <w:r>
        <w:rPr>
          <w:rFonts w:ascii="仿宋" w:hAnsi="仿宋" w:eastAsia="仿宋"/>
          <w:sz w:val="32"/>
          <w:szCs w:val="32"/>
          <w:highlight w:val="none"/>
        </w:rPr>
        <w:t>万元。</w:t>
      </w:r>
    </w:p>
    <w:p>
      <w:pPr>
        <w:adjustRightInd w:val="0"/>
        <w:snapToGrid w:val="0"/>
        <w:spacing w:line="578" w:lineRule="exact"/>
        <w:ind w:firstLine="640" w:firstLineChars="200"/>
        <w:rPr>
          <w:rFonts w:ascii="仿宋" w:hAnsi="仿宋" w:eastAsia="仿宋"/>
          <w:sz w:val="32"/>
          <w:szCs w:val="32"/>
          <w:highlight w:val="none"/>
        </w:rPr>
      </w:pPr>
      <w:r>
        <w:rPr>
          <w:rFonts w:hint="eastAsia" w:ascii="仿宋" w:hAnsi="仿宋" w:eastAsia="仿宋"/>
          <w:sz w:val="32"/>
          <w:szCs w:val="32"/>
          <w:highlight w:val="none"/>
        </w:rPr>
        <w:t>2、收入支出决算总体情况说明</w:t>
      </w:r>
    </w:p>
    <w:p>
      <w:pPr>
        <w:adjustRightInd w:val="0"/>
        <w:snapToGrid w:val="0"/>
        <w:spacing w:line="578" w:lineRule="exact"/>
        <w:ind w:firstLine="640" w:firstLineChars="200"/>
        <w:rPr>
          <w:rFonts w:hint="eastAsia" w:ascii="楷体" w:hAnsi="楷体" w:eastAsia="楷体" w:cs="楷体_GB2312"/>
          <w:bCs/>
          <w:sz w:val="32"/>
          <w:szCs w:val="32"/>
        </w:rPr>
      </w:pPr>
      <w:r>
        <w:rPr>
          <w:rFonts w:hint="eastAsia" w:ascii="仿宋" w:hAnsi="仿宋" w:eastAsia="仿宋"/>
          <w:sz w:val="32"/>
          <w:szCs w:val="32"/>
          <w:highlight w:val="none"/>
        </w:rPr>
        <w:t>本部门</w:t>
      </w:r>
      <w:r>
        <w:rPr>
          <w:rFonts w:ascii="仿宋" w:hAnsi="仿宋" w:eastAsia="仿宋"/>
          <w:sz w:val="32"/>
          <w:szCs w:val="32"/>
          <w:highlight w:val="none"/>
        </w:rPr>
        <w:t>202</w:t>
      </w:r>
      <w:r>
        <w:rPr>
          <w:rFonts w:hint="eastAsia" w:ascii="仿宋" w:hAnsi="仿宋" w:eastAsia="仿宋"/>
          <w:sz w:val="32"/>
          <w:szCs w:val="32"/>
          <w:highlight w:val="none"/>
          <w:lang w:val="en-US" w:eastAsia="zh-CN"/>
        </w:rPr>
        <w:t>4</w:t>
      </w:r>
      <w:r>
        <w:rPr>
          <w:rFonts w:hint="eastAsia" w:ascii="仿宋" w:hAnsi="仿宋" w:eastAsia="仿宋"/>
          <w:sz w:val="32"/>
          <w:szCs w:val="32"/>
          <w:highlight w:val="none"/>
        </w:rPr>
        <w:t>年度收、支总计（含结转和结余）</w:t>
      </w:r>
      <w:r>
        <w:rPr>
          <w:rFonts w:hint="eastAsia" w:ascii="仿宋" w:hAnsi="仿宋" w:eastAsia="仿宋"/>
          <w:sz w:val="32"/>
          <w:szCs w:val="32"/>
          <w:highlight w:val="none"/>
          <w:lang w:val="en-US" w:eastAsia="zh-CN"/>
        </w:rPr>
        <w:t>2485.69</w:t>
      </w:r>
      <w:r>
        <w:rPr>
          <w:rFonts w:hint="eastAsia" w:ascii="仿宋" w:hAnsi="仿宋" w:eastAsia="仿宋"/>
          <w:sz w:val="32"/>
          <w:szCs w:val="32"/>
          <w:highlight w:val="none"/>
        </w:rPr>
        <w:t>万元。与</w:t>
      </w:r>
      <w:r>
        <w:rPr>
          <w:rFonts w:ascii="仿宋" w:hAnsi="仿宋" w:eastAsia="仿宋"/>
          <w:sz w:val="32"/>
          <w:szCs w:val="32"/>
          <w:highlight w:val="none"/>
        </w:rPr>
        <w:t>202</w:t>
      </w:r>
      <w:r>
        <w:rPr>
          <w:rFonts w:hint="eastAsia" w:ascii="仿宋" w:hAnsi="仿宋" w:eastAsia="仿宋"/>
          <w:sz w:val="32"/>
          <w:szCs w:val="32"/>
          <w:highlight w:val="none"/>
          <w:lang w:val="en-US" w:eastAsia="zh-CN"/>
        </w:rPr>
        <w:t>3</w:t>
      </w:r>
      <w:r>
        <w:rPr>
          <w:rFonts w:hint="eastAsia" w:ascii="仿宋" w:hAnsi="仿宋" w:eastAsia="仿宋"/>
          <w:sz w:val="32"/>
          <w:szCs w:val="32"/>
          <w:highlight w:val="none"/>
        </w:rPr>
        <w:t>年度决算相比，收支各</w:t>
      </w:r>
      <w:r>
        <w:rPr>
          <w:rFonts w:hint="eastAsia" w:ascii="仿宋" w:hAnsi="仿宋" w:eastAsia="仿宋"/>
          <w:sz w:val="32"/>
          <w:szCs w:val="32"/>
          <w:highlight w:val="none"/>
          <w:lang w:eastAsia="zh-CN"/>
        </w:rPr>
        <w:t>增加</w:t>
      </w:r>
      <w:r>
        <w:rPr>
          <w:rFonts w:hint="eastAsia" w:ascii="仿宋" w:hAnsi="仿宋" w:eastAsia="仿宋"/>
          <w:sz w:val="32"/>
          <w:szCs w:val="32"/>
          <w:highlight w:val="none"/>
        </w:rPr>
        <w:t>318.58万元，</w:t>
      </w:r>
      <w:r>
        <w:rPr>
          <w:rFonts w:hint="eastAsia" w:ascii="仿宋" w:hAnsi="仿宋" w:eastAsia="仿宋"/>
          <w:sz w:val="32"/>
          <w:szCs w:val="32"/>
          <w:highlight w:val="none"/>
          <w:lang w:eastAsia="zh-CN"/>
        </w:rPr>
        <w:t>上升14</w:t>
      </w:r>
      <w:r>
        <w:rPr>
          <w:rFonts w:hint="eastAsia" w:ascii="仿宋" w:hAnsi="仿宋" w:eastAsia="仿宋"/>
          <w:sz w:val="32"/>
          <w:szCs w:val="32"/>
          <w:highlight w:val="none"/>
          <w:lang w:val="en-US" w:eastAsia="zh-CN"/>
        </w:rPr>
        <w:t>.</w:t>
      </w:r>
      <w:r>
        <w:rPr>
          <w:rFonts w:hint="eastAsia" w:ascii="仿宋" w:hAnsi="仿宋" w:eastAsia="仿宋"/>
          <w:sz w:val="32"/>
          <w:szCs w:val="32"/>
          <w:highlight w:val="none"/>
          <w:lang w:eastAsia="zh-CN"/>
        </w:rPr>
        <w:t>70</w:t>
      </w:r>
      <w:r>
        <w:rPr>
          <w:rFonts w:hint="eastAsia" w:ascii="仿宋" w:hAnsi="仿宋" w:eastAsia="仿宋"/>
          <w:sz w:val="32"/>
          <w:szCs w:val="32"/>
          <w:highlight w:val="none"/>
          <w:lang w:val="en-US" w:eastAsia="zh-CN"/>
        </w:rPr>
        <w:t>%</w:t>
      </w:r>
      <w:r>
        <w:rPr>
          <w:rFonts w:hint="eastAsia" w:ascii="仿宋" w:hAnsi="仿宋" w:eastAsia="仿宋"/>
          <w:sz w:val="32"/>
          <w:szCs w:val="32"/>
          <w:highlight w:val="none"/>
        </w:rPr>
        <w:t>，主要原因是</w:t>
      </w:r>
      <w:r>
        <w:rPr>
          <w:rFonts w:hint="eastAsia" w:ascii="仿宋" w:hAnsi="仿宋" w:eastAsia="仿宋"/>
          <w:sz w:val="32"/>
          <w:szCs w:val="32"/>
          <w:highlight w:val="none"/>
          <w:lang w:eastAsia="zh-CN"/>
        </w:rPr>
        <w:t>增加梁庄村</w:t>
      </w:r>
      <w:r>
        <w:rPr>
          <w:rFonts w:hint="eastAsia" w:ascii="仿宋" w:hAnsi="仿宋" w:eastAsia="仿宋"/>
          <w:sz w:val="32"/>
          <w:szCs w:val="32"/>
          <w:highlight w:val="none"/>
          <w:lang w:val="en-US" w:eastAsia="zh-CN"/>
        </w:rPr>
        <w:t>2023年农村综合改革示范村建设项目、白鹿泉村道路硬化及健身广场建设工程等</w:t>
      </w:r>
      <w:r>
        <w:rPr>
          <w:rFonts w:hint="eastAsia" w:ascii="仿宋" w:hAnsi="仿宋" w:eastAsia="仿宋"/>
          <w:sz w:val="32"/>
          <w:szCs w:val="32"/>
          <w:highlight w:val="none"/>
        </w:rPr>
        <w:t>项目</w:t>
      </w:r>
      <w:r>
        <w:rPr>
          <w:rFonts w:hint="eastAsia" w:ascii="仿宋" w:hAnsi="仿宋" w:eastAsia="仿宋"/>
          <w:sz w:val="32"/>
          <w:szCs w:val="32"/>
          <w:highlight w:val="none"/>
          <w:lang w:eastAsia="zh-CN"/>
        </w:rPr>
        <w:t>支出。</w:t>
      </w:r>
    </w:p>
    <w:p>
      <w:pPr>
        <w:adjustRightInd w:val="0"/>
        <w:snapToGrid w:val="0"/>
        <w:spacing w:line="560" w:lineRule="exact"/>
        <w:ind w:firstLine="640" w:firstLineChars="200"/>
        <w:rPr>
          <w:rFonts w:ascii="楷体" w:hAnsi="楷体" w:eastAsia="楷体" w:cs="楷体_GB2312"/>
          <w:bCs/>
          <w:sz w:val="32"/>
          <w:szCs w:val="32"/>
          <w:highlight w:val="yellow"/>
        </w:rPr>
      </w:pPr>
      <w:r>
        <w:rPr>
          <w:rFonts w:hint="eastAsia" w:ascii="楷体" w:hAnsi="楷体" w:eastAsia="楷体" w:cs="楷体_GB2312"/>
          <w:bCs/>
          <w:sz w:val="32"/>
          <w:szCs w:val="32"/>
          <w:highlight w:val="none"/>
        </w:rPr>
        <w:t>（三）部门整体支出绩效目标、指标</w:t>
      </w:r>
    </w:p>
    <w:p>
      <w:pPr>
        <w:adjustRightInd w:val="0"/>
        <w:snapToGrid w:val="0"/>
        <w:spacing w:line="578" w:lineRule="exact"/>
        <w:ind w:firstLine="640" w:firstLineChars="200"/>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坚持以习近平新时代中国特色社会主义思想为指导，深入学习贯彻党的二十大精神，坚持稳中求进工作总基调，完整、准确、全面贯彻新发展理念，全面深化改革，大力提振市场信心，发挥乡村振兴示范片区优势，全力推进和美乡村建设提质增效，充分挖掘历史文化底蕴，在文旅产业和休闲农业方面持续发力，为全面建设现代化经济强区、魅力鹿泉、生态宜居宜业宜游新城区贡献白鹿泉力量。</w:t>
      </w:r>
    </w:p>
    <w:p>
      <w:pPr>
        <w:adjustRightInd w:val="0"/>
        <w:snapToGrid w:val="0"/>
        <w:spacing w:line="578" w:lineRule="exact"/>
        <w:ind w:firstLine="640" w:firstLineChars="200"/>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坚定不移推进高质量发展，着力建设经济现代化白鹿泉。不断优化营商环境。坚持把优化营商环境作为经济发展的基础工程，紧跟上级政策，持续推进“减环节、减时间、减成本”，全面拓展“一件事一次办”适用范围，提升中小企业准入准营便利化水平。同时保障好各景区企业、摊位营商利益，压缩办理手续相关时间，简化流程，切实做好便民惠企工作。</w:t>
      </w:r>
    </w:p>
    <w:p>
      <w:pPr>
        <w:adjustRightInd w:val="0"/>
        <w:snapToGrid w:val="0"/>
        <w:spacing w:line="578" w:lineRule="exact"/>
        <w:ind w:firstLine="640" w:firstLineChars="200"/>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坚定不移发展特色产业，着力建设产业富强白鹿泉。全面拓展服务产业。持续改造提升现有景区景点，在增功能、提品质、讲服务上下功夫，加强周边梁庄、东土门等村的联动，形成优势互补。加快荷莲峪、水峪、段庄等村特色民宿建设，利用好绿水青山及田园风光的山水优势，做好文化魅力与旅游活动融合发展，全面借鉴省外地区先进经验，创新宣传模式，全面打造具有白鹿泉文化底蕴的民宿村落。</w:t>
      </w:r>
    </w:p>
    <w:p>
      <w:pPr>
        <w:adjustRightInd w:val="0"/>
        <w:snapToGrid w:val="0"/>
        <w:spacing w:line="578" w:lineRule="exact"/>
        <w:ind w:firstLine="640" w:firstLineChars="200"/>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坚定不移增进民生福祉，着力建设高效安全白鹿泉。不断健全社会保障体系，推进全面参保计划，加大燃气安全等保险推广力度，对低收入群体、低保、五保户进行长效帮扶，落实防返贫各项措施。严格落实安全生产责任制，开展生产安全、消防安全、森林防火等重点领域排查整治活动。</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pPr>
        <w:spacing w:line="560" w:lineRule="exact"/>
        <w:rPr>
          <w:rFonts w:hint="eastAsia" w:ascii="仿宋" w:hAnsi="仿宋" w:eastAsia="仿宋"/>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pPr>
        <w:adjustRightInd w:val="0"/>
        <w:snapToGrid w:val="0"/>
        <w:spacing w:line="578" w:lineRule="exact"/>
        <w:ind w:firstLine="640" w:firstLineChars="200"/>
        <w:rPr>
          <w:rFonts w:hint="eastAsia" w:ascii="仿宋" w:hAnsi="仿宋" w:eastAsia="仿宋"/>
          <w:sz w:val="32"/>
          <w:szCs w:val="32"/>
        </w:rPr>
      </w:pPr>
      <w:r>
        <w:rPr>
          <w:rFonts w:hint="eastAsia" w:ascii="仿宋" w:hAnsi="仿宋" w:eastAsia="仿宋"/>
          <w:sz w:val="32"/>
          <w:szCs w:val="32"/>
        </w:rPr>
        <w:t>我乡党委、政府严格落实主体责任，成立由乡长任组长，分管项目副职任副组长，财政所长任主任的监管运行领导小组，定期对绩效监控信息进行收集、汇总、分析。同时，我们还实行建设项目工作监察员制度，监察人员为乡纪委，以独立身份对本单位的建设项目工作实行全过程监督，享有知情权、参与权和建议权。</w:t>
      </w:r>
    </w:p>
    <w:p>
      <w:pPr>
        <w:adjustRightInd w:val="0"/>
        <w:snapToGrid w:val="0"/>
        <w:spacing w:line="578" w:lineRule="exact"/>
        <w:ind w:firstLine="640" w:firstLineChars="200"/>
        <w:rPr>
          <w:rFonts w:ascii="仿宋" w:hAnsi="仿宋" w:eastAsia="仿宋"/>
          <w:sz w:val="32"/>
          <w:szCs w:val="32"/>
        </w:rPr>
      </w:pPr>
      <w:r>
        <w:rPr>
          <w:rFonts w:hint="eastAsia" w:ascii="仿宋" w:hAnsi="仿宋" w:eastAsia="仿宋"/>
          <w:sz w:val="32"/>
          <w:szCs w:val="32"/>
        </w:rPr>
        <w:t>通过清晰的界定工作的内容与其需要达到的标准，使管理活动更加适宜，组织目标更加明确，达到项目设定的效果。精确编制建设项目预算；着重于计划管理、绩效监控、风险控制、资金筹措及绩效制度建设，认真组织实施；设立绩效自评工作组织，进行评价。</w:t>
      </w:r>
    </w:p>
    <w:p>
      <w:pPr>
        <w:numPr>
          <w:ilvl w:val="0"/>
          <w:numId w:val="3"/>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pPr>
        <w:numPr>
          <w:ilvl w:val="0"/>
          <w:numId w:val="4"/>
        </w:numPr>
        <w:spacing w:line="578" w:lineRule="exact"/>
        <w:ind w:firstLine="560"/>
        <w:rPr>
          <w:rFonts w:ascii="仿宋" w:hAnsi="仿宋" w:eastAsia="仿宋" w:cs="Times New Roman"/>
          <w:sz w:val="32"/>
          <w:szCs w:val="32"/>
        </w:rPr>
      </w:pPr>
      <w:r>
        <w:rPr>
          <w:rFonts w:hint="eastAsia" w:ascii="仿宋" w:hAnsi="仿宋" w:eastAsia="仿宋" w:cs="Times New Roman"/>
          <w:sz w:val="32"/>
          <w:szCs w:val="32"/>
        </w:rPr>
        <w:t>绩效自评方法</w:t>
      </w:r>
    </w:p>
    <w:p>
      <w:pPr>
        <w:adjustRightInd w:val="0"/>
        <w:snapToGrid w:val="0"/>
        <w:spacing w:line="578" w:lineRule="exact"/>
        <w:ind w:firstLine="640" w:firstLineChars="200"/>
        <w:rPr>
          <w:rFonts w:ascii="仿宋" w:hAnsi="仿宋" w:eastAsia="仿宋" w:cs="Times New Roman"/>
          <w:sz w:val="32"/>
          <w:szCs w:val="32"/>
        </w:rPr>
      </w:pPr>
      <w:r>
        <w:rPr>
          <w:rFonts w:hint="eastAsia" w:ascii="仿宋" w:hAnsi="仿宋" w:eastAsia="仿宋" w:cs="Times New Roman"/>
          <w:sz w:val="32"/>
          <w:szCs w:val="32"/>
        </w:rPr>
        <w:t>根据项目实际情况，选用恰当的标准进行评价，通过定量评价标准、定性评价标准、隶属度标准、客观标准等方法相结合，从多角度进行综合评价。</w:t>
      </w:r>
    </w:p>
    <w:p>
      <w:pPr>
        <w:spacing w:line="578" w:lineRule="exact"/>
        <w:ind w:firstLine="560"/>
        <w:rPr>
          <w:rFonts w:ascii="仿宋" w:hAnsi="仿宋" w:eastAsia="仿宋" w:cs="Times New Roman"/>
          <w:sz w:val="32"/>
          <w:szCs w:val="32"/>
        </w:rPr>
      </w:pPr>
      <w:r>
        <w:rPr>
          <w:rFonts w:hint="eastAsia" w:ascii="仿宋" w:hAnsi="仿宋" w:eastAsia="仿宋" w:cs="Times New Roman"/>
          <w:sz w:val="32"/>
          <w:szCs w:val="32"/>
        </w:rPr>
        <w:t>2、绩效自评过程</w:t>
      </w:r>
    </w:p>
    <w:p>
      <w:pPr>
        <w:spacing w:line="578" w:lineRule="exact"/>
        <w:ind w:firstLine="640" w:firstLineChars="200"/>
        <w:rPr>
          <w:rFonts w:ascii="仿宋" w:hAnsi="仿宋" w:eastAsia="仿宋" w:cs="Times New Roman"/>
          <w:sz w:val="32"/>
          <w:szCs w:val="32"/>
        </w:rPr>
      </w:pPr>
      <w:r>
        <w:rPr>
          <w:rFonts w:hint="eastAsia" w:ascii="仿宋" w:hAnsi="仿宋" w:eastAsia="仿宋" w:cs="Times New Roman"/>
          <w:sz w:val="32"/>
          <w:szCs w:val="32"/>
        </w:rPr>
        <w:t>前期准备：根据有关规定及要求，认真组织人员对项目自评资料进行收集、整理，针对指标完成情况进行绩效分析。为有效及时的完成项目绩效自评工作打下坚实的基础。</w:t>
      </w:r>
    </w:p>
    <w:p>
      <w:pPr>
        <w:spacing w:line="578" w:lineRule="exact"/>
        <w:ind w:firstLine="640" w:firstLineChars="200"/>
        <w:rPr>
          <w:rFonts w:ascii="仿宋" w:hAnsi="仿宋" w:eastAsia="仿宋" w:cs="Times New Roman"/>
          <w:sz w:val="32"/>
          <w:szCs w:val="32"/>
        </w:rPr>
      </w:pPr>
      <w:r>
        <w:rPr>
          <w:rFonts w:hint="eastAsia" w:ascii="仿宋" w:hAnsi="仿宋" w:eastAsia="仿宋" w:cs="Times New Roman"/>
          <w:sz w:val="32"/>
          <w:szCs w:val="32"/>
        </w:rPr>
        <w:t>组织实施：加强过程控制，认真总结项目实现绩效目标过程中存在的问题和采取的改进措施，对项目的预算编制、工程施工、材料的采购进行认真的分析研究，整个过程严格按照绩效评价管理办法进行。</w:t>
      </w:r>
    </w:p>
    <w:p>
      <w:pPr>
        <w:spacing w:line="578" w:lineRule="exact"/>
        <w:ind w:firstLine="640" w:firstLineChars="200"/>
        <w:rPr>
          <w:rFonts w:ascii="楷体" w:hAnsi="楷体" w:eastAsia="楷体" w:cs="楷体_GB2312"/>
          <w:bCs/>
          <w:sz w:val="32"/>
          <w:szCs w:val="32"/>
        </w:rPr>
      </w:pPr>
      <w:r>
        <w:rPr>
          <w:rFonts w:hint="eastAsia" w:ascii="仿宋" w:hAnsi="仿宋" w:eastAsia="仿宋" w:cs="Times New Roman"/>
          <w:sz w:val="32"/>
          <w:szCs w:val="32"/>
        </w:rPr>
        <w:t>分析评价：根据项目的自身特点和确定的各项绩效指标，对照项目完成情况，逐一进行评价，确保评价结论真实、客观、公平、公正。</w:t>
      </w:r>
    </w:p>
    <w:p>
      <w:pPr>
        <w:spacing w:line="560" w:lineRule="exact"/>
        <w:rPr>
          <w:rFonts w:ascii="黑体" w:hAnsi="黑体" w:eastAsia="黑体"/>
          <w:b/>
          <w:bCs/>
          <w:sz w:val="32"/>
          <w:szCs w:val="32"/>
        </w:rPr>
      </w:pPr>
      <w:r>
        <w:rPr>
          <w:rFonts w:hint="eastAsia" w:ascii="黑体" w:hAnsi="黑体" w:eastAsia="黑体"/>
          <w:sz w:val="32"/>
          <w:szCs w:val="32"/>
        </w:rPr>
        <w:t xml:space="preserve">    三、</w:t>
      </w:r>
      <w:r>
        <w:rPr>
          <w:rFonts w:hint="eastAsia" w:ascii="黑体" w:hAnsi="黑体" w:eastAsia="黑体"/>
          <w:sz w:val="32"/>
          <w:szCs w:val="32"/>
          <w:highlight w:val="none"/>
        </w:rPr>
        <w:t>部门整体</w:t>
      </w:r>
      <w:r>
        <w:rPr>
          <w:rFonts w:hint="eastAsia" w:ascii="黑体" w:hAnsi="黑体" w:eastAsia="黑体"/>
          <w:sz w:val="32"/>
          <w:szCs w:val="32"/>
        </w:rPr>
        <w:t>支出绩效目标实现情况及指标分析</w:t>
      </w:r>
    </w:p>
    <w:p>
      <w:pPr>
        <w:numPr>
          <w:ilvl w:val="0"/>
          <w:numId w:val="5"/>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pPr>
        <w:spacing w:line="560" w:lineRule="exact"/>
        <w:ind w:firstLine="800" w:firstLineChars="250"/>
        <w:rPr>
          <w:rFonts w:ascii="仿宋" w:hAnsi="仿宋" w:eastAsia="仿宋"/>
          <w:sz w:val="32"/>
          <w:szCs w:val="32"/>
        </w:rPr>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年，</w:t>
      </w:r>
      <w:r>
        <w:rPr>
          <w:rFonts w:hint="eastAsia" w:ascii="仿宋_GB2312" w:hAnsi="仿宋_GB2312" w:eastAsia="仿宋_GB2312" w:cs="仿宋_GB2312"/>
          <w:color w:val="000000"/>
          <w:kern w:val="2"/>
          <w:sz w:val="32"/>
          <w:szCs w:val="32"/>
          <w:lang w:val="en-US" w:eastAsia="zh-CN" w:bidi="ar-SA"/>
        </w:rPr>
        <w:t>我乡坚持以习近平新时代中国特色社会主义思想为指导，深入学习贯彻习近平总书记视察河北、视察石家庄重要讲话和重要指示精神，在区委、区政府和乡党委的坚强领导下，团结带领广大党员干部群众，坚持稳中求进工作总基调，开拓进取、拼搏实干，紧紧围绕“生态立乡，产业富乡，项目带动，科学发展”的总体思路，统筹推进各项工作，经济社会保持了稳中向好的发展态势。</w:t>
      </w:r>
    </w:p>
    <w:p>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pPr>
        <w:spacing w:line="560" w:lineRule="exact"/>
        <w:ind w:firstLine="800" w:firstLineChars="25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推进深化改革，创新和产业融合发展</w:t>
      </w:r>
      <w:r>
        <w:rPr>
          <w:rFonts w:hint="eastAsia" w:ascii="仿宋_GB2312" w:hAnsi="仿宋_GB2312" w:eastAsia="仿宋_GB2312" w:cs="仿宋_GB2312"/>
          <w:sz w:val="32"/>
          <w:szCs w:val="32"/>
          <w:lang w:eastAsia="zh-CN"/>
        </w:rPr>
        <w:t>。2024年在库项目</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lang w:eastAsia="zh-CN"/>
        </w:rPr>
        <w:t>个，积极扶持西部长青等龙头企业加快发展，创客中心项目已全部封顶，目前一期二期基本完成；夏威夷谷温室大棚项目和夏威夷酒店主体结构完成，栖谷酒店已进场施工。</w:t>
      </w:r>
      <w:r>
        <w:rPr>
          <w:rFonts w:hint="eastAsia" w:ascii="仿宋_GB2312" w:hAnsi="仿宋_GB2312" w:eastAsia="仿宋_GB2312" w:cs="仿宋_GB2312"/>
          <w:sz w:val="32"/>
          <w:szCs w:val="32"/>
          <w:lang w:val="zh-TW" w:eastAsia="zh-CN"/>
        </w:rPr>
        <w:t>同时</w:t>
      </w:r>
      <w:r>
        <w:rPr>
          <w:rFonts w:hint="eastAsia" w:ascii="仿宋_GB2312" w:hAnsi="仿宋_GB2312" w:eastAsia="仿宋_GB2312" w:cs="仿宋_GB2312"/>
          <w:sz w:val="32"/>
          <w:szCs w:val="32"/>
          <w:lang w:val="en-US" w:eastAsia="zh-CN"/>
        </w:rPr>
        <w:t>摸清全乡闲置资源底数，进一步挖掘乡村闲置资源潜力，目前2024年乡村振兴入库项目即荷莲峪村荷莲遇三号民宿项目和谷家峪村香椿木工艺品深加工项目已完成验收。</w:t>
      </w:r>
      <w:r>
        <w:rPr>
          <w:rFonts w:hint="eastAsia" w:ascii="仿宋_GB2312" w:hAnsi="仿宋_GB2312" w:eastAsia="仿宋_GB2312" w:cs="仿宋_GB2312"/>
          <w:sz w:val="32"/>
          <w:szCs w:val="32"/>
          <w:lang w:eastAsia="zh-CN"/>
        </w:rPr>
        <w:t>合理规划，推进民宿产业发展。以“理想院子”、“荷莲遇”获评“冀忆乡居”河北省百佳精品民宿培育单位为抓手，以点带面。目前在建民宿12处，做响做亮白鹿泉民宿品牌，畅通“民宿+旅游”美丽致富之路。</w:t>
      </w:r>
    </w:p>
    <w:p>
      <w:pPr>
        <w:spacing w:line="560" w:lineRule="exact"/>
        <w:ind w:firstLine="800" w:firstLineChars="25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践行绿色生态发展理念，持续推进和美乡村建设。开展人居环境整治专项行动。全年累计清理生活垃圾3151立方、建筑垃圾380立方、村内塘沟139处，累计动用车辆1366辆、人员2486次，基本实现了干净整洁、管理有序，我乡在全区城乡环境卫生整治专项行动工作中排名第一，水峪村也成功获评“河北省美丽休闲乡村”称号。</w:t>
      </w:r>
    </w:p>
    <w:p>
      <w:pPr>
        <w:spacing w:line="560" w:lineRule="exact"/>
        <w:ind w:firstLine="800" w:firstLineChars="25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不断强化底线思维，筑牢全乡安全防线。全面做好森林防火工作。严格落实“七清”制度，增加防火物资储备，制定应急预案。对各村严格部署、督导落实，修建防火隔离带，增加防火人员，开展定期盯守巡逻；成立由13名年轻骨干组成的乡级专业化防火队伍，开展防火演练4次。</w:t>
      </w:r>
    </w:p>
    <w:p>
      <w:pPr>
        <w:spacing w:line="560" w:lineRule="exact"/>
        <w:ind w:firstLine="800" w:firstLineChars="25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扎实做好民生保障工作。对各类低保户、弱势群体、特困户逐户进行排查摸底，全面系统地掌握每个民政对象的真实情况，加强救济工作，共发放救济款8900元，对脱贫户持续关注，解决杜绝出现返贫现象。今年我乡行政服务大厅办理个体工商户注册140个、变更43个、注销114个，企业注册5个、变更3个、注销1个。扎实推进养老保险认证工作，全面优化办理流程，推进城居保缴费工作，切实为辖区村民、经营者提供服务便捷。</w:t>
      </w:r>
    </w:p>
    <w:p>
      <w:pPr>
        <w:spacing w:line="560" w:lineRule="exact"/>
        <w:ind w:firstLine="640" w:firstLineChars="200"/>
        <w:rPr>
          <w:rFonts w:ascii="黑体" w:hAnsi="黑体" w:eastAsia="黑体"/>
          <w:sz w:val="32"/>
          <w:szCs w:val="32"/>
          <w:highlight w:val="none"/>
        </w:rPr>
      </w:pPr>
      <w:r>
        <w:rPr>
          <w:rFonts w:hint="eastAsia" w:ascii="黑体" w:hAnsi="黑体" w:eastAsia="黑体"/>
          <w:sz w:val="32"/>
          <w:szCs w:val="32"/>
        </w:rPr>
        <w:t>四、</w:t>
      </w:r>
      <w:r>
        <w:rPr>
          <w:rFonts w:hint="eastAsia" w:ascii="黑体" w:hAnsi="黑体" w:eastAsia="黑体"/>
          <w:sz w:val="32"/>
          <w:szCs w:val="32"/>
          <w:highlight w:val="none"/>
        </w:rPr>
        <w:t>评价结论和评价等级</w:t>
      </w:r>
    </w:p>
    <w:p>
      <w:pPr>
        <w:spacing w:line="560" w:lineRule="exact"/>
        <w:ind w:firstLine="640" w:firstLineChars="200"/>
        <w:rPr>
          <w:rFonts w:hint="eastAsia" w:ascii="仿宋" w:hAnsi="仿宋" w:eastAsia="仿宋"/>
          <w:sz w:val="32"/>
          <w:szCs w:val="32"/>
          <w:highlight w:val="none"/>
        </w:rPr>
      </w:pPr>
      <w:r>
        <w:rPr>
          <w:rFonts w:hint="eastAsia" w:ascii="仿宋" w:hAnsi="仿宋" w:eastAsia="仿宋"/>
          <w:sz w:val="32"/>
          <w:szCs w:val="32"/>
          <w:highlight w:val="none"/>
        </w:rPr>
        <w:t>根据部门职责定位和各项工作履职情况进行综合评价，给出总得分，满分100分，得出综合绩效评价等级。部门整体支出综合绩效评价分为4个等级：得分</w:t>
      </w:r>
      <w:r>
        <w:rPr>
          <w:rFonts w:ascii="仿宋" w:hAnsi="仿宋" w:eastAsia="仿宋" w:cs="Arial"/>
          <w:sz w:val="32"/>
          <w:szCs w:val="32"/>
          <w:highlight w:val="none"/>
        </w:rPr>
        <w:t>≥</w:t>
      </w:r>
      <w:r>
        <w:rPr>
          <w:rFonts w:hint="eastAsia" w:ascii="仿宋" w:hAnsi="仿宋" w:eastAsia="仿宋"/>
          <w:sz w:val="32"/>
          <w:szCs w:val="32"/>
          <w:highlight w:val="none"/>
        </w:rPr>
        <w:t>85分为优秀；75</w:t>
      </w:r>
      <w:r>
        <w:rPr>
          <w:rFonts w:ascii="仿宋" w:hAnsi="仿宋" w:eastAsia="仿宋" w:cs="Arial"/>
          <w:sz w:val="32"/>
          <w:szCs w:val="32"/>
          <w:highlight w:val="none"/>
        </w:rPr>
        <w:t>≤</w:t>
      </w:r>
      <w:r>
        <w:rPr>
          <w:rFonts w:hint="eastAsia" w:ascii="仿宋" w:hAnsi="仿宋" w:eastAsia="仿宋"/>
          <w:sz w:val="32"/>
          <w:szCs w:val="32"/>
          <w:highlight w:val="none"/>
        </w:rPr>
        <w:t>得分＜85分为良好；60</w:t>
      </w:r>
      <w:r>
        <w:rPr>
          <w:rFonts w:ascii="仿宋" w:hAnsi="仿宋" w:eastAsia="仿宋" w:cs="Arial"/>
          <w:sz w:val="32"/>
          <w:szCs w:val="32"/>
          <w:highlight w:val="none"/>
        </w:rPr>
        <w:t>≤</w:t>
      </w:r>
      <w:r>
        <w:rPr>
          <w:rFonts w:hint="eastAsia" w:ascii="仿宋" w:hAnsi="仿宋" w:eastAsia="仿宋"/>
          <w:sz w:val="32"/>
          <w:szCs w:val="32"/>
          <w:highlight w:val="none"/>
        </w:rPr>
        <w:t>得分＜75分为一般；得分＜60分为较差。</w:t>
      </w:r>
    </w:p>
    <w:p>
      <w:pPr>
        <w:spacing w:line="560" w:lineRule="exact"/>
        <w:ind w:firstLine="640" w:firstLineChars="200"/>
        <w:rPr>
          <w:rFonts w:hint="eastAsia" w:ascii="仿宋" w:hAnsi="仿宋" w:eastAsia="仿宋"/>
          <w:sz w:val="32"/>
          <w:szCs w:val="32"/>
          <w:highlight w:val="none"/>
        </w:rPr>
      </w:pPr>
      <w:r>
        <w:rPr>
          <w:rFonts w:hint="eastAsia" w:ascii="仿宋" w:hAnsi="仿宋" w:eastAsia="仿宋"/>
          <w:sz w:val="32"/>
          <w:szCs w:val="32"/>
          <w:highlight w:val="none"/>
        </w:rPr>
        <w:t>白鹿泉乡本年度整体支出情况最终得分</w:t>
      </w:r>
      <w:r>
        <w:rPr>
          <w:rFonts w:hint="eastAsia" w:ascii="仿宋" w:hAnsi="仿宋" w:eastAsia="仿宋"/>
          <w:sz w:val="32"/>
          <w:szCs w:val="32"/>
          <w:highlight w:val="none"/>
          <w:lang w:val="en-US" w:eastAsia="zh-CN"/>
        </w:rPr>
        <w:t>99.53</w:t>
      </w:r>
      <w:r>
        <w:rPr>
          <w:rFonts w:hint="eastAsia" w:ascii="仿宋" w:hAnsi="仿宋" w:eastAsia="仿宋"/>
          <w:sz w:val="32"/>
          <w:szCs w:val="32"/>
          <w:highlight w:val="none"/>
        </w:rPr>
        <w:t>分，综合绩效评价等级为优秀。</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pPr>
        <w:spacing w:line="560" w:lineRule="exact"/>
        <w:ind w:firstLine="640" w:firstLineChars="200"/>
        <w:rPr>
          <w:rFonts w:hint="eastAsia" w:ascii="楷体" w:hAnsi="楷体" w:eastAsia="楷体"/>
          <w:bCs/>
          <w:sz w:val="32"/>
          <w:szCs w:val="32"/>
        </w:rPr>
      </w:pPr>
      <w:r>
        <w:rPr>
          <w:rFonts w:hint="eastAsia" w:ascii="仿宋" w:hAnsi="仿宋" w:eastAsia="仿宋"/>
          <w:sz w:val="32"/>
          <w:szCs w:val="32"/>
        </w:rPr>
        <w:t>项目自评结果</w:t>
      </w:r>
      <w:r>
        <w:rPr>
          <w:rFonts w:hint="eastAsia" w:ascii="仿宋" w:hAnsi="仿宋" w:eastAsia="仿宋"/>
          <w:sz w:val="32"/>
          <w:szCs w:val="32"/>
          <w:lang w:eastAsia="zh-CN"/>
        </w:rPr>
        <w:t>的</w:t>
      </w:r>
      <w:r>
        <w:rPr>
          <w:rFonts w:hint="eastAsia" w:ascii="仿宋" w:hAnsi="仿宋" w:eastAsia="仿宋"/>
          <w:sz w:val="32"/>
          <w:szCs w:val="32"/>
        </w:rPr>
        <w:t>运用方面不够完善。</w:t>
      </w:r>
    </w:p>
    <w:p>
      <w:pPr>
        <w:spacing w:line="560" w:lineRule="exact"/>
        <w:ind w:firstLine="640" w:firstLineChars="200"/>
        <w:rPr>
          <w:rFonts w:ascii="楷体" w:hAnsi="楷体" w:eastAsia="楷体"/>
          <w:bCs/>
          <w:sz w:val="32"/>
          <w:szCs w:val="32"/>
        </w:rPr>
      </w:pPr>
      <w:r>
        <w:rPr>
          <w:rFonts w:hint="eastAsia" w:ascii="楷体" w:hAnsi="楷体" w:eastAsia="楷体"/>
          <w:bCs/>
          <w:sz w:val="32"/>
          <w:szCs w:val="32"/>
        </w:rPr>
        <w:t>（二）针对问题提出具体的改进措施或建议</w:t>
      </w:r>
    </w:p>
    <w:p>
      <w:pPr>
        <w:spacing w:line="560" w:lineRule="exact"/>
        <w:ind w:firstLine="640" w:firstLineChars="200"/>
        <w:rPr>
          <w:rFonts w:ascii="仿宋" w:hAnsi="仿宋" w:eastAsia="仿宋"/>
        </w:rPr>
      </w:pPr>
      <w:r>
        <w:rPr>
          <w:rFonts w:hint="eastAsia" w:ascii="仿宋" w:hAnsi="仿宋" w:eastAsia="仿宋"/>
          <w:sz w:val="32"/>
          <w:szCs w:val="32"/>
        </w:rPr>
        <w:t>一是增强法律法规意识。提高自我约束和管理能力，保障专项资金专款专用。二是全面推行公示公告制度。积极推进财政专项资金项目公开公示，对资金安排、使用等信息进行公开。</w:t>
      </w: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AFF" w:usb1="C0007841" w:usb2="00000009" w:usb3="00000000" w:csb0="400001FF" w:csb1="FFFF0000"/>
  </w:font>
  <w:font w:name="宋体">
    <w:panose1 w:val="02010600030101010101"/>
    <w:charset w:val="7A"/>
    <w:family w:val="swiss"/>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华文楷体">
    <w:altName w:val="楷体_GB2312"/>
    <w:panose1 w:val="02010600040101010101"/>
    <w:charset w:val="86"/>
    <w:family w:val="auto"/>
    <w:pitch w:val="default"/>
    <w:sig w:usb0="00000000" w:usb1="00000000" w:usb2="00000010" w:usb3="00000000" w:csb0="0004009F"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pict>
        <v:shape id="Quad Arrow 3073" o:spid="_x0000_s3073" o:spt="202" type="#_x0000_t202" style="position:absolute;left:0pt;margin-top:0pt;height:144pt;width:144pt;mso-position-horizontal:center;mso-position-horizontal-relative:margin;mso-wrap-style:none;z-index:1024;mso-width-relative:page;mso-height-relative:page;" filled="f" o:preferrelative="t" stroked="f" coordsize="21600,21600">
          <v:path/>
          <v:fill on="f" focussize="0,0"/>
          <v:stroke on="f" joinstyle="miter"/>
          <v:imagedata o:title=""/>
          <o:lock v:ext="edit"/>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9DD4ABE"/>
    <w:multiLevelType w:val="singleLevel"/>
    <w:tmpl w:val="89DD4ABE"/>
    <w:lvl w:ilvl="0" w:tentative="0">
      <w:start w:val="2"/>
      <w:numFmt w:val="chineseCounting"/>
      <w:suff w:val="nothing"/>
      <w:lvlText w:val="（%1）"/>
      <w:lvlJc w:val="left"/>
      <w:rPr>
        <w:rFonts w:hint="eastAsia"/>
      </w:rPr>
    </w:lvl>
  </w:abstractNum>
  <w:abstractNum w:abstractNumId="1">
    <w:nsid w:val="D839EFB3"/>
    <w:multiLevelType w:val="singleLevel"/>
    <w:tmpl w:val="D839EFB3"/>
    <w:lvl w:ilvl="0" w:tentative="0">
      <w:start w:val="1"/>
      <w:numFmt w:val="decimal"/>
      <w:suff w:val="nothing"/>
      <w:lvlText w:val="%1、"/>
      <w:lvlJc w:val="left"/>
    </w:lvl>
  </w:abstractNum>
  <w:abstractNum w:abstractNumId="2">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3">
    <w:nsid w:val="15073D9E"/>
    <w:multiLevelType w:val="singleLevel"/>
    <w:tmpl w:val="15073D9E"/>
    <w:lvl w:ilvl="0" w:tentative="0">
      <w:start w:val="1"/>
      <w:numFmt w:val="decimal"/>
      <w:suff w:val="nothing"/>
      <w:lvlText w:val="%1、"/>
      <w:lvlJc w:val="left"/>
    </w:lvl>
  </w:abstractNum>
  <w:abstractNum w:abstractNumId="4">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1"/>
  </w:num>
  <w:num w:numId="2">
    <w:abstractNumId w:val="0"/>
  </w:num>
  <w:num w:numId="3">
    <w:abstractNumId w:val="2"/>
  </w:num>
  <w:num w:numId="4">
    <w:abstractNumId w:val="3"/>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80"/>
  <w:bordersDoNotSurroundHeader w:val="0"/>
  <w:bordersDoNotSurroundFooter w:val="0"/>
  <w:doNotTrackMove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1,3"/>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B0260"/>
    <w:rsid w:val="001B713F"/>
    <w:rsid w:val="00376610"/>
    <w:rsid w:val="007B43E1"/>
    <w:rsid w:val="007E6C1F"/>
    <w:rsid w:val="008E3731"/>
    <w:rsid w:val="00956A93"/>
    <w:rsid w:val="009E575C"/>
    <w:rsid w:val="009F674E"/>
    <w:rsid w:val="00AF167E"/>
    <w:rsid w:val="00AF566A"/>
    <w:rsid w:val="00B478EA"/>
    <w:rsid w:val="00B6553A"/>
    <w:rsid w:val="00BC6576"/>
    <w:rsid w:val="00C66976"/>
    <w:rsid w:val="00CE06BA"/>
    <w:rsid w:val="00E00E65"/>
    <w:rsid w:val="00F441CC"/>
    <w:rsid w:val="01B104CA"/>
    <w:rsid w:val="02106AB0"/>
    <w:rsid w:val="02B43A28"/>
    <w:rsid w:val="046F331E"/>
    <w:rsid w:val="07956271"/>
    <w:rsid w:val="09721397"/>
    <w:rsid w:val="0BB63BED"/>
    <w:rsid w:val="0EB97A43"/>
    <w:rsid w:val="0EBD2122"/>
    <w:rsid w:val="0F214EAE"/>
    <w:rsid w:val="11B71E6A"/>
    <w:rsid w:val="1AAF0063"/>
    <w:rsid w:val="1BE140DE"/>
    <w:rsid w:val="23B663E1"/>
    <w:rsid w:val="248C197D"/>
    <w:rsid w:val="252959AF"/>
    <w:rsid w:val="277A6671"/>
    <w:rsid w:val="292D35B7"/>
    <w:rsid w:val="32817910"/>
    <w:rsid w:val="33EB6CFF"/>
    <w:rsid w:val="35A12947"/>
    <w:rsid w:val="37387040"/>
    <w:rsid w:val="3B625C0A"/>
    <w:rsid w:val="3CEE1963"/>
    <w:rsid w:val="436B78D3"/>
    <w:rsid w:val="44FC40E6"/>
    <w:rsid w:val="46670BFF"/>
    <w:rsid w:val="4C9C27FE"/>
    <w:rsid w:val="512260B4"/>
    <w:rsid w:val="52BD6ACB"/>
    <w:rsid w:val="55537534"/>
    <w:rsid w:val="561A74F1"/>
    <w:rsid w:val="597244E8"/>
    <w:rsid w:val="5B534257"/>
    <w:rsid w:val="5EB71C30"/>
    <w:rsid w:val="62E66850"/>
    <w:rsid w:val="66AF0CE5"/>
    <w:rsid w:val="6AC537CF"/>
    <w:rsid w:val="6E5B14A6"/>
    <w:rsid w:val="710272C5"/>
    <w:rsid w:val="711B255E"/>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6">
    <w:name w:val="No Spacing_4237fe7c-c47e-41c6-9acd-fe1d22bbb520"/>
    <w:qFormat/>
    <w:uiPriority w:val="0"/>
    <w:pPr>
      <w:widowControl w:val="0"/>
      <w:jc w:val="both"/>
    </w:pPr>
    <w:rPr>
      <w:rFonts w:ascii="宋体" w:hAnsi="宋体" w:eastAsia="仿宋_GB2312" w:cs="Times New Roman"/>
      <w:kern w:val="2"/>
      <w:sz w:val="32"/>
      <w:szCs w:val="22"/>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3073"/>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96</Words>
  <Characters>550</Characters>
  <Lines>4</Lines>
  <Paragraphs>1</Paragraphs>
  <TotalTime>9</TotalTime>
  <ScaleCrop>false</ScaleCrop>
  <LinksUpToDate>false</LinksUpToDate>
  <CharactersWithSpaces>645</CharactersWithSpaces>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2025-04-24T03:05:56Z</cp:lastPrinted>
  <dcterms:modified xsi:type="dcterms:W3CDTF">2025-04-24T03:12:10Z</dcterms:modified>
  <dc:title>附件3：</dc:title>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y fmtid="{D5CDD505-2E9C-101B-9397-08002B2CF9AE}" pid="3" name="ICV">
    <vt:lpwstr>96934721B1514D3FBAA28020338CE855_12</vt:lpwstr>
  </property>
</Properties>
</file>