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357</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：石家庄市鹿泉区文化广电体育和旅游局（汇总）</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ascii="黑体" w:hAnsi="黑体" w:eastAsia="黑体" w:cs="黑体"/>
          <w:bCs/>
          <w:sz w:val="32"/>
          <w:szCs w:val="32"/>
        </w:rPr>
      </w:pPr>
      <w:r>
        <w:rPr>
          <w:rFonts w:hint="eastAsia" w:ascii="楷体_GB2312" w:hAnsi="楷体_GB2312" w:eastAsia="楷体_GB2312" w:cs="楷体_GB2312"/>
          <w:color w:val="000000"/>
          <w:sz w:val="40"/>
          <w:szCs w:val="40"/>
        </w:rPr>
        <w:br w:type="page"/>
      </w: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(一)贯彻执行中央党和国家文化、广播电视、网络视听节目服务管理、体育和旅游工作方针政策和法律法规。研究拟订全区文化、广播电视、体育和旅游政策措施。</w:t>
      </w:r>
    </w:p>
    <w:p>
      <w:pPr>
        <w:widowControl/>
        <w:spacing w:after="160" w:line="580" w:lineRule="exact"/>
        <w:ind w:firstLine="640" w:firstLineChars="200"/>
        <w:rPr>
          <w:rFonts w:hint="eastAsia" w:ascii="仿宋_GB2312" w:eastAsia="仿宋_GB2312" w:cs="Arial Black"/>
          <w:kern w:val="0"/>
          <w:sz w:val="32"/>
          <w:szCs w:val="32"/>
          <w:lang w:val="en-US" w:eastAsia="zh-CN"/>
        </w:rPr>
      </w:pPr>
      <w:r>
        <w:rPr>
          <w:rFonts w:hint="eastAsia" w:ascii="仿宋_GB2312" w:eastAsia="仿宋_GB2312" w:cs="Arial Black"/>
          <w:kern w:val="0"/>
          <w:sz w:val="32"/>
          <w:szCs w:val="32"/>
        </w:rPr>
        <w:t>（二）拟订全区文化事业、文化产业、广播电视领域、体育业和旅游业发展规划并组织实施，推进文化、广播电视、体育和旅游融合发展，推进文化、广播电视、体育和旅游体制机制改革。</w:t>
      </w:r>
      <w:r>
        <w:rPr>
          <w:rFonts w:hint="eastAsia" w:ascii="仿宋_GB2312" w:eastAsia="仿宋_GB2312" w:cs="Arial Black"/>
          <w:kern w:val="0"/>
          <w:sz w:val="32"/>
          <w:szCs w:val="32"/>
          <w:lang w:val="en-US" w:eastAsia="zh-CN"/>
        </w:rPr>
        <w:t xml:space="preserve"> </w:t>
      </w:r>
    </w:p>
    <w:p>
      <w:pPr>
        <w:widowControl/>
        <w:spacing w:after="160" w:line="580" w:lineRule="exact"/>
        <w:rPr>
          <w:rFonts w:hint="eastAsia" w:ascii="仿宋_GB2312" w:eastAsia="仿宋_GB2312" w:cs="Arial Black"/>
          <w:kern w:val="0"/>
          <w:sz w:val="32"/>
          <w:szCs w:val="32"/>
        </w:rPr>
      </w:pPr>
      <w:r>
        <w:rPr>
          <w:rFonts w:hint="eastAsia" w:ascii="仿宋_GB2312" w:eastAsia="仿宋_GB2312" w:cs="Arial Black"/>
          <w:kern w:val="0"/>
          <w:sz w:val="32"/>
          <w:szCs w:val="32"/>
          <w:lang w:val="en-US" w:eastAsia="zh-CN"/>
        </w:rPr>
        <w:t xml:space="preserve">   </w:t>
      </w:r>
      <w:r>
        <w:rPr>
          <w:rFonts w:hint="eastAsia" w:ascii="仿宋_GB2312" w:eastAsia="仿宋_GB2312" w:cs="Arial Black"/>
          <w:kern w:val="0"/>
          <w:sz w:val="32"/>
          <w:szCs w:val="32"/>
        </w:rP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（四）指导、管理全区文艺事业。指导艺术创作生产，推动全区各门类艺术、各艺术品种发展。指导全区电视剧行业发展和电视剧创作生产。</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（七）负责对全区各类广播电视机构进行业务指导和监管，会同有关部门对全区网络视听节目服务机构进行管理，推进广播电视与新媒体新技术新业态融合发展，推进广电网与电信网、互联网三网融合。</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（八）负责全区非物质文化遗产保护，推动非物质文化遗产的保护、传承、普及、弘扬和振兴。</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（九）统筹规划全区文化产业、广播电视产业、体育产业和旅游产业。组织实施文化和旅游资源普查、挖掘、保护和开发利用工作，促进文化产业、广播电视产业、体育产业和旅游产业发展。</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（十）指导全区文化、广播电视、体育和旅游市场发展。对文化、广播电视、体育和旅游市场进行行业监管，推进全区文化、广播电视和旅游行业信用体系建设，依法规范文化、广播电视、体育和旅游市场。</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（十一）负责文化、文物、新闻出版局（版权）、广播电视、电影、体育、旅游等市场综合执法；负责督查督办全区性、跨区域性大案要案，维护市场秩序。</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（十二）负责文化遗产的管理和保护，指导和管理文物、博物馆事业，组织指导文物的保护抢救、考古发掘和开发利用工作。</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（十三）承担全区文化、广播电视、体育和旅游行业安全综合协调和监督管理工作，负责全区文化、广播电视、体育和旅游行业突发应急事件的处理工作。</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（十四）指导、管理全区文化、广播电视和旅游对外及对港澳台交流、合作和宣传、推广工作，组织大型文化、广播电视和旅游对外及对港澳台交流活动。根据授权开展对外体育合作与交流。</w:t>
      </w:r>
    </w:p>
    <w:p>
      <w:pPr>
        <w:widowControl/>
        <w:spacing w:after="160"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（十五）负责统筹规划全区群众体育发展，推行全民健身计划，开展群众性体育活动，实施国家体育锻炼标准，开展国民体质监测，负责公共体育设施建设及监督管理工作。</w:t>
      </w:r>
    </w:p>
    <w:p>
      <w:pPr>
        <w:widowControl/>
        <w:spacing w:after="160"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keepNext/>
        <w:keepLines/>
        <w:spacing w:line="580" w:lineRule="exact"/>
        <w:ind w:firstLine="640" w:firstLineChars="200"/>
        <w:jc w:val="left"/>
        <w:outlineLvl w:val="0"/>
        <w:rPr>
          <w:rFonts w:ascii="仿宋_GB2312" w:eastAsia="仿宋_GB2312" w:cs="Arial Black"/>
          <w:kern w:val="0"/>
          <w:sz w:val="32"/>
          <w:szCs w:val="32"/>
        </w:rPr>
      </w:pPr>
      <w:r>
        <w:rPr>
          <w:rFonts w:hint="eastAsia" w:ascii="仿宋_GB2312" w:eastAsia="仿宋_GB2312" w:cs="Arial Black"/>
          <w:kern w:val="0"/>
          <w:sz w:val="32"/>
          <w:szCs w:val="32"/>
        </w:rPr>
        <w:t>（十七）指导体育社团工作。</w:t>
      </w:r>
    </w:p>
    <w:p>
      <w:pPr>
        <w:keepNext/>
        <w:keepLines/>
        <w:spacing w:line="580" w:lineRule="exact"/>
        <w:ind w:firstLine="640" w:firstLineChars="200"/>
        <w:jc w:val="left"/>
        <w:outlineLvl w:val="0"/>
        <w:rPr>
          <w:rFonts w:ascii="仿宋_GB2312" w:eastAsia="仿宋_GB2312" w:cs="Arial Black"/>
          <w:kern w:val="0"/>
          <w:sz w:val="32"/>
          <w:szCs w:val="32"/>
        </w:rPr>
      </w:pPr>
      <w:r>
        <w:rPr>
          <w:rFonts w:hint="eastAsia" w:ascii="仿宋_GB2312" w:eastAsia="仿宋_GB2312" w:cs="Arial Black"/>
          <w:kern w:val="0"/>
          <w:sz w:val="32"/>
          <w:szCs w:val="32"/>
        </w:rPr>
        <w:t>（十八）完成区委、区政府交办的其他任务。</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outlineLvl w:val="1"/>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5</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5"/>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3287"/>
        <w:gridCol w:w="2738"/>
        <w:gridCol w:w="2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75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 Black"/>
                <w:b/>
                <w:bCs/>
                <w:kern w:val="0"/>
                <w:sz w:val="28"/>
                <w:szCs w:val="28"/>
              </w:rPr>
              <w:t>序号</w:t>
            </w:r>
          </w:p>
        </w:tc>
        <w:tc>
          <w:tcPr>
            <w:tcW w:w="328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 Black"/>
                <w:b/>
                <w:bCs/>
                <w:kern w:val="0"/>
                <w:sz w:val="28"/>
                <w:szCs w:val="28"/>
              </w:rPr>
              <w:t>单位名称</w:t>
            </w:r>
          </w:p>
        </w:tc>
        <w:tc>
          <w:tcPr>
            <w:tcW w:w="273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 Black"/>
                <w:b/>
                <w:bCs/>
                <w:kern w:val="0"/>
                <w:sz w:val="28"/>
                <w:szCs w:val="28"/>
              </w:rPr>
              <w:t>单位基本性质</w:t>
            </w:r>
          </w:p>
        </w:tc>
        <w:tc>
          <w:tcPr>
            <w:tcW w:w="279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59"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1</w:t>
            </w:r>
          </w:p>
        </w:tc>
        <w:tc>
          <w:tcPr>
            <w:tcW w:w="3287" w:type="dxa"/>
            <w:vAlign w:val="top"/>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石家庄市鹿泉区文化广电体育和旅游局（本级）</w:t>
            </w:r>
          </w:p>
        </w:tc>
        <w:tc>
          <w:tcPr>
            <w:tcW w:w="2738"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796"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4" w:hRule="atLeast"/>
          <w:jc w:val="center"/>
        </w:trPr>
        <w:tc>
          <w:tcPr>
            <w:tcW w:w="759"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2</w:t>
            </w:r>
          </w:p>
        </w:tc>
        <w:tc>
          <w:tcPr>
            <w:tcW w:w="3287" w:type="dxa"/>
            <w:vAlign w:val="top"/>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w:t>
            </w:r>
            <w:r>
              <w:rPr>
                <w:rFonts w:hint="eastAsia" w:ascii="仿宋_GB2312" w:eastAsia="仿宋_GB2312" w:cs="ArialUnicodeMS"/>
                <w:kern w:val="0"/>
                <w:sz w:val="28"/>
                <w:szCs w:val="28"/>
                <w:lang w:val="en-US" w:eastAsia="zh-CN"/>
              </w:rPr>
              <w:t>图书馆</w:t>
            </w:r>
          </w:p>
        </w:tc>
        <w:tc>
          <w:tcPr>
            <w:tcW w:w="2738"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796"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59" w:type="dxa"/>
            <w:vAlign w:val="top"/>
          </w:tcPr>
          <w:p>
            <w:pPr>
              <w:spacing w:line="560" w:lineRule="exact"/>
              <w:ind w:firstLine="280" w:firstLineChars="100"/>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3</w:t>
            </w:r>
          </w:p>
        </w:tc>
        <w:tc>
          <w:tcPr>
            <w:tcW w:w="3287" w:type="dxa"/>
            <w:vAlign w:val="top"/>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w:t>
            </w:r>
            <w:r>
              <w:rPr>
                <w:rFonts w:hint="eastAsia" w:ascii="仿宋_GB2312" w:eastAsia="仿宋_GB2312" w:cs="ArialUnicodeMS"/>
                <w:kern w:val="0"/>
                <w:sz w:val="28"/>
                <w:szCs w:val="28"/>
                <w:lang w:val="en-US" w:eastAsia="zh-CN"/>
              </w:rPr>
              <w:t>文物保护管理所</w:t>
            </w:r>
          </w:p>
        </w:tc>
        <w:tc>
          <w:tcPr>
            <w:tcW w:w="2738"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796"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6" w:hRule="atLeast"/>
          <w:jc w:val="center"/>
        </w:trPr>
        <w:tc>
          <w:tcPr>
            <w:tcW w:w="759" w:type="dxa"/>
            <w:tcBorders>
              <w:bottom w:val="single" w:color="auto" w:sz="4" w:space="0"/>
            </w:tcBorders>
            <w:vAlign w:val="top"/>
          </w:tcPr>
          <w:p>
            <w:pPr>
              <w:spacing w:line="560" w:lineRule="exact"/>
              <w:ind w:firstLine="280" w:firstLineChars="100"/>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4</w:t>
            </w:r>
          </w:p>
        </w:tc>
        <w:tc>
          <w:tcPr>
            <w:tcW w:w="3287" w:type="dxa"/>
            <w:tcBorders>
              <w:bottom w:val="single" w:color="auto" w:sz="4" w:space="0"/>
            </w:tcBorders>
            <w:vAlign w:val="top"/>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w:t>
            </w:r>
            <w:r>
              <w:rPr>
                <w:rFonts w:hint="eastAsia" w:ascii="仿宋_GB2312" w:eastAsia="仿宋_GB2312" w:cs="ArialUnicodeMS"/>
                <w:kern w:val="0"/>
                <w:sz w:val="28"/>
                <w:szCs w:val="28"/>
                <w:lang w:val="en-US" w:eastAsia="zh-CN"/>
              </w:rPr>
              <w:t>文化馆</w:t>
            </w:r>
          </w:p>
        </w:tc>
        <w:tc>
          <w:tcPr>
            <w:tcW w:w="2738" w:type="dxa"/>
            <w:tcBorders>
              <w:bottom w:val="single" w:color="auto" w:sz="4" w:space="0"/>
            </w:tcBorders>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796" w:type="dxa"/>
            <w:tcBorders>
              <w:bottom w:val="single" w:color="auto" w:sz="4" w:space="0"/>
            </w:tcBorders>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8" w:hRule="atLeast"/>
          <w:jc w:val="center"/>
        </w:trPr>
        <w:tc>
          <w:tcPr>
            <w:tcW w:w="759" w:type="dxa"/>
            <w:tcBorders>
              <w:bottom w:val="single" w:color="auto" w:sz="4" w:space="0"/>
            </w:tcBorders>
            <w:vAlign w:val="top"/>
          </w:tcPr>
          <w:p>
            <w:pPr>
              <w:spacing w:line="560" w:lineRule="exact"/>
              <w:jc w:val="center"/>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5</w:t>
            </w:r>
          </w:p>
        </w:tc>
        <w:tc>
          <w:tcPr>
            <w:tcW w:w="3287" w:type="dxa"/>
            <w:tcBorders>
              <w:bottom w:val="single" w:color="auto" w:sz="4" w:space="0"/>
            </w:tcBorders>
            <w:vAlign w:val="top"/>
          </w:tcPr>
          <w:p>
            <w:pPr>
              <w:spacing w:line="560" w:lineRule="exac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w:t>
            </w:r>
            <w:r>
              <w:rPr>
                <w:rFonts w:hint="eastAsia" w:ascii="仿宋_GB2312" w:eastAsia="仿宋_GB2312" w:cs="ArialUnicodeMS"/>
                <w:kern w:val="0"/>
                <w:sz w:val="28"/>
                <w:szCs w:val="28"/>
                <w:lang w:val="en-US" w:eastAsia="zh-CN"/>
              </w:rPr>
              <w:t>体育场</w:t>
            </w:r>
          </w:p>
        </w:tc>
        <w:tc>
          <w:tcPr>
            <w:tcW w:w="2738" w:type="dxa"/>
            <w:tcBorders>
              <w:bottom w:val="single" w:color="auto" w:sz="4" w:space="0"/>
            </w:tcBorders>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796" w:type="dxa"/>
            <w:tcBorders>
              <w:bottom w:val="single" w:color="auto" w:sz="4" w:space="0"/>
            </w:tcBorders>
            <w:vAlign w:val="top"/>
          </w:tcPr>
          <w:p>
            <w:pPr>
              <w:spacing w:line="560" w:lineRule="exact"/>
              <w:jc w:val="center"/>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5"/>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编制部门（单位）：石家庄市鹿泉区文化广电体育和旅游局（汇总）</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3,569.70</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5,681.28</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2,771.95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600.00</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420.51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1,039.30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9,850.98</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9,851.39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5.24</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9,856.23</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9,856.23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5"/>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编制部门（单位）：石家庄市鹿泉区文化广电体育和旅游局（汇总）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9,850.98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9,250.98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2019999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国防支出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766.00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766.00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20306</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国防动员</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766.00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766.00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2030699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其他国防动员支出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766.00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766.00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2,771.55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2,171.55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1,904.47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1,304.47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768.14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768.14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109.13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2070104</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图书馆</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100.18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2070107</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艺术表演团体</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文化创作与保护</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2070113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旅游宣传</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834.56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234.56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2070204</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文物保护</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176.99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176.99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2070299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体育</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176.20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176.20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2070307</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体育场馆</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2070399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其他体育支出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420.51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420.51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393.09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393.09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123.69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123.69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170.30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98.11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98.11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70.50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70.50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70.50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70.50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77.73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77.73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52.98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98.40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1,039.30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1,039.30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1,039.30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1,039.30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1,039.30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1,039.30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5"/>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编制部门（单位）：石家庄市鹿泉区文化广电体育和旅游局（汇总）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9,851.39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1,696.89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8,154.50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20306</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国防动员</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2030699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其他国防动员支出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2,771.95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1,134.90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1,637.05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1,904.47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868.33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1,036.15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768.14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768.14</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2070104</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图书馆</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100.18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100.18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2070107</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艺术表演团体</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文化创作与保护</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2070113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旅游宣传</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34.78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34.78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291.20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201.23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2070204</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文物保护</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176.99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176.99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体育</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488.59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176.61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176.61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176.61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2070307</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体育场馆</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其他体育支出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420.51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393.09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393.09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393.09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170.30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98.11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98.11</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33.33</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77.73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77.73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52.98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1,039.30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1,039.30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1,039.30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1,039.30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1,039.30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1,039.30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5"/>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编制部门（单位）：石家庄市鹿泉区文化广电体育和旅游局（汇总）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3,569.70</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18.00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5,681.28</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766.00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766.00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2,171.95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2,171.95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420.51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420.51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70.50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77.73</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52.98</w:t>
            </w: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98.40</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98.40</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4,589.00</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4,589.00</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1,039.30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1,039.30</w:t>
            </w: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9,250.98</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9,251.39</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3,570.11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5,681.28</w:t>
            </w: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5.24</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4.84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5.24</w:t>
            </w: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9,256.23</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9,256.23</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3,574.95</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5,681.28</w:t>
            </w: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5"/>
        <w:tblW w:w="9805"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338"/>
        <w:gridCol w:w="3416"/>
        <w:gridCol w:w="1369"/>
        <w:gridCol w:w="522"/>
        <w:gridCol w:w="544"/>
        <w:gridCol w:w="383"/>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805"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805"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7123"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编制部门（单位）：石家庄市鹿泉区文化广电体育和旅游局（汇总）</w:t>
            </w:r>
          </w:p>
        </w:tc>
        <w:tc>
          <w:tcPr>
            <w:tcW w:w="1066"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16"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5" w:hRule="atLeast"/>
        </w:trPr>
        <w:tc>
          <w:tcPr>
            <w:tcW w:w="575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4051"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338"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416"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891"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927"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33"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7" w:hRule="atLeast"/>
        </w:trPr>
        <w:tc>
          <w:tcPr>
            <w:tcW w:w="233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89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27"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3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338"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89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27"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3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75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3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75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3,570.11</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1,696.89</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1,873.22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2019999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其他一般公共服务支出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20306</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国防动员</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2030699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其他国防动员支出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2,171.95</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1,134.90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1,037.05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1,304.47</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868.33</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436.15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768.14</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768.14</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2070102</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109.13</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2070104</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图书馆</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100.18</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100.18</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2070107</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艺术表演团体</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43.58</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2070111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文化创作与保护</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2070113</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旅游宣传</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34.78</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234.56</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234.56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文物</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291.20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2070204</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文物保护</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176.99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2070299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其他文物支出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体育</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488.59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176.61</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311.98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176.61</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176.61</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2070307</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体育场馆</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2070399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其他体育支出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270.98</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420.51</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393.09</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393.09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393.09</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123.69</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170.30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170.30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98.11</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98.11</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0.99</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0.99</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70.50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33.33</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33.33</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37.17</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37.17</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338"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416"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891"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927"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98.40</w:t>
            </w:r>
          </w:p>
        </w:tc>
        <w:tc>
          <w:tcPr>
            <w:tcW w:w="1233"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05"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5"/>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编制部门（单位）：石家庄市鹿泉区文化广电体育和旅游局（汇总）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1,152.93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233.80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297.77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29.13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115.13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341.02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126.39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98.11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41.85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37.28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28.65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98.40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308.79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295.79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115.12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1,461.72</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235.16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5"/>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编制部门（单位）：石家庄市鹿泉区文化广电体育和旅游局（汇总）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5,681.28</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5,681.28</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5,681.28</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52.98</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4,589.00</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1,039.30</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5"/>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编制部门（单位）：石家庄市鹿泉区文化广电体育和旅游局（汇总）</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注：本表反映部门本年度国有资本经营预算财政拨款支出情况。本部门无此支出，按要求空表列示。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5"/>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编制部门（单位）：石家庄市鹿泉区文化广电体育和旅游局（汇总）</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5.00</w:t>
            </w: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5.00</w:t>
            </w: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5.00</w:t>
            </w: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3.53</w:t>
            </w: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3.53</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3.53</w:t>
            </w: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9,856.23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增加783.6万元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增长8.64%，</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增加项目资金</w:t>
      </w:r>
      <w:r>
        <w:rPr>
          <w:rFonts w:hint="default" w:ascii="Times New Roman" w:hAnsi="Times New Roman" w:eastAsia="仿宋_GB2312" w:cs="Times New Roman"/>
          <w:kern w:val="2"/>
          <w:sz w:val="32"/>
          <w:szCs w:val="32"/>
          <w:lang w:val="en-US" w:eastAsia="zh-CN" w:bidi="ar-SA"/>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9,850.98</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9,250.98</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93.9%；</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0%；其他收入600万元，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6.</w:t>
      </w:r>
      <w:r>
        <w:rPr>
          <w:rFonts w:hint="eastAsia"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9,851.39万元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1,696.89万元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占17.2%；</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8,154.5万元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占82.</w:t>
      </w:r>
      <w:r>
        <w:rPr>
          <w:rFonts w:hint="eastAsia" w:ascii="Times New Roman" w:hAnsi="Times New Roman" w:eastAsia="仿宋_GB2312" w:cs="Times New Roman"/>
          <w:kern w:val="2"/>
          <w:sz w:val="32"/>
          <w:szCs w:val="32"/>
          <w:lang w:val="en-US" w:eastAsia="zh-CN"/>
        </w:rPr>
        <w:t>8</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3107055"/>
            <wp:effectExtent l="4445" t="4445" r="15875" b="1270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年度财政拨款本年收入9,250.98</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增加217.45万元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增长2.4%，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增加项目资金</w:t>
      </w:r>
      <w:r>
        <w:rPr>
          <w:rFonts w:hint="default" w:ascii="Times New Roman" w:hAnsi="Times New Roman" w:eastAsia="仿宋_GB2312" w:cs="Times New Roman"/>
          <w:color w:val="auto"/>
          <w:kern w:val="2"/>
          <w:sz w:val="32"/>
          <w:szCs w:val="32"/>
          <w:lang w:val="zh-CN" w:eastAsia="zh-CN" w:bidi="ar-SA"/>
        </w:rPr>
        <w:t>；本年支出 9,251.39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增加208.99万元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增长2.3%，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增加项目资金支出</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一般公共预算财政拨款本年收入3,569.7</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减少53.4万元，降低1.</w:t>
      </w:r>
      <w:r>
        <w:rPr>
          <w:rFonts w:hint="eastAsia" w:ascii="Times New Roman" w:hAnsi="Times New Roman" w:eastAsia="仿宋_GB2312" w:cs="Times New Roman"/>
          <w:sz w:val="30"/>
          <w:szCs w:val="30"/>
          <w:highlight w:val="none"/>
          <w:lang w:val="en-US" w:eastAsia="zh-CN"/>
        </w:rPr>
        <w:t>5</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文物保护资金减少</w:t>
      </w:r>
      <w:r>
        <w:rPr>
          <w:rFonts w:hint="default" w:ascii="Times New Roman" w:hAnsi="Times New Roman" w:eastAsia="仿宋_GB2312" w:cs="Times New Roman"/>
          <w:kern w:val="2"/>
          <w:sz w:val="32"/>
          <w:szCs w:val="32"/>
          <w:lang w:val="zh-CN"/>
        </w:rPr>
        <w:t>；本年支出 3,570.11</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减少61.86万元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降低1.7%，</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文物保护资金支出减少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政府性基金预算财政拨款本年收入5,681.28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增加270.85万元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增长5.0%，</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增加</w:t>
      </w:r>
      <w:r>
        <w:rPr>
          <w:rFonts w:hint="default" w:ascii="Times New Roman" w:hAnsi="Times New Roman" w:eastAsia="仿宋_GB2312" w:cs="Times New Roman"/>
          <w:kern w:val="2"/>
          <w:sz w:val="32"/>
          <w:szCs w:val="32"/>
          <w:lang w:val="zh-CN"/>
        </w:rPr>
        <w:t>其他文化和旅游</w:t>
      </w:r>
      <w:r>
        <w:rPr>
          <w:rFonts w:hint="eastAsia" w:ascii="Times New Roman" w:hAnsi="Times New Roman" w:eastAsia="仿宋_GB2312" w:cs="Times New Roman"/>
          <w:kern w:val="2"/>
          <w:sz w:val="32"/>
          <w:szCs w:val="32"/>
          <w:lang w:val="zh-CN"/>
        </w:rPr>
        <w:t>项目资金</w:t>
      </w:r>
      <w:r>
        <w:rPr>
          <w:rFonts w:hint="default" w:ascii="Times New Roman" w:hAnsi="Times New Roman" w:eastAsia="仿宋_GB2312" w:cs="Times New Roman"/>
          <w:kern w:val="2"/>
          <w:sz w:val="32"/>
          <w:szCs w:val="32"/>
          <w:lang w:val="zh-CN"/>
        </w:rPr>
        <w:t>；本年支出 5,681.28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增加270.85万元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增长5.0%，</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增加</w:t>
      </w:r>
      <w:r>
        <w:rPr>
          <w:rFonts w:hint="default" w:ascii="Times New Roman" w:hAnsi="Times New Roman" w:eastAsia="仿宋_GB2312" w:cs="Times New Roman"/>
          <w:kern w:val="2"/>
          <w:sz w:val="32"/>
          <w:szCs w:val="32"/>
          <w:lang w:val="zh-CN"/>
        </w:rPr>
        <w:t>其他文化和旅游</w:t>
      </w:r>
      <w:r>
        <w:rPr>
          <w:rFonts w:hint="eastAsia" w:ascii="Times New Roman" w:hAnsi="Times New Roman" w:eastAsia="仿宋_GB2312" w:cs="Times New Roman"/>
          <w:kern w:val="2"/>
          <w:sz w:val="32"/>
          <w:szCs w:val="32"/>
          <w:lang w:val="zh-CN"/>
        </w:rPr>
        <w:t>项目资金支出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年度财政拨款本年收入9,250.98万元，完成年初预算的90.9%，比年初预算</w:t>
      </w:r>
      <w:r>
        <w:rPr>
          <w:rFonts w:hint="eastAsia" w:ascii="Times New Roman" w:hAnsi="Times New Roman" w:eastAsia="仿宋_GB2312" w:cs="Times New Roman"/>
          <w:sz w:val="30"/>
          <w:szCs w:val="30"/>
          <w:highlight w:val="none"/>
          <w:lang w:val="zh-CN"/>
        </w:rPr>
        <w:t>减少925.28万元</w:t>
      </w:r>
      <w:r>
        <w:rPr>
          <w:rFonts w:hint="default" w:ascii="Times New Roman" w:hAnsi="Times New Roman" w:eastAsia="仿宋_GB2312" w:cs="Times New Roman"/>
          <w:color w:val="auto"/>
          <w:kern w:val="2"/>
          <w:sz w:val="32"/>
          <w:szCs w:val="32"/>
          <w:lang w:val="zh-CN" w:eastAsia="zh-CN" w:bidi="ar-SA"/>
        </w:rPr>
        <w:t>，决算数小于预算数主要原因是其他地方自行试点项目收益专项</w:t>
      </w:r>
      <w:r>
        <w:rPr>
          <w:rFonts w:hint="eastAsia" w:ascii="Times New Roman" w:hAnsi="Times New Roman" w:eastAsia="仿宋_GB2312" w:cs="Times New Roman"/>
          <w:color w:val="auto"/>
          <w:kern w:val="2"/>
          <w:sz w:val="32"/>
          <w:szCs w:val="32"/>
          <w:lang w:val="zh-CN" w:eastAsia="zh-CN" w:bidi="ar-SA"/>
        </w:rPr>
        <w:t>债券收入减少及专项债券服务费减少</w:t>
      </w:r>
      <w:r>
        <w:rPr>
          <w:rFonts w:hint="default" w:ascii="Times New Roman" w:hAnsi="Times New Roman" w:eastAsia="仿宋_GB2312" w:cs="Times New Roman"/>
          <w:color w:val="auto"/>
          <w:kern w:val="2"/>
          <w:sz w:val="32"/>
          <w:szCs w:val="32"/>
          <w:lang w:val="zh-CN" w:eastAsia="zh-CN" w:bidi="ar-SA"/>
        </w:rPr>
        <w:t>；本年支出9,251.39万元，完成年初预算的90.9%，比年初预算</w:t>
      </w:r>
      <w:r>
        <w:rPr>
          <w:rFonts w:hint="eastAsia" w:ascii="Times New Roman" w:hAnsi="Times New Roman" w:eastAsia="仿宋_GB2312" w:cs="Times New Roman"/>
          <w:sz w:val="30"/>
          <w:szCs w:val="30"/>
          <w:highlight w:val="none"/>
          <w:lang w:val="zh-CN"/>
        </w:rPr>
        <w:t>减少924.87万元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val="zh-CN"/>
        </w:rPr>
        <w:t>专项债券项目支出减少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收入3,569.7万元，完成年初预算的 127.0%，比年初预算</w:t>
      </w:r>
      <w:r>
        <w:rPr>
          <w:rFonts w:hint="eastAsia" w:ascii="Times New Roman" w:hAnsi="Times New Roman" w:eastAsia="仿宋_GB2312" w:cs="Times New Roman"/>
          <w:sz w:val="30"/>
          <w:szCs w:val="30"/>
          <w:highlight w:val="none"/>
          <w:lang w:val="zh-CN"/>
        </w:rPr>
        <w:t>增加759.81万元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增加财政供养人员，增加人员、公用经费及增加各类项目资金</w:t>
      </w:r>
      <w:r>
        <w:rPr>
          <w:rFonts w:hint="default" w:ascii="Times New Roman" w:hAnsi="Times New Roman" w:eastAsia="仿宋_GB2312" w:cs="Times New Roman"/>
          <w:kern w:val="2"/>
          <w:sz w:val="32"/>
          <w:szCs w:val="32"/>
          <w:lang w:val="zh-CN"/>
        </w:rPr>
        <w:t>；本年支出3,570.11万元，完成年初预算的127.</w:t>
      </w:r>
      <w:r>
        <w:rPr>
          <w:rFonts w:hint="eastAsia"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highlight w:val="none"/>
          <w:lang w:val="zh-CN"/>
        </w:rPr>
        <w:t>增加760.22万元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val="zh-CN"/>
        </w:rPr>
        <w:t>增加财政供养人员，增加人员、公用经费及增加各类项目资金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政府性基金预算财政拨款本年收入5,681.28万元，完成年初预算的77.1%，比年初预算</w:t>
      </w:r>
      <w:r>
        <w:rPr>
          <w:rFonts w:hint="eastAsia" w:ascii="Times New Roman" w:hAnsi="Times New Roman" w:eastAsia="仿宋_GB2312" w:cs="Times New Roman"/>
          <w:sz w:val="30"/>
          <w:szCs w:val="30"/>
          <w:highlight w:val="none"/>
          <w:lang w:val="zh-CN"/>
        </w:rPr>
        <w:t>减少1,685.09万元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减少专项债券项目全民健身工程资金及专项债券服务费项目资金减少</w:t>
      </w:r>
      <w:r>
        <w:rPr>
          <w:rFonts w:hint="default" w:ascii="Times New Roman" w:hAnsi="Times New Roman" w:eastAsia="仿宋_GB2312" w:cs="Times New Roman"/>
          <w:kern w:val="2"/>
          <w:sz w:val="32"/>
          <w:szCs w:val="32"/>
          <w:lang w:val="zh-CN"/>
        </w:rPr>
        <w:t>；本年支出5,681.28万元，完成年初预算的77.1%，比年初预算</w:t>
      </w:r>
      <w:r>
        <w:rPr>
          <w:rFonts w:hint="eastAsia" w:ascii="Times New Roman" w:hAnsi="Times New Roman" w:eastAsia="仿宋_GB2312" w:cs="Times New Roman"/>
          <w:sz w:val="30"/>
          <w:szCs w:val="30"/>
          <w:highlight w:val="none"/>
          <w:lang w:val="zh-CN"/>
        </w:rPr>
        <w:t>减少1,685.09万元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减少专项债券项目全民健身工程资金支出及专项债券服务费项目资金支出</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eastAsia" w:ascii="Times New Roman" w:hAnsi="Times New Roman" w:eastAsia="仿宋_GB2312" w:cs="Times New Roman"/>
          <w:sz w:val="30"/>
          <w:szCs w:val="30"/>
          <w:highlight w:val="none"/>
          <w:lang w:val="zh-CN"/>
        </w:rPr>
        <w:t>与</w:t>
      </w:r>
      <w:r>
        <w:rPr>
          <w:rFonts w:hint="default" w:ascii="Times New Roman" w:hAnsi="Times New Roman" w:eastAsia="仿宋_GB2312" w:cs="Times New Roman"/>
          <w:sz w:val="30"/>
          <w:szCs w:val="30"/>
          <w:highlight w:val="none"/>
          <w:lang w:val="zh-CN"/>
        </w:rPr>
        <w:t>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；本年支出0万元，完成年初预算的0%，</w:t>
      </w:r>
      <w:r>
        <w:rPr>
          <w:rFonts w:hint="eastAsia" w:ascii="Times New Roman" w:hAnsi="Times New Roman" w:eastAsia="仿宋_GB2312" w:cs="Times New Roman"/>
          <w:kern w:val="2"/>
          <w:sz w:val="32"/>
          <w:szCs w:val="32"/>
          <w:lang w:val="zh-CN"/>
        </w:rPr>
        <w:t>与</w:t>
      </w:r>
      <w:r>
        <w:rPr>
          <w:rFonts w:hint="default"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hint="default" w:ascii="Times New Roman" w:hAnsi="Times New Roman" w:eastAsia="仿宋_GB2312" w:cs="Times New Roman"/>
          <w:kern w:val="2"/>
          <w:sz w:val="32"/>
          <w:szCs w:val="32"/>
          <w:lang w:val="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3115310"/>
            <wp:effectExtent l="4445" t="4445" r="15875" b="2349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年度财政拨款支出9,251.39万元，主要用于以下方面：</w:t>
      </w:r>
      <w:r>
        <w:rPr>
          <w:rFonts w:hint="default" w:ascii="Times New Roman" w:hAnsi="Times New Roman" w:eastAsia="仿宋_GB2312" w:cs="Times New Roman"/>
          <w:color w:val="auto"/>
          <w:kern w:val="2"/>
          <w:sz w:val="32"/>
          <w:szCs w:val="32"/>
          <w:lang w:val="zh-CN" w:eastAsia="zh-CN" w:bidi="ar-SA"/>
        </w:rPr>
        <w:t>一般公共服务（类）支出18万元，占0.</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%；国防（类）支出766万元，占8.</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%；文化旅游体育与传媒（类）支出2,171.95万元，占23.</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%；社会保障和就业 （类）支出420.51万元，占4.</w:t>
      </w:r>
      <w:r>
        <w:rPr>
          <w:rFonts w:hint="eastAsia" w:ascii="Times New Roman" w:hAnsi="Times New Roman" w:eastAsia="仿宋_GB2312" w:cs="Times New Roman"/>
          <w:color w:val="auto"/>
          <w:kern w:val="2"/>
          <w:sz w:val="32"/>
          <w:szCs w:val="32"/>
          <w:lang w:val="en-US" w:eastAsia="zh-CN" w:bidi="ar-SA"/>
        </w:rPr>
        <w:t>6</w:t>
      </w:r>
      <w:r>
        <w:rPr>
          <w:rFonts w:hint="default" w:ascii="Times New Roman" w:hAnsi="Times New Roman" w:eastAsia="仿宋_GB2312" w:cs="Times New Roman"/>
          <w:color w:val="auto"/>
          <w:kern w:val="2"/>
          <w:sz w:val="32"/>
          <w:szCs w:val="32"/>
          <w:lang w:val="zh-CN" w:eastAsia="zh-CN" w:bidi="ar-SA"/>
        </w:rPr>
        <w:t>%；卫生健康（类）支出70.5万元，占0.</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%；城乡社区（类）支出77.73万元，占0.</w:t>
      </w:r>
      <w:r>
        <w:rPr>
          <w:rFonts w:hint="eastAsia" w:ascii="Times New Roman" w:hAnsi="Times New Roman" w:eastAsia="仿宋_GB2312" w:cs="Times New Roman"/>
          <w:color w:val="auto"/>
          <w:kern w:val="2"/>
          <w:sz w:val="32"/>
          <w:szCs w:val="32"/>
          <w:lang w:val="en-US" w:eastAsia="zh-CN" w:bidi="ar-SA"/>
        </w:rPr>
        <w:t>9</w:t>
      </w:r>
      <w:r>
        <w:rPr>
          <w:rFonts w:hint="default" w:ascii="Times New Roman" w:hAnsi="Times New Roman" w:eastAsia="仿宋_GB2312" w:cs="Times New Roman"/>
          <w:color w:val="auto"/>
          <w:kern w:val="2"/>
          <w:sz w:val="32"/>
          <w:szCs w:val="32"/>
          <w:lang w:val="zh-CN" w:eastAsia="zh-CN" w:bidi="ar-SA"/>
        </w:rPr>
        <w:t>%；；住房保障（类）支出98.4万元，占1.</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%；其他（类）支出4,589万元，占49.6%；债务付息（类）支出1,039.3万元，占11.2%。</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kern w:val="2"/>
          <w:sz w:val="32"/>
          <w:szCs w:val="32"/>
          <w:lang w:val="zh-CN" w:eastAsia="zh-CN"/>
        </w:rPr>
      </w:pPr>
      <w:r>
        <w:rPr>
          <w:rFonts w:ascii="Times New Roman" w:hAnsi="Times New Roman" w:eastAsia="仿宋_GB2312"/>
          <w:kern w:val="2"/>
          <w:sz w:val="32"/>
          <w:szCs w:val="32"/>
          <w:lang w:val="zh-CN"/>
        </w:rPr>
        <w:drawing>
          <wp:inline distT="0" distB="0" distL="114300" distR="114300">
            <wp:extent cx="5256530" cy="4281170"/>
            <wp:effectExtent l="4445" t="4445" r="15875" b="1968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2"/>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年度财政拨款基本支出1,696.89万元，其中：</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人员经费1,461.72万元，主要包括基本工资、津贴补贴、奖金、绩效工资、机关事业部门基本养老保险缴费、职业年金缴费、职工基本医疗保险缴费、公务员医疗补助缴费、住房公积金、其他社会保障缴费、 退休费、生活补助、奖励金。</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公用经费235.16万元，主要包括办公费、印刷费、咨询费、水费、电费、邮电费、取 暖费、差旅费、维修（护）费、劳务费、委托业务费、工会经费、福利费、公务用车运行维护费、其他交通费用、其他商品和服务支出、办公设备购置。</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万元，支出决算为3.53万元，完成预算的</w:t>
      </w:r>
      <w:r>
        <w:rPr>
          <w:rFonts w:hint="eastAsia" w:ascii="Times New Roman" w:hAnsi="Times New Roman" w:eastAsia="仿宋_GB2312" w:cs="Times New Roman"/>
          <w:color w:val="auto"/>
          <w:kern w:val="2"/>
          <w:sz w:val="32"/>
          <w:szCs w:val="32"/>
          <w:lang w:val="en-US" w:eastAsia="zh-CN" w:bidi="ar-SA"/>
        </w:rPr>
        <w:t>70.6</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减少1.47万元，降低29.4%，</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eastAsia="zh-CN"/>
        </w:rPr>
        <w:t>厉行节约</w:t>
      </w:r>
      <w:bookmarkStart w:id="0" w:name="_GoBack"/>
      <w:bookmarkEnd w:id="0"/>
      <w:r>
        <w:rPr>
          <w:rFonts w:hint="eastAsia" w:ascii="仿宋_GB2312" w:hAnsi="Times New Roman" w:eastAsia="仿宋_GB2312" w:cs="Wingdings"/>
          <w:sz w:val="32"/>
          <w:szCs w:val="32"/>
          <w:lang w:eastAsia="zh-CN"/>
        </w:rPr>
        <w:t>，减少开支</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减少1.87万元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降低34.</w:t>
      </w:r>
      <w:r>
        <w:rPr>
          <w:rFonts w:hint="eastAsia" w:ascii="Times New Roman" w:hAnsi="Times New Roman" w:eastAsia="仿宋_GB2312" w:cs="Times New Roman"/>
          <w:color w:val="auto"/>
          <w:kern w:val="2"/>
          <w:sz w:val="32"/>
          <w:szCs w:val="32"/>
          <w:lang w:val="en-US" w:eastAsia="zh-CN" w:bidi="ar-SA"/>
        </w:rPr>
        <w:t>7</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eastAsia="zh-CN"/>
        </w:rPr>
        <w:t>厉行节约，减少开支</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w:t>
      </w:r>
      <w:r>
        <w:rPr>
          <w:rFonts w:hint="eastAsia" w:ascii="Times New Roman" w:hAnsi="Times New Roman" w:eastAsia="仿宋_GB2312" w:cs="Times New Roman"/>
          <w:color w:val="auto"/>
          <w:kern w:val="2"/>
          <w:sz w:val="32"/>
          <w:szCs w:val="32"/>
          <w:lang w:val="en-US" w:eastAsia="zh-CN" w:bidi="ar-SA"/>
        </w:rPr>
        <w:t>与</w:t>
      </w:r>
      <w:r>
        <w:rPr>
          <w:rFonts w:hint="default" w:ascii="Times New Roman" w:hAnsi="Times New Roman" w:eastAsia="仿宋_GB2312" w:cs="Times New Roman"/>
          <w:color w:val="auto"/>
          <w:kern w:val="2"/>
          <w:sz w:val="32"/>
          <w:szCs w:val="32"/>
          <w:lang w:val="en-US" w:eastAsia="zh-CN" w:bidi="ar-SA"/>
        </w:rPr>
        <w:t>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en-US" w:eastAsia="zh-CN" w:bidi="ar-SA"/>
        </w:rPr>
        <w:t>无增减变化</w:t>
      </w:r>
      <w:r>
        <w:rPr>
          <w:rFonts w:hint="default" w:ascii="Times New Roman" w:hAnsi="Times New Roman" w:eastAsia="仿宋_GB2312" w:cs="Times New Roman"/>
          <w:color w:val="auto"/>
          <w:kern w:val="2"/>
          <w:sz w:val="32"/>
          <w:szCs w:val="32"/>
          <w:lang w:val="en-US" w:eastAsia="zh-CN" w:bidi="ar-SA"/>
        </w:rPr>
        <w:t>；</w:t>
      </w:r>
      <w:r>
        <w:rPr>
          <w:rFonts w:hint="eastAsia" w:ascii="仿宋_GB2312" w:hAnsi="Times New Roman" w:eastAsia="仿宋_GB2312" w:cs="Wingdings"/>
          <w:sz w:val="32"/>
          <w:szCs w:val="32"/>
        </w:rPr>
        <w:t>与20</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年度决算支出持平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年度公务用车购置及运行维护费预算为5万元，支出决算 3.53万元，完成预算的70.</w:t>
      </w:r>
      <w:r>
        <w:rPr>
          <w:rFonts w:hint="eastAsia" w:ascii="Times New Roman" w:hAnsi="Times New Roman" w:eastAsia="仿宋_GB2312" w:cs="Times New Roman"/>
          <w:color w:val="auto"/>
          <w:kern w:val="2"/>
          <w:sz w:val="32"/>
          <w:szCs w:val="32"/>
          <w:lang w:val="en-US" w:eastAsia="zh-CN" w:bidi="ar-SA"/>
        </w:rPr>
        <w:t>6</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减少1.47万元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降低29.4%，</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eastAsia="zh-CN"/>
        </w:rPr>
        <w:t>厉行节约，减少开支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减少1.87万元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降低34.</w:t>
      </w:r>
      <w:r>
        <w:rPr>
          <w:rFonts w:hint="eastAsia" w:ascii="Times New Roman" w:hAnsi="Times New Roman" w:eastAsia="仿宋_GB2312" w:cs="Times New Roman"/>
          <w:color w:val="auto"/>
          <w:kern w:val="2"/>
          <w:sz w:val="32"/>
          <w:szCs w:val="32"/>
          <w:lang w:val="en-US" w:eastAsia="zh-CN" w:bidi="ar-SA"/>
        </w:rPr>
        <w:t>7</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eastAsia="zh-CN"/>
        </w:rPr>
        <w:t>厉行节约，减少开支</w:t>
      </w:r>
      <w:r>
        <w:rPr>
          <w:rFonts w:hint="default" w:ascii="Times New Roman" w:hAnsi="Times New Roman" w:eastAsia="仿宋_GB2312" w:cs="Times New Roman"/>
          <w:color w:val="auto"/>
          <w:kern w:val="2"/>
          <w:sz w:val="32"/>
          <w:szCs w:val="32"/>
          <w:lang w:val="zh-CN" w:eastAsia="zh-CN" w:bidi="ar-SA"/>
        </w:rPr>
        <w:t>。其中：</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Wingdings"/>
          <w:sz w:val="32"/>
          <w:szCs w:val="32"/>
        </w:rPr>
        <w:t>与20</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年度决算支出持平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3.53</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年度单位公务用车保有量2辆，发生运行维护费支出3.53万元。公车运行维护费支出较预算</w:t>
      </w:r>
      <w:r>
        <w:rPr>
          <w:rFonts w:hint="eastAsia" w:ascii="Times New Roman" w:hAnsi="Times New Roman" w:eastAsia="仿宋_GB2312" w:cs="Times New Roman"/>
          <w:color w:val="auto"/>
          <w:kern w:val="2"/>
          <w:sz w:val="32"/>
          <w:szCs w:val="32"/>
          <w:lang w:val="zh-CN" w:eastAsia="zh-CN" w:bidi="ar-SA"/>
        </w:rPr>
        <w:t>减少1.47万元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降低29.4%，</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eastAsia="zh-CN"/>
        </w:rPr>
        <w:t>厉行节约，减少开支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减少1.87万元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降低34.</w:t>
      </w:r>
      <w:r>
        <w:rPr>
          <w:rFonts w:hint="eastAsia" w:ascii="Times New Roman" w:hAnsi="Times New Roman" w:eastAsia="仿宋_GB2312" w:cs="Times New Roman"/>
          <w:color w:val="auto"/>
          <w:kern w:val="2"/>
          <w:sz w:val="32"/>
          <w:szCs w:val="32"/>
          <w:lang w:val="en-US" w:eastAsia="zh-CN" w:bidi="ar-SA"/>
        </w:rPr>
        <w:t>7</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eastAsia="zh-CN"/>
        </w:rPr>
        <w:t>厉行节约，减少开支</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预算</w:t>
      </w:r>
      <w:r>
        <w:rPr>
          <w:rFonts w:hint="eastAsia" w:ascii="Times New Roman" w:hAnsi="Times New Roman" w:eastAsia="仿宋_GB2312" w:cs="Times New Roman"/>
          <w:color w:val="auto"/>
          <w:kern w:val="2"/>
          <w:sz w:val="32"/>
          <w:szCs w:val="32"/>
          <w:lang w:val="zh-CN" w:eastAsia="zh-CN" w:bidi="ar-SA"/>
        </w:rPr>
        <w:t>持平，无增减变化</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Times New Roman" w:eastAsia="仿宋_GB2312" w:cs="Wingdings"/>
          <w:sz w:val="32"/>
          <w:szCs w:val="32"/>
        </w:rPr>
        <w:t>与20</w:t>
      </w:r>
      <w:r>
        <w:rPr>
          <w:rFonts w:hint="eastAsia" w:ascii="仿宋_GB2312" w:hAnsi="Times New Roman" w:eastAsia="仿宋_GB2312" w:cs="Wingdings"/>
          <w:sz w:val="32"/>
          <w:szCs w:val="32"/>
          <w:lang w:val="en-US" w:eastAsia="zh-CN"/>
        </w:rPr>
        <w:t>22</w:t>
      </w:r>
      <w:r>
        <w:rPr>
          <w:rFonts w:hint="eastAsia" w:ascii="仿宋_GB2312" w:hAnsi="Times New Roman" w:eastAsia="仿宋_GB2312" w:cs="Wingdings"/>
          <w:sz w:val="32"/>
          <w:szCs w:val="32"/>
        </w:rPr>
        <w:t>年度决算支出持平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无增减变化</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eastAsia"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年度机关运行经费支出164.97万元，较2022年度</w:t>
      </w:r>
      <w:r>
        <w:rPr>
          <w:rFonts w:hint="eastAsia" w:ascii="Times New Roman" w:hAnsi="Times New Roman" w:eastAsia="仿宋_GB2312" w:cs="Times New Roman"/>
          <w:color w:val="auto"/>
          <w:kern w:val="2"/>
          <w:sz w:val="32"/>
          <w:szCs w:val="32"/>
          <w:lang w:val="zh-CN" w:eastAsia="zh-CN" w:bidi="ar-SA"/>
        </w:rPr>
        <w:t>增加48.11万元，增长41.</w:t>
      </w: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财政供养人员，增加相应人员经费、公用经费；增加劳务派遣人员，增加相关委托业务费</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年度政府采购支出总额1,692.01万元，从采购类型来看，政府采购货物支出123.94万元、政府采购工程支出1,549.67万元、政府采购服务支出18.4万元。授予中小企业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1,692.01万元，占政府采购支出总额的100%，其中授予小微企业合同金额1,692.01万元，占政府采购支出总额的100%。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与上年持平，无增减变化。</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用车0辆，机要通信用车0辆，应急保障用车0辆，执法执勤用车0辆，特种专业技术用车0辆，离退休干部用车0辆，其他用车</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辆，其他用车主要是</w:t>
      </w:r>
      <w:r>
        <w:rPr>
          <w:rFonts w:hint="eastAsia" w:ascii="Times New Roman" w:hAnsi="Times New Roman" w:eastAsia="仿宋_GB2312" w:cs="Times New Roman"/>
          <w:color w:val="auto"/>
          <w:kern w:val="2"/>
          <w:sz w:val="32"/>
          <w:szCs w:val="32"/>
          <w:lang w:val="zh-CN" w:eastAsia="zh-CN" w:bidi="ar-SA"/>
        </w:rPr>
        <w:t>办公室用车</w:t>
      </w:r>
      <w:r>
        <w:rPr>
          <w:rFonts w:hint="eastAsia" w:ascii="Times New Roman" w:hAnsi="Times New Roman" w:eastAsia="仿宋_GB2312" w:cs="Times New Roman"/>
          <w:color w:val="auto"/>
          <w:kern w:val="2"/>
          <w:sz w:val="32"/>
          <w:szCs w:val="32"/>
          <w:lang w:val="en-US" w:eastAsia="zh-CN" w:bidi="ar-SA"/>
        </w:rPr>
        <w:t>2辆</w:t>
      </w:r>
      <w:r>
        <w:rPr>
          <w:rFonts w:hint="default" w:ascii="Times New Roman" w:hAnsi="Times New Roman" w:eastAsia="仿宋_GB2312" w:cs="Times New Roman"/>
          <w:color w:val="auto"/>
          <w:kern w:val="2"/>
          <w:sz w:val="32"/>
          <w:szCs w:val="32"/>
          <w:lang w:val="zh-CN" w:eastAsia="zh-CN" w:bidi="ar-SA"/>
        </w:rPr>
        <w:t>。单位价值100万元（含）以上设备（不含车辆）1台（套）</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较上年度多1台，主要是宣传区旅游景点在区游客中心配备的沉浸式体验设备</w:t>
      </w:r>
      <w:r>
        <w:rPr>
          <w:rFonts w:hint="default" w:ascii="Times New Roman" w:hAnsi="Times New Roman" w:eastAsia="仿宋_GB2312" w:cs="Times New Roman"/>
          <w:color w:val="auto"/>
          <w:kern w:val="2"/>
          <w:sz w:val="32"/>
          <w:szCs w:val="32"/>
          <w:lang w:val="zh-CN" w:eastAsia="zh-CN" w:bidi="ar-SA"/>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adjustRightInd w:val="0"/>
        <w:snapToGrid w:val="0"/>
        <w:spacing w:line="580" w:lineRule="exact"/>
        <w:ind w:firstLine="640" w:firstLineChars="200"/>
        <w:rPr>
          <w:rFonts w:hint="eastAsia"/>
          <w:highlight w:val="red"/>
          <w:lang w:val="en-US" w:eastAsia="zh-CN"/>
        </w:rPr>
      </w:pPr>
      <w:r>
        <w:rPr>
          <w:rFonts w:hint="eastAsia" w:ascii="仿宋_GB2312" w:hAnsi="仿宋_GB2312" w:eastAsia="仿宋_GB2312" w:cs="仿宋_GB2312"/>
          <w:sz w:val="32"/>
          <w:szCs w:val="32"/>
          <w:highlight w:val="none"/>
        </w:rPr>
        <w:t>根据预算绩效管理要求，本部门组织对</w:t>
      </w:r>
      <w:r>
        <w:rPr>
          <w:rFonts w:ascii="仿宋_GB2312" w:hAnsi="仿宋_GB2312" w:eastAsia="仿宋_GB2312" w:cs="仿宋_GB2312"/>
          <w:sz w:val="32"/>
          <w:szCs w:val="32"/>
          <w:highlight w:val="none"/>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年度预算项目支出全面开展绩效自评，共</w:t>
      </w:r>
      <w:r>
        <w:rPr>
          <w:rFonts w:hint="eastAsia" w:ascii="仿宋_GB2312" w:hAnsi="仿宋_GB2312" w:eastAsia="仿宋_GB2312" w:cs="仿宋_GB2312"/>
          <w:sz w:val="32"/>
          <w:szCs w:val="32"/>
          <w:highlight w:val="none"/>
          <w:lang w:val="en-US" w:eastAsia="zh-CN"/>
        </w:rPr>
        <w:t>65</w:t>
      </w:r>
      <w:r>
        <w:rPr>
          <w:rFonts w:hint="eastAsia" w:ascii="仿宋_GB2312" w:hAnsi="仿宋_GB2312" w:eastAsia="仿宋_GB2312" w:cs="仿宋_GB2312"/>
          <w:sz w:val="32"/>
          <w:szCs w:val="32"/>
          <w:highlight w:val="none"/>
        </w:rPr>
        <w:t>个项目，</w:t>
      </w:r>
      <w:r>
        <w:rPr>
          <w:rFonts w:hint="eastAsia" w:ascii="仿宋_GB2312" w:hAnsi="仿宋_GB2312" w:eastAsia="仿宋_GB2312" w:cs="仿宋_GB2312"/>
          <w:sz w:val="32"/>
          <w:szCs w:val="32"/>
          <w:highlight w:val="none"/>
          <w:lang w:eastAsia="zh-CN"/>
        </w:rPr>
        <w:t>占</w:t>
      </w:r>
      <w:r>
        <w:rPr>
          <w:rFonts w:hint="default" w:ascii="Times New Roman" w:hAnsi="Times New Roman" w:eastAsia="仿宋_GB2312" w:cs="Times New Roman"/>
          <w:color w:val="auto"/>
          <w:kern w:val="2"/>
          <w:sz w:val="32"/>
          <w:szCs w:val="32"/>
          <w:highlight w:val="none"/>
          <w:lang w:val="zh-CN" w:eastAsia="zh-CN" w:bidi="ar-SA"/>
        </w:rPr>
        <w:t>预算项目支出总额的</w:t>
      </w:r>
      <w:r>
        <w:rPr>
          <w:rFonts w:hint="eastAsia" w:ascii="Times New Roman" w:hAnsi="Times New Roman" w:eastAsia="仿宋_GB2312" w:cs="Times New Roman"/>
          <w:color w:val="auto"/>
          <w:kern w:val="2"/>
          <w:sz w:val="32"/>
          <w:szCs w:val="32"/>
          <w:highlight w:val="none"/>
          <w:lang w:val="en-US" w:eastAsia="zh-CN" w:bidi="ar-SA"/>
        </w:rPr>
        <w:t>100</w:t>
      </w:r>
      <w:r>
        <w:rPr>
          <w:rFonts w:hint="default" w:ascii="Times New Roman" w:hAnsi="Times New Roman" w:eastAsia="仿宋_GB2312" w:cs="Times New Roman"/>
          <w:color w:val="auto"/>
          <w:kern w:val="2"/>
          <w:sz w:val="32"/>
          <w:szCs w:val="32"/>
          <w:highlight w:val="none"/>
          <w:lang w:val="zh-CN" w:eastAsia="zh-CN" w:bidi="ar-SA"/>
        </w:rPr>
        <w:t>%</w:t>
      </w:r>
      <w:r>
        <w:rPr>
          <w:rFonts w:hint="eastAsia" w:ascii="Times New Roman" w:hAnsi="Times New Roman" w:eastAsia="仿宋_GB2312" w:cs="Times New Roman"/>
          <w:color w:val="auto"/>
          <w:kern w:val="2"/>
          <w:sz w:val="32"/>
          <w:szCs w:val="32"/>
          <w:highlight w:val="none"/>
          <w:lang w:val="zh-CN" w:eastAsia="zh-CN" w:bidi="ar-SA"/>
        </w:rPr>
        <w:t>，</w:t>
      </w:r>
      <w:r>
        <w:rPr>
          <w:rFonts w:hint="eastAsia" w:ascii="仿宋_GB2312" w:hAnsi="仿宋_GB2312" w:eastAsia="仿宋_GB2312" w:cs="仿宋_GB2312"/>
          <w:sz w:val="32"/>
          <w:szCs w:val="32"/>
          <w:highlight w:val="none"/>
        </w:rPr>
        <w:t>共涉及资金</w:t>
      </w:r>
      <w:r>
        <w:rPr>
          <w:rFonts w:hint="eastAsia" w:ascii="仿宋_GB2312" w:hAnsi="仿宋_GB2312" w:eastAsia="仿宋_GB2312" w:cs="仿宋_GB2312"/>
          <w:sz w:val="32"/>
          <w:szCs w:val="32"/>
          <w:highlight w:val="none"/>
          <w:lang w:val="en-US" w:eastAsia="zh-CN"/>
        </w:rPr>
        <w:t>8154.5</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。其中</w:t>
      </w:r>
      <w:r>
        <w:rPr>
          <w:rFonts w:hint="eastAsia" w:ascii="仿宋_GB2312" w:hAnsi="仿宋_GB2312" w:eastAsia="仿宋_GB2312" w:cs="仿宋_GB2312"/>
          <w:sz w:val="32"/>
          <w:szCs w:val="32"/>
          <w:highlight w:val="none"/>
        </w:rPr>
        <w:t>一般公共预算</w:t>
      </w:r>
      <w:r>
        <w:rPr>
          <w:rFonts w:hint="eastAsia" w:ascii="仿宋_GB2312" w:hAnsi="仿宋_GB2312" w:eastAsia="仿宋_GB2312" w:cs="仿宋_GB2312"/>
          <w:sz w:val="32"/>
          <w:szCs w:val="32"/>
          <w:highlight w:val="none"/>
          <w:lang w:eastAsia="zh-CN"/>
        </w:rPr>
        <w:t>财政拨款</w:t>
      </w:r>
      <w:r>
        <w:rPr>
          <w:rFonts w:hint="eastAsia" w:ascii="仿宋_GB2312" w:hAnsi="仿宋_GB2312" w:eastAsia="仿宋_GB2312" w:cs="仿宋_GB2312"/>
          <w:sz w:val="32"/>
          <w:szCs w:val="32"/>
          <w:highlight w:val="none"/>
        </w:rPr>
        <w:t>项目</w:t>
      </w:r>
      <w:r>
        <w:rPr>
          <w:rFonts w:hint="eastAsia" w:ascii="仿宋_GB2312" w:hAnsi="仿宋_GB2312" w:eastAsia="仿宋_GB2312" w:cs="仿宋_GB2312"/>
          <w:sz w:val="32"/>
          <w:szCs w:val="32"/>
          <w:highlight w:val="none"/>
          <w:lang w:val="en-US" w:eastAsia="zh-CN"/>
        </w:rPr>
        <w:t>35个，涉及</w:t>
      </w:r>
      <w:r>
        <w:rPr>
          <w:rFonts w:hint="eastAsia" w:ascii="仿宋_GB2312" w:hAnsi="仿宋_GB2312" w:eastAsia="仿宋_GB2312" w:cs="仿宋_GB2312"/>
          <w:sz w:val="32"/>
          <w:szCs w:val="32"/>
          <w:highlight w:val="none"/>
          <w:lang w:eastAsia="zh-CN"/>
        </w:rPr>
        <w:t>资金</w:t>
      </w:r>
      <w:r>
        <w:rPr>
          <w:rFonts w:hint="eastAsia" w:ascii="仿宋_GB2312" w:hAnsi="仿宋_GB2312" w:eastAsia="仿宋_GB2312" w:cs="仿宋_GB2312"/>
          <w:sz w:val="32"/>
          <w:szCs w:val="32"/>
          <w:highlight w:val="none"/>
          <w:lang w:val="en-US" w:eastAsia="zh-CN"/>
        </w:rPr>
        <w:t>1873.22万元，占项目</w:t>
      </w:r>
      <w:r>
        <w:rPr>
          <w:rFonts w:hint="eastAsia" w:ascii="仿宋_GB2312" w:hAnsi="仿宋_GB2312" w:eastAsia="仿宋_GB2312" w:cs="仿宋_GB2312"/>
          <w:sz w:val="32"/>
          <w:szCs w:val="32"/>
          <w:highlight w:val="none"/>
        </w:rPr>
        <w:t>总额的</w:t>
      </w:r>
      <w:r>
        <w:rPr>
          <w:rFonts w:hint="eastAsia" w:ascii="仿宋_GB2312" w:hAnsi="仿宋_GB2312" w:eastAsia="仿宋_GB2312" w:cs="仿宋_GB2312"/>
          <w:sz w:val="32"/>
          <w:szCs w:val="32"/>
          <w:highlight w:val="none"/>
          <w:lang w:val="en-US" w:eastAsia="zh-CN"/>
        </w:rPr>
        <w:t>23.0</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；政府性基金预算财政拨款项目</w:t>
      </w:r>
      <w:r>
        <w:rPr>
          <w:rFonts w:hint="eastAsia" w:ascii="仿宋_GB2312" w:hAnsi="仿宋_GB2312" w:eastAsia="仿宋_GB2312" w:cs="仿宋_GB2312"/>
          <w:sz w:val="32"/>
          <w:szCs w:val="32"/>
          <w:highlight w:val="none"/>
          <w:lang w:val="en-US" w:eastAsia="zh-CN"/>
        </w:rPr>
        <w:t>4个，涉及资金5681.28万元，占项目</w:t>
      </w:r>
      <w:r>
        <w:rPr>
          <w:rFonts w:hint="eastAsia" w:ascii="仿宋_GB2312" w:hAnsi="仿宋_GB2312" w:eastAsia="仿宋_GB2312" w:cs="仿宋_GB2312"/>
          <w:sz w:val="32"/>
          <w:szCs w:val="32"/>
          <w:highlight w:val="none"/>
        </w:rPr>
        <w:t>总额的</w:t>
      </w:r>
      <w:r>
        <w:rPr>
          <w:rFonts w:hint="eastAsia" w:ascii="仿宋_GB2312" w:hAnsi="仿宋_GB2312" w:eastAsia="仿宋_GB2312" w:cs="仿宋_GB2312"/>
          <w:sz w:val="32"/>
          <w:szCs w:val="32"/>
          <w:highlight w:val="none"/>
          <w:lang w:val="en-US" w:eastAsia="zh-CN"/>
        </w:rPr>
        <w:t>69.7</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；其他收入项目</w:t>
      </w:r>
      <w:r>
        <w:rPr>
          <w:rFonts w:hint="eastAsia" w:ascii="仿宋_GB2312" w:hAnsi="仿宋_GB2312" w:eastAsia="仿宋_GB2312" w:cs="仿宋_GB2312"/>
          <w:sz w:val="32"/>
          <w:szCs w:val="32"/>
          <w:highlight w:val="none"/>
          <w:lang w:val="en-US" w:eastAsia="zh-CN"/>
        </w:rPr>
        <w:t>1个，涉及资金600万元，占项目</w:t>
      </w:r>
      <w:r>
        <w:rPr>
          <w:rFonts w:hint="eastAsia" w:ascii="仿宋_GB2312" w:hAnsi="仿宋_GB2312" w:eastAsia="仿宋_GB2312" w:cs="仿宋_GB2312"/>
          <w:sz w:val="32"/>
          <w:szCs w:val="32"/>
          <w:highlight w:val="none"/>
        </w:rPr>
        <w:t>总额的</w:t>
      </w:r>
      <w:r>
        <w:rPr>
          <w:rFonts w:hint="eastAsia" w:ascii="仿宋_GB2312" w:hAnsi="仿宋_GB2312" w:eastAsia="仿宋_GB2312" w:cs="仿宋_GB2312"/>
          <w:sz w:val="32"/>
          <w:szCs w:val="32"/>
          <w:highlight w:val="none"/>
          <w:lang w:val="en-US" w:eastAsia="zh-CN"/>
        </w:rPr>
        <w:t>7.3</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pPr>
        <w:snapToGrid w:val="0"/>
        <w:spacing w:line="620" w:lineRule="exact"/>
        <w:ind w:firstLine="660" w:firstLineChars="200"/>
        <w:rPr>
          <w:rFonts w:hint="eastAsia" w:ascii="仿宋_GB2312" w:hAnsi="仿宋_GB2312" w:eastAsia="仿宋_GB2312" w:cs="仿宋_GB2312"/>
          <w:sz w:val="32"/>
          <w:szCs w:val="32"/>
          <w:highlight w:val="none"/>
          <w:lang w:eastAsia="zh-CN"/>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w:t>
      </w:r>
      <w:r>
        <w:rPr>
          <w:rFonts w:hint="eastAsia" w:ascii="Times New Roman" w:hAnsi="Times New Roman" w:eastAsia="仿宋_GB2312" w:cs="Times New Roman"/>
          <w:color w:val="auto"/>
          <w:kern w:val="2"/>
          <w:sz w:val="32"/>
          <w:szCs w:val="32"/>
          <w:lang w:val="en-US" w:eastAsia="zh-CN" w:bidi="ar-SA"/>
        </w:rPr>
        <w:t>65</w:t>
      </w:r>
      <w:r>
        <w:rPr>
          <w:rFonts w:hint="default" w:ascii="Times New Roman" w:hAnsi="Times New Roman" w:eastAsia="仿宋_GB2312" w:cs="Times New Roman"/>
          <w:color w:val="auto"/>
          <w:kern w:val="2"/>
          <w:sz w:val="32"/>
          <w:szCs w:val="32"/>
          <w:lang w:val="zh-CN" w:eastAsia="zh-CN" w:bidi="ar-SA"/>
        </w:rPr>
        <w:t>个项目绩效自评结果</w:t>
      </w:r>
      <w:r>
        <w:rPr>
          <w:rFonts w:hint="eastAsia"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项目绩效目标完成情况：</w:t>
      </w:r>
      <w:r>
        <w:rPr>
          <w:rFonts w:hint="eastAsia" w:ascii="仿宋_GB2312" w:hAnsi="宋体" w:eastAsia="仿宋_GB2312"/>
          <w:sz w:val="32"/>
          <w:szCs w:val="32"/>
        </w:rPr>
        <w:t>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65</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自评结果：</w:t>
      </w:r>
      <w:r>
        <w:rPr>
          <w:rFonts w:hint="eastAsia" w:ascii="仿宋_GB2312" w:hAnsi="宋体" w:eastAsia="仿宋_GB2312"/>
          <w:sz w:val="32"/>
          <w:szCs w:val="32"/>
          <w:lang w:eastAsia="zh-CN"/>
        </w:rPr>
        <w:t>我单位</w:t>
      </w:r>
      <w:r>
        <w:rPr>
          <w:rFonts w:hint="eastAsia" w:ascii="仿宋_GB2312" w:hAnsi="Times New Roman" w:eastAsia="仿宋_GB2312" w:cs="仿宋_GB2312"/>
          <w:sz w:val="32"/>
          <w:szCs w:val="32"/>
        </w:rPr>
        <w:t>能按时有效的完成</w:t>
      </w:r>
      <w:r>
        <w:rPr>
          <w:rFonts w:hint="eastAsia" w:ascii="仿宋_GB2312" w:hAnsi="仿宋_GB2312" w:eastAsia="仿宋_GB2312" w:cs="仿宋_GB2312"/>
          <w:sz w:val="32"/>
          <w:szCs w:val="32"/>
          <w:highlight w:val="none"/>
        </w:rPr>
        <w:t>年初设定的</w:t>
      </w:r>
      <w:r>
        <w:rPr>
          <w:rFonts w:hint="eastAsia" w:ascii="仿宋_GB2312" w:hAnsi="仿宋_GB2312" w:eastAsia="仿宋_GB2312" w:cs="仿宋_GB2312"/>
          <w:sz w:val="32"/>
          <w:szCs w:val="32"/>
          <w:highlight w:val="none"/>
          <w:lang w:eastAsia="zh-CN"/>
        </w:rPr>
        <w:t>项目</w:t>
      </w:r>
      <w:r>
        <w:rPr>
          <w:rFonts w:hint="eastAsia" w:ascii="仿宋_GB2312" w:hAnsi="仿宋_GB2312" w:eastAsia="仿宋_GB2312" w:cs="仿宋_GB2312"/>
          <w:sz w:val="32"/>
          <w:szCs w:val="32"/>
          <w:highlight w:val="none"/>
        </w:rPr>
        <w:t>绩效目标</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highlight w:val="none"/>
          <w:lang w:eastAsia="zh-CN"/>
        </w:rPr>
        <w:t>，同类项目予以支持。</w:t>
      </w:r>
    </w:p>
    <w:p>
      <w:pPr>
        <w:adjustRightInd w:val="0"/>
        <w:snapToGrid w:val="0"/>
        <w:spacing w:line="580" w:lineRule="exact"/>
        <w:jc w:val="center"/>
        <w:rPr>
          <w:rFonts w:hint="eastAsia" w:ascii="仿宋" w:hAnsi="仿宋" w:eastAsia="仿宋" w:cs="仿宋"/>
          <w:sz w:val="32"/>
          <w:szCs w:val="32"/>
        </w:rPr>
      </w:pPr>
      <w:r>
        <w:rPr>
          <w:rFonts w:hint="eastAsia" w:ascii="仿宋" w:hAnsi="仿宋" w:eastAsia="仿宋" w:cs="仿宋"/>
          <w:sz w:val="32"/>
          <w:szCs w:val="32"/>
        </w:rPr>
        <w:t>部门绩效自评结果公开汇总表</w:t>
      </w:r>
    </w:p>
    <w:tbl>
      <w:tblPr>
        <w:tblStyle w:val="15"/>
        <w:tblW w:w="84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2540"/>
        <w:gridCol w:w="1425"/>
        <w:gridCol w:w="1975"/>
        <w:gridCol w:w="15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tcPr>
          <w:p>
            <w:pPr>
              <w:adjustRightInd w:val="0"/>
              <w:snapToGrid w:val="0"/>
              <w:spacing w:line="580" w:lineRule="exact"/>
              <w:ind w:firstLine="150" w:firstLineChars="100"/>
              <w:jc w:val="both"/>
              <w:rPr>
                <w:rFonts w:hint="eastAsia" w:ascii="宋体" w:hAnsi="宋体" w:eastAsia="宋体" w:cs="宋体"/>
                <w:sz w:val="15"/>
                <w:szCs w:val="15"/>
                <w:lang w:val="en-US" w:eastAsia="zh-CN"/>
              </w:rPr>
            </w:pPr>
            <w:r>
              <w:rPr>
                <w:rFonts w:hint="eastAsia" w:ascii="宋体" w:hAnsi="宋体" w:cs="宋体"/>
                <w:sz w:val="15"/>
                <w:szCs w:val="15"/>
                <w:lang w:val="en-US" w:eastAsia="zh-CN"/>
              </w:rPr>
              <w:t>序  号</w:t>
            </w:r>
          </w:p>
        </w:tc>
        <w:tc>
          <w:tcPr>
            <w:tcW w:w="2540" w:type="dxa"/>
            <w:shd w:val="clear" w:color="auto" w:fill="auto"/>
          </w:tcPr>
          <w:p>
            <w:pPr>
              <w:adjustRightInd w:val="0"/>
              <w:snapToGrid w:val="0"/>
              <w:spacing w:line="580" w:lineRule="exact"/>
              <w:jc w:val="center"/>
              <w:rPr>
                <w:rFonts w:hint="eastAsia" w:ascii="宋体" w:hAnsi="宋体" w:eastAsia="宋体" w:cs="宋体"/>
                <w:sz w:val="15"/>
                <w:szCs w:val="15"/>
              </w:rPr>
            </w:pPr>
            <w:r>
              <w:rPr>
                <w:rFonts w:hint="eastAsia" w:ascii="宋体" w:hAnsi="宋体" w:eastAsia="宋体" w:cs="宋体"/>
                <w:sz w:val="15"/>
                <w:szCs w:val="15"/>
              </w:rPr>
              <w:t>项目名称</w:t>
            </w:r>
          </w:p>
        </w:tc>
        <w:tc>
          <w:tcPr>
            <w:tcW w:w="1425" w:type="dxa"/>
            <w:shd w:val="clear" w:color="auto" w:fill="auto"/>
          </w:tcPr>
          <w:p>
            <w:pPr>
              <w:adjustRightInd w:val="0"/>
              <w:snapToGrid w:val="0"/>
              <w:spacing w:line="580" w:lineRule="exact"/>
              <w:jc w:val="center"/>
              <w:rPr>
                <w:rFonts w:hint="eastAsia" w:ascii="宋体" w:hAnsi="宋体" w:eastAsia="宋体" w:cs="宋体"/>
                <w:sz w:val="15"/>
                <w:szCs w:val="15"/>
              </w:rPr>
            </w:pPr>
            <w:r>
              <w:rPr>
                <w:rFonts w:hint="eastAsia" w:ascii="宋体" w:hAnsi="宋体" w:eastAsia="宋体" w:cs="宋体"/>
                <w:sz w:val="15"/>
                <w:szCs w:val="15"/>
              </w:rPr>
              <w:t>项目金额（万元）</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p>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自评得分</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p>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宣传推广鹿泉旅游、文化、体育等资源及大型活动</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99</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宣传展牌设计制作安装项目</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 xml:space="preserve">14.78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99</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利用拆违空地合理谋划建设球类运动场地费用（19个球场）（2022年）</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93</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鹿泉区20项民生工程体育器材采购</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60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新建健身步道工程</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33.7</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6</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新建城镇和农村球类场地、健身器材采购（2023）</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60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7</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2023年石家庄马拉松比赛保障经费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23.1</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8</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核查高危险性体育项目检测费用</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1.19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9</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退役军人公益性岗位工资</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21.81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4"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10</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草根大舞台</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7</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文体活动费用</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19.28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2023年文化惠民券费用</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7.95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丝弦剧团经费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宣传文化中心运转费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65.8</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99</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文体局办公楼取暖安装费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10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99</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16</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鹿泉会堂取暖</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10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99</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8"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17</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全民健身中心暨高等级人防工程“一案二书”编制服务费用</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18</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解决丝弦剧团职工遗留问题信访隐患资金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3.32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3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19</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旅游景区专家查隐患经费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99</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20</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新杏路（山前大道至梁庄村）安装路灯工程</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15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8"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鹿泉区四馆建设</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9.75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文物保护单位威远门修缮工程</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24</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1"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关于提前下达2023年中央补助地方美术馆  公共图书馆  文化馆（站）免费开放专项资金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39</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关于下达2022年中央补助地方公共文化服务体系建设专项资金的通知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 xml:space="preserve">11.04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石财教[2022]57号关于下达2022年省级旅游发展专项资金的通知（厕所补助资金）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6"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26</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关于提前下达2023年省级“三馆一站”免费开放补助资金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6.5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27</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关于提前下达2023年省级非物质文化遗产保护专项资金（非遗传承人补助董兰坤）</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0.6</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28</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关于提前下达2023年省级补助市县重点人防工程资金的通知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766</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7"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29</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石财教[2022]52号 关于下达2022年市级非物质文化遗产保护市级资金的通知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30</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石财教[2022]72号 关于下达2022年市级公共文化服务体系建设专项资金（包含免费开放资金）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5.09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关于下达促进文化产业和旅游业恢复发展专项资金的通知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180</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石财教[2023]54号 关于下达2023年市级公共文化服务体系建设专项资金的通知（一般项目）</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 xml:space="preserve">9.62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石财教[2023]54号 关于下达2023年市级公共文化服务体系建设专项资金的通知（三馆一站免费开放）</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6.5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石财教[2023]36号 关于下达2023年市级非物质文化遗产保护专项资金的通知（传承人补助、非遗项目补助）</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1.5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石财教[2022]75号 2022年市级旅游重点项目引导资金（旅游厕所）</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7.5</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36</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鹿泉区全民健身中心暨高等级人防工程(专项债券）</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4589</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4"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37</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专项债券付息（政府性基金）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1039.2</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8"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38</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专项债券服务费（政府性基金）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color w:val="auto"/>
                <w:sz w:val="15"/>
                <w:szCs w:val="15"/>
              </w:rPr>
            </w:pPr>
            <w:r>
              <w:rPr>
                <w:rFonts w:hint="eastAsia" w:ascii="宋体" w:hAnsi="宋体" w:eastAsia="宋体" w:cs="宋体"/>
                <w:i w:val="0"/>
                <w:iCs w:val="0"/>
                <w:color w:val="000000"/>
                <w:kern w:val="0"/>
                <w:sz w:val="15"/>
                <w:szCs w:val="15"/>
                <w:u w:val="none"/>
                <w:lang w:val="en-US" w:eastAsia="zh-CN" w:bidi="ar"/>
              </w:rPr>
              <w:t>0.1</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39</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土门关驿道小镇周边整改提升项目（一般债券）</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600</w:t>
            </w:r>
          </w:p>
          <w:p>
            <w:pPr>
              <w:bidi w:val="0"/>
              <w:jc w:val="center"/>
              <w:rPr>
                <w:rFonts w:hint="eastAsia" w:ascii="宋体" w:hAnsi="宋体" w:eastAsia="宋体" w:cs="宋体"/>
                <w:color w:val="auto"/>
                <w:kern w:val="0"/>
                <w:sz w:val="15"/>
                <w:szCs w:val="15"/>
                <w:lang w:val="en-US" w:eastAsia="zh-CN" w:bidi="ar-SA"/>
              </w:rPr>
            </w:pP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7"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sz w:val="15"/>
                <w:szCs w:val="15"/>
              </w:rPr>
            </w:pPr>
            <w:r>
              <w:rPr>
                <w:rFonts w:hint="eastAsia" w:ascii="宋体" w:hAnsi="宋体" w:eastAsia="宋体" w:cs="宋体"/>
                <w:i w:val="0"/>
                <w:color w:val="000000"/>
                <w:kern w:val="0"/>
                <w:sz w:val="15"/>
                <w:szCs w:val="15"/>
                <w:u w:val="none"/>
                <w:lang w:val="en-US" w:eastAsia="zh-CN" w:bidi="ar"/>
              </w:rPr>
              <w:t>40</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关于追加应交税金预算项目（政府性基金）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52.98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41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石财教[2021]89号关于提前下达2022中央补助地方美术馆 公共图书馆 文化馆（站）免费开放专项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2.86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关于提前下达2023中央补助地方美术馆 公共图书馆 文化馆（站）免费开放专项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11.27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石财教【2022】119号  关于提前下达2023年省级“三馆一站”免费开放补助资金的通知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0.8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博物馆、纪念馆免费开放补助和公共美术馆、图书馆、文化馆站免费开放补助</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8.75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关于下达2022年市级公共文化服务体系建设资金--三馆一站免费开放资金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46</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关于下达2023年市级公共文化服务体系建设资金--三馆一站免费开放资金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47</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石财教[2022]53号 关于下达2022年市级文物专项资金（长城保护巡查员补助）</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0.24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48</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关于提前下达2023年省级文物保护专项资金的通知（金河寺大殿修缮工程）</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171.27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49</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石财教[2023]35号 关于下达2023年市级文物保护专项资金的通知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0.72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9"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50</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野外不可移动文物的保护</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3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文保所业务经费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演职人员人身意外伤害险</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6"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文化馆演出及非遗保护等业务费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6.35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民俗文化展厅费用</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3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博物馆、纪念馆免费开放补助和公共美术馆、图书馆、文化馆站免费开放补助</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7.5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3"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56</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于提前下达2023年中央补助地方美术馆  公共图书馆  文化馆（站）免费开放专项资金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9.01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57</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关于提前下达2023年省级“三馆一站”免费开放补助资金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58</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石财教[2023]54号 关于下达2023年市级公共文化服务体系建设专项资金的通知（三馆一站免费开放）</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1.31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59</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石财教[2022]72号 关于下达2022年市级公共文化服务体系建设专项资金（包含免费开放资金）</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5"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武术推广经费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2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0"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61</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老年体协活动经费</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3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62</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融合中心维护</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3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63</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体育竞赛活动、体育场维护及全民健身</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10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2" w:hRule="atLeast"/>
        </w:trPr>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64</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退役军人公益岗工资（体育场）</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5.61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9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65</w:t>
            </w:r>
          </w:p>
        </w:tc>
        <w:tc>
          <w:tcPr>
            <w:tcW w:w="2540" w:type="dxa"/>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石财教[2022]41号关于下达2022年中央公共体育场馆向社会免费或低收费开发补助资金的通知</w:t>
            </w:r>
          </w:p>
        </w:tc>
        <w:tc>
          <w:tcPr>
            <w:tcW w:w="142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41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c>
          <w:tcPr>
            <w:tcW w:w="1512"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trPr>
        <w:tc>
          <w:tcPr>
            <w:tcW w:w="990" w:type="dxa"/>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254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合计</w:t>
            </w:r>
          </w:p>
        </w:tc>
        <w:tc>
          <w:tcPr>
            <w:tcW w:w="1425" w:type="dxa"/>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 xml:space="preserve">8154.5 </w:t>
            </w:r>
          </w:p>
        </w:tc>
        <w:tc>
          <w:tcPr>
            <w:tcW w:w="1975"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1512" w:type="dxa"/>
            <w:shd w:val="clear" w:color="auto" w:fill="auto"/>
            <w:vAlign w:val="center"/>
          </w:tcPr>
          <w:p>
            <w:pPr>
              <w:rPr>
                <w:rFonts w:hint="eastAsia" w:ascii="宋体" w:hAnsi="宋体" w:eastAsia="宋体" w:cs="宋体"/>
                <w:i w:val="0"/>
                <w:iCs w:val="0"/>
                <w:color w:val="000000"/>
                <w:kern w:val="0"/>
                <w:sz w:val="15"/>
                <w:szCs w:val="15"/>
                <w:u w:val="none"/>
                <w:lang w:val="en-US" w:eastAsia="zh-CN" w:bidi="ar"/>
              </w:rPr>
            </w:pPr>
          </w:p>
        </w:tc>
      </w:tr>
    </w:tbl>
    <w:p/>
    <w:p>
      <w:pPr>
        <w:adjustRightInd w:val="0"/>
        <w:snapToGrid w:val="0"/>
        <w:spacing w:line="580" w:lineRule="exact"/>
        <w:rPr>
          <w:rFonts w:hint="eastAsia" w:ascii="仿宋_GB2312" w:hAnsi="仿宋_GB2312" w:eastAsia="仿宋_GB2312" w:cs="仿宋_GB2312"/>
          <w:sz w:val="32"/>
          <w:szCs w:val="32"/>
          <w:highlight w:val="none"/>
          <w:lang w:eastAsia="zh-CN"/>
        </w:rPr>
      </w:pPr>
    </w:p>
    <w:p>
      <w:pPr>
        <w:adjustRightInd w:val="0"/>
        <w:snapToGrid w:val="0"/>
        <w:spacing w:line="580" w:lineRule="exact"/>
        <w:rPr>
          <w:rFonts w:hint="eastAsia" w:ascii="仿宋_GB2312" w:hAnsi="仿宋_GB2312" w:eastAsia="仿宋_GB2312" w:cs="仿宋_GB2312"/>
          <w:sz w:val="32"/>
          <w:szCs w:val="32"/>
          <w:highlight w:val="none"/>
          <w:lang w:eastAsia="zh-CN"/>
        </w:rPr>
      </w:pPr>
    </w:p>
    <w:p>
      <w:pPr>
        <w:adjustRightInd w:val="0"/>
        <w:snapToGrid w:val="0"/>
        <w:spacing w:line="580" w:lineRule="exact"/>
        <w:rPr>
          <w:rFonts w:hint="eastAsia" w:ascii="仿宋_GB2312" w:hAnsi="仿宋_GB2312" w:eastAsia="仿宋_GB2312" w:cs="仿宋_GB2312"/>
          <w:sz w:val="32"/>
          <w:szCs w:val="32"/>
          <w:highlight w:val="none"/>
          <w:lang w:eastAsia="zh-CN"/>
        </w:rPr>
      </w:pPr>
    </w:p>
    <w:p>
      <w:pPr>
        <w:adjustRightInd w:val="0"/>
        <w:snapToGrid w:val="0"/>
        <w:spacing w:line="580" w:lineRule="exact"/>
        <w:rPr>
          <w:rFonts w:hint="eastAsia" w:ascii="仿宋_GB2312" w:hAnsi="仿宋_GB2312" w:eastAsia="仿宋_GB2312" w:cs="仿宋_GB2312"/>
          <w:sz w:val="32"/>
          <w:szCs w:val="32"/>
          <w:highlight w:val="none"/>
          <w:lang w:eastAsia="zh-CN"/>
        </w:rPr>
      </w:pPr>
    </w:p>
    <w:p>
      <w:pPr>
        <w:adjustRightInd w:val="0"/>
        <w:snapToGrid w:val="0"/>
        <w:spacing w:line="580" w:lineRule="exact"/>
        <w:rPr>
          <w:rFonts w:hint="eastAsia" w:ascii="仿宋_GB2312" w:hAnsi="仿宋_GB2312" w:eastAsia="仿宋_GB2312" w:cs="仿宋_GB2312"/>
          <w:sz w:val="32"/>
          <w:szCs w:val="32"/>
          <w:highlight w:val="none"/>
          <w:lang w:eastAsia="zh-CN"/>
        </w:rPr>
      </w:pPr>
    </w:p>
    <w:p>
      <w:pPr>
        <w:adjustRightInd w:val="0"/>
        <w:snapToGrid w:val="0"/>
        <w:spacing w:line="580" w:lineRule="exac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eastAsia="zh-CN"/>
        </w:rPr>
        <w:t>附：</w:t>
      </w:r>
      <w:r>
        <w:rPr>
          <w:rFonts w:hint="eastAsia" w:ascii="仿宋_GB2312" w:hAnsi="仿宋_GB2312" w:eastAsia="仿宋_GB2312" w:cs="仿宋_GB2312"/>
          <w:sz w:val="32"/>
          <w:szCs w:val="32"/>
          <w:lang w:val="en-US" w:eastAsia="zh-CN"/>
        </w:rPr>
        <w:t>退役军人公益性岗位工资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旅游景区专家查隐患经费、鹿泉区20项民生工程体育器材采购</w:t>
      </w:r>
      <w:r>
        <w:rPr>
          <w:rFonts w:hint="eastAsia" w:ascii="仿宋_GB2312" w:hAnsi="仿宋_GB2312" w:eastAsia="仿宋_GB2312" w:cs="仿宋_GB2312"/>
          <w:sz w:val="32"/>
          <w:szCs w:val="32"/>
          <w:lang w:eastAsia="zh-CN"/>
        </w:rPr>
        <w:t>自评表如下：</w:t>
      </w:r>
    </w:p>
    <w:tbl>
      <w:tblPr>
        <w:tblStyle w:val="15"/>
        <w:tblW w:w="91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90"/>
        <w:gridCol w:w="1155"/>
        <w:gridCol w:w="1140"/>
        <w:gridCol w:w="1287"/>
        <w:gridCol w:w="915"/>
        <w:gridCol w:w="1227"/>
        <w:gridCol w:w="1260"/>
        <w:gridCol w:w="11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549" w:hRule="atLeast"/>
        </w:trPr>
        <w:tc>
          <w:tcPr>
            <w:tcW w:w="9150"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15" w:hRule="atLeast"/>
        </w:trPr>
        <w:tc>
          <w:tcPr>
            <w:tcW w:w="9150"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4572"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填报单位：石家庄市鹿泉区文化广电体育和旅游局</w:t>
            </w:r>
          </w:p>
        </w:tc>
        <w:tc>
          <w:tcPr>
            <w:tcW w:w="915"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1227"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126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117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12" w:hRule="atLeast"/>
        </w:trPr>
        <w:tc>
          <w:tcPr>
            <w:tcW w:w="99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一、 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项目名称</w:t>
            </w:r>
          </w:p>
        </w:tc>
        <w:tc>
          <w:tcPr>
            <w:tcW w:w="2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退役军人公益性岗位工资（专项资金）</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实施(主管）单位</w:t>
            </w:r>
          </w:p>
        </w:tc>
        <w:tc>
          <w:tcPr>
            <w:tcW w:w="366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石家庄市鹿泉区文化广电体育和旅游局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48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资金到位情况</w:t>
            </w:r>
          </w:p>
        </w:tc>
        <w:tc>
          <w:tcPr>
            <w:tcW w:w="248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资金执行情况</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21.91</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到位数：</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21.91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执行数：</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21.91</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4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21.91</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21.91</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21.91</w:t>
            </w: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宋体" w:hAnsi="宋体" w:eastAsia="宋体" w:cs="宋体"/>
                <w:i w:val="0"/>
                <w:iCs w:val="0"/>
                <w:color w:val="000000"/>
                <w:kern w:val="0"/>
                <w:sz w:val="15"/>
                <w:szCs w:val="15"/>
                <w:u w:val="none"/>
                <w:lang w:val="en-US" w:eastAsia="zh-CN" w:bidi="ar"/>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kern w:val="0"/>
                <w:sz w:val="15"/>
                <w:szCs w:val="15"/>
                <w:u w:val="none"/>
                <w:lang w:val="en-US" w:eastAsia="zh-CN" w:bidi="ar"/>
              </w:rPr>
            </w:pP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kern w:val="0"/>
                <w:sz w:val="15"/>
                <w:szCs w:val="15"/>
                <w:u w:val="none"/>
                <w:lang w:val="en-US" w:eastAsia="zh-CN" w:bidi="ar"/>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6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三、目标完成情况</w:t>
            </w:r>
          </w:p>
        </w:tc>
        <w:tc>
          <w:tcPr>
            <w:tcW w:w="358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年度预期目标</w:t>
            </w:r>
          </w:p>
        </w:tc>
        <w:tc>
          <w:tcPr>
            <w:tcW w:w="340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具体完成情况</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58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缴纳4名退役军人社会保险及发放工资福利，保障办公正常运转。</w:t>
            </w:r>
          </w:p>
        </w:tc>
        <w:tc>
          <w:tcPr>
            <w:tcW w:w="340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已完成</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1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5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4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58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40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20" w:hRule="atLeast"/>
        </w:trPr>
        <w:tc>
          <w:tcPr>
            <w:tcW w:w="99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四、 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二级指标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三级指标</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预期指标值</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实际完成值</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6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数量指标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保障人数</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4人</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4人</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质量指标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工资福利发放精准率</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时效指标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工资福利发放及时性</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52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成本指标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3"/>
                <w:szCs w:val="13"/>
                <w:u w:val="none"/>
                <w:lang w:val="en-US" w:eastAsia="zh-CN" w:bidi="ar"/>
              </w:rPr>
              <w:t>工资福利发放及社会保险缴纳标准</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按规定执行</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按规定执行</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PrEx>
        <w:trPr>
          <w:trHeight w:val="6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3"/>
                <w:szCs w:val="13"/>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96"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社会效益指标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3"/>
                <w:szCs w:val="13"/>
                <w:u w:val="none"/>
                <w:lang w:val="en-US" w:eastAsia="zh-CN" w:bidi="ar"/>
              </w:rPr>
              <w:t>加强职工归属感，维护社会稳定</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3"/>
                <w:szCs w:val="13"/>
                <w:u w:val="none"/>
                <w:lang w:val="en-US" w:eastAsia="zh-CN" w:bidi="ar"/>
              </w:rPr>
              <w:t>加强职工归属感，维护社会稳定</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3"/>
                <w:szCs w:val="13"/>
                <w:u w:val="none"/>
                <w:lang w:val="en-US" w:eastAsia="zh-CN" w:bidi="ar"/>
              </w:rPr>
              <w:t>加强职工归属感，维护社会稳定</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09"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3"/>
                <w:szCs w:val="13"/>
                <w:u w:val="none"/>
                <w:lang w:val="en-US" w:eastAsia="zh-CN" w:bidi="ar"/>
              </w:rPr>
              <w:t>可持续影响指标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安置退役军人时间</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长期</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长期</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48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满意度指标</w:t>
            </w:r>
          </w:p>
        </w:tc>
        <w:tc>
          <w:tcPr>
            <w:tcW w:w="22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受益退役军人满意度</w:t>
            </w:r>
          </w:p>
        </w:tc>
        <w:tc>
          <w:tcPr>
            <w:tcW w:w="122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270" w:hRule="atLeast"/>
        </w:trPr>
        <w:tc>
          <w:tcPr>
            <w:tcW w:w="99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69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总分</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745" w:hRule="atLeast"/>
        </w:trPr>
        <w:tc>
          <w:tcPr>
            <w:tcW w:w="99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五、 存在问题、原因及下一步整改措施</w:t>
            </w:r>
          </w:p>
        </w:tc>
        <w:tc>
          <w:tcPr>
            <w:tcW w:w="81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无</w:t>
            </w:r>
          </w:p>
        </w:tc>
      </w:tr>
    </w:tbl>
    <w:p/>
    <w:tbl>
      <w:tblPr>
        <w:tblStyle w:val="15"/>
        <w:tblW w:w="939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0"/>
        <w:gridCol w:w="377"/>
        <w:gridCol w:w="703"/>
        <w:gridCol w:w="452"/>
        <w:gridCol w:w="628"/>
        <w:gridCol w:w="324"/>
        <w:gridCol w:w="756"/>
        <w:gridCol w:w="384"/>
        <w:gridCol w:w="411"/>
        <w:gridCol w:w="579"/>
        <w:gridCol w:w="666"/>
        <w:gridCol w:w="669"/>
        <w:gridCol w:w="471"/>
        <w:gridCol w:w="864"/>
        <w:gridCol w:w="81"/>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511" w:hRule="atLeast"/>
        </w:trPr>
        <w:tc>
          <w:tcPr>
            <w:tcW w:w="9390" w:type="dxa"/>
            <w:gridSpan w:val="1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5" w:hRule="atLeast"/>
        </w:trPr>
        <w:tc>
          <w:tcPr>
            <w:tcW w:w="9390" w:type="dxa"/>
            <w:gridSpan w:val="1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4464"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填报单位：石家庄市鹿泉区文化广电体育和旅游局</w:t>
            </w:r>
          </w:p>
        </w:tc>
        <w:tc>
          <w:tcPr>
            <w:tcW w:w="990"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1335"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1335"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p>
        </w:tc>
        <w:tc>
          <w:tcPr>
            <w:tcW w:w="1266" w:type="dxa"/>
            <w:gridSpan w:val="2"/>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0" w:hRule="atLeast"/>
        </w:trPr>
        <w:tc>
          <w:tcPr>
            <w:tcW w:w="1217"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一、 基本情况</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项目名称</w:t>
            </w:r>
          </w:p>
        </w:tc>
        <w:tc>
          <w:tcPr>
            <w:tcW w:w="209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旅游景区专家查隐患经费（专项资金）</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实施(主管）单位</w:t>
            </w:r>
          </w:p>
        </w:tc>
        <w:tc>
          <w:tcPr>
            <w:tcW w:w="39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石家庄市鹿泉区文化广电体育和旅游局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12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二、预算执行情况</w:t>
            </w:r>
          </w:p>
        </w:tc>
        <w:tc>
          <w:tcPr>
            <w:tcW w:w="210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资金到位情况</w:t>
            </w:r>
          </w:p>
        </w:tc>
        <w:tc>
          <w:tcPr>
            <w:tcW w:w="267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资金执行情况</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预算数：</w:t>
            </w: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到位数：</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执行数：</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c>
          <w:tcPr>
            <w:tcW w:w="12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12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w:t>
            </w:r>
          </w:p>
        </w:tc>
        <w:tc>
          <w:tcPr>
            <w:tcW w:w="12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0" w:hRule="atLeast"/>
        </w:trPr>
        <w:tc>
          <w:tcPr>
            <w:tcW w:w="12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0"/>
                <w:sz w:val="15"/>
                <w:szCs w:val="15"/>
                <w:u w:val="none"/>
                <w:lang w:val="en-US" w:eastAsia="zh-CN" w:bidi="ar"/>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2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60" w:hRule="atLeast"/>
        </w:trPr>
        <w:tc>
          <w:tcPr>
            <w:tcW w:w="12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三、目标完成情况</w:t>
            </w:r>
          </w:p>
        </w:tc>
        <w:tc>
          <w:tcPr>
            <w:tcW w:w="324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年度预期目标</w:t>
            </w:r>
          </w:p>
        </w:tc>
        <w:tc>
          <w:tcPr>
            <w:tcW w:w="36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具体完成情况</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24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聘请专家1年对抱犊寨、双凤山、君乐宝等文旅经营单位开展3次安全隐患排查工作，进行两次专业安全培训，提升行业人员安全管理水平。</w:t>
            </w:r>
          </w:p>
        </w:tc>
        <w:tc>
          <w:tcPr>
            <w:tcW w:w="366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已完成</w:t>
            </w:r>
          </w:p>
        </w:tc>
        <w:tc>
          <w:tcPr>
            <w:tcW w:w="12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2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24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66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2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24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66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2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17"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四、 年度绩效指标完成情况</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一级指标</w:t>
            </w: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二级指标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三级指标</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预期指标值</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实际完成值</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8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产出指标（40）</w:t>
            </w:r>
          </w:p>
        </w:tc>
        <w:tc>
          <w:tcPr>
            <w:tcW w:w="9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数量指标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排查安全隐患次数</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2次</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组织安全知识培训次数</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w:t>
            </w:r>
            <w:r>
              <w:rPr>
                <w:rFonts w:hint="eastAsia" w:ascii="宋体" w:hAnsi="宋体" w:eastAsia="宋体" w:cs="宋体"/>
                <w:i w:val="0"/>
                <w:iCs w:val="0"/>
                <w:color w:val="000000"/>
                <w:kern w:val="0"/>
                <w:sz w:val="15"/>
                <w:szCs w:val="15"/>
                <w:u w:val="none"/>
                <w:lang w:val="en-US" w:eastAsia="zh-CN" w:bidi="ar"/>
              </w:rPr>
              <w:t>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w:t>
            </w:r>
            <w:r>
              <w:rPr>
                <w:rFonts w:hint="eastAsia" w:ascii="宋体" w:hAnsi="宋体" w:eastAsia="宋体" w:cs="宋体"/>
                <w:i w:val="0"/>
                <w:iCs w:val="0"/>
                <w:color w:val="000000"/>
                <w:kern w:val="0"/>
                <w:sz w:val="15"/>
                <w:szCs w:val="15"/>
                <w:u w:val="none"/>
                <w:lang w:val="en-US" w:eastAsia="zh-CN" w:bidi="ar"/>
              </w:rPr>
              <w:t>次</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专家出勤人次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≥80</w:t>
            </w:r>
            <w:r>
              <w:rPr>
                <w:rFonts w:hint="eastAsia" w:ascii="宋体" w:hAnsi="宋体" w:eastAsia="宋体" w:cs="宋体"/>
                <w:i w:val="0"/>
                <w:iCs w:val="0"/>
                <w:color w:val="000000"/>
                <w:kern w:val="0"/>
                <w:sz w:val="15"/>
                <w:szCs w:val="15"/>
                <w:u w:val="none"/>
                <w:lang w:val="en-US" w:eastAsia="zh-CN" w:bidi="ar"/>
              </w:rPr>
              <w:t>人次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≥80</w:t>
            </w:r>
            <w:r>
              <w:rPr>
                <w:rFonts w:hint="eastAsia" w:ascii="宋体" w:hAnsi="宋体" w:eastAsia="宋体" w:cs="宋体"/>
                <w:i w:val="0"/>
                <w:iCs w:val="0"/>
                <w:color w:val="000000"/>
                <w:kern w:val="0"/>
                <w:sz w:val="15"/>
                <w:szCs w:val="15"/>
                <w:u w:val="none"/>
                <w:lang w:val="en-US" w:eastAsia="zh-CN" w:bidi="ar"/>
              </w:rPr>
              <w:t>人次</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排查单位数量</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≥60</w:t>
            </w:r>
            <w:r>
              <w:rPr>
                <w:rFonts w:hint="eastAsia" w:ascii="宋体" w:hAnsi="宋体" w:eastAsia="宋体" w:cs="宋体"/>
                <w:i w:val="0"/>
                <w:iCs w:val="0"/>
                <w:color w:val="000000"/>
                <w:kern w:val="0"/>
                <w:sz w:val="15"/>
                <w:szCs w:val="15"/>
                <w:u w:val="none"/>
                <w:lang w:val="en-US" w:eastAsia="zh-CN" w:bidi="ar"/>
              </w:rPr>
              <w:t>家次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≥60</w:t>
            </w:r>
            <w:r>
              <w:rPr>
                <w:rFonts w:hint="eastAsia" w:ascii="宋体" w:hAnsi="宋体" w:eastAsia="宋体" w:cs="宋体"/>
                <w:i w:val="0"/>
                <w:iCs w:val="0"/>
                <w:color w:val="000000"/>
                <w:kern w:val="0"/>
                <w:sz w:val="15"/>
                <w:szCs w:val="15"/>
                <w:u w:val="none"/>
                <w:lang w:val="en-US" w:eastAsia="zh-CN" w:bidi="ar"/>
              </w:rPr>
              <w:t>家次</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质量指标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排查隐患量</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≥250</w:t>
            </w:r>
            <w:r>
              <w:rPr>
                <w:rFonts w:hint="eastAsia" w:ascii="宋体" w:hAnsi="宋体" w:eastAsia="宋体" w:cs="宋体"/>
                <w:i w:val="0"/>
                <w:iCs w:val="0"/>
                <w:color w:val="000000"/>
                <w:kern w:val="0"/>
                <w:sz w:val="15"/>
                <w:szCs w:val="15"/>
                <w:u w:val="none"/>
                <w:lang w:val="en-US" w:eastAsia="zh-CN" w:bidi="ar"/>
              </w:rPr>
              <w:t>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≥250</w:t>
            </w:r>
            <w:r>
              <w:rPr>
                <w:rFonts w:hint="eastAsia" w:ascii="宋体" w:hAnsi="宋体" w:eastAsia="宋体" w:cs="宋体"/>
                <w:i w:val="0"/>
                <w:iCs w:val="0"/>
                <w:color w:val="000000"/>
                <w:kern w:val="0"/>
                <w:sz w:val="15"/>
                <w:szCs w:val="15"/>
                <w:u w:val="none"/>
                <w:lang w:val="en-US" w:eastAsia="zh-CN" w:bidi="ar"/>
              </w:rPr>
              <w:t>条</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整改完成率</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≥97%</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≥97%</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4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时效指标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专家费用天人均标准</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≤1000</w:t>
            </w:r>
            <w:r>
              <w:rPr>
                <w:rFonts w:hint="eastAsia" w:ascii="宋体" w:hAnsi="宋体" w:eastAsia="宋体" w:cs="宋体"/>
                <w:i w:val="0"/>
                <w:iCs w:val="0"/>
                <w:color w:val="000000"/>
                <w:kern w:val="0"/>
                <w:sz w:val="15"/>
                <w:szCs w:val="15"/>
                <w:u w:val="none"/>
                <w:lang w:val="en-US" w:eastAsia="zh-CN" w:bidi="ar"/>
              </w:rPr>
              <w:t>元/天/人</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≤1000</w:t>
            </w:r>
            <w:r>
              <w:rPr>
                <w:rFonts w:hint="eastAsia" w:ascii="宋体" w:hAnsi="宋体" w:eastAsia="宋体" w:cs="宋体"/>
                <w:i w:val="0"/>
                <w:iCs w:val="0"/>
                <w:color w:val="000000"/>
                <w:kern w:val="0"/>
                <w:sz w:val="15"/>
                <w:szCs w:val="15"/>
                <w:u w:val="none"/>
                <w:lang w:val="en-US" w:eastAsia="zh-CN" w:bidi="ar"/>
              </w:rPr>
              <w:t>元/天/人</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8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成本指标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安全排查费用支出时间</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上半年、下半年各支付一次</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上半年、下半年各支付一次</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6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952"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效益指标（40）</w:t>
            </w:r>
          </w:p>
        </w:tc>
        <w:tc>
          <w:tcPr>
            <w:tcW w:w="952" w:type="dxa"/>
            <w:gridSpan w:val="2"/>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社会效益指标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受益单位数量</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≥60</w:t>
            </w:r>
            <w:r>
              <w:rPr>
                <w:rFonts w:hint="eastAsia" w:ascii="宋体" w:hAnsi="宋体" w:eastAsia="宋体" w:cs="宋体"/>
                <w:i w:val="0"/>
                <w:iCs w:val="0"/>
                <w:color w:val="000000"/>
                <w:kern w:val="0"/>
                <w:sz w:val="15"/>
                <w:szCs w:val="15"/>
                <w:u w:val="none"/>
                <w:lang w:val="en-US" w:eastAsia="zh-CN" w:bidi="ar"/>
              </w:rPr>
              <w:t>家</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≥60</w:t>
            </w:r>
            <w:r>
              <w:rPr>
                <w:rFonts w:hint="eastAsia" w:ascii="宋体" w:hAnsi="宋体" w:eastAsia="宋体" w:cs="宋体"/>
                <w:i w:val="0"/>
                <w:iCs w:val="0"/>
                <w:color w:val="000000"/>
                <w:kern w:val="0"/>
                <w:sz w:val="15"/>
                <w:szCs w:val="15"/>
                <w:u w:val="none"/>
                <w:lang w:val="en-US" w:eastAsia="zh-CN" w:bidi="ar"/>
              </w:rPr>
              <w:t>家</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安全隐患投诉率</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&lt;2%</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&lt;2%</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52"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可持续影响指标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减少安全隐患时间</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长期</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长期</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952"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满意度指标</w:t>
            </w:r>
          </w:p>
        </w:tc>
        <w:tc>
          <w:tcPr>
            <w:tcW w:w="213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受益单位满意度</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≥98%</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≥98%</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17"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6907"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总分</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80" w:hRule="atLeast"/>
        </w:trPr>
        <w:tc>
          <w:tcPr>
            <w:tcW w:w="1217"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五、 存在问题、原因及下一步整改措施</w:t>
            </w:r>
          </w:p>
        </w:tc>
        <w:tc>
          <w:tcPr>
            <w:tcW w:w="8173"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585" w:hRule="atLeast"/>
        </w:trPr>
        <w:tc>
          <w:tcPr>
            <w:tcW w:w="8205" w:type="dxa"/>
            <w:gridSpan w:val="1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270" w:hRule="atLeast"/>
        </w:trPr>
        <w:tc>
          <w:tcPr>
            <w:tcW w:w="8205" w:type="dxa"/>
            <w:gridSpan w:val="15"/>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360" w:hRule="atLeast"/>
        </w:trPr>
        <w:tc>
          <w:tcPr>
            <w:tcW w:w="4875" w:type="dxa"/>
            <w:gridSpan w:val="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填报单位：石家庄市鹿泉区文化广电体育和旅游局</w:t>
            </w:r>
          </w:p>
        </w:tc>
        <w:tc>
          <w:tcPr>
            <w:tcW w:w="1245"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p>
        </w:tc>
        <w:tc>
          <w:tcPr>
            <w:tcW w:w="2085"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95" w:hRule="atLeast"/>
        </w:trPr>
        <w:tc>
          <w:tcPr>
            <w:tcW w:w="8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一、 基本情况</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项目名称</w:t>
            </w:r>
          </w:p>
        </w:tc>
        <w:tc>
          <w:tcPr>
            <w:tcW w:w="216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鹿泉区20项民生工程体育器材采购</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实施(主管）单位</w:t>
            </w:r>
          </w:p>
        </w:tc>
        <w:tc>
          <w:tcPr>
            <w:tcW w:w="33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石家庄市鹿泉区文化广电体育和旅游局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80" w:hRule="atLeas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二、预算执行情况</w:t>
            </w:r>
          </w:p>
        </w:tc>
        <w:tc>
          <w:tcPr>
            <w:tcW w:w="216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预算安排情况（调整后）</w:t>
            </w:r>
          </w:p>
        </w:tc>
        <w:tc>
          <w:tcPr>
            <w:tcW w:w="1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资金到位情况</w:t>
            </w:r>
          </w:p>
        </w:tc>
        <w:tc>
          <w:tcPr>
            <w:tcW w:w="238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资金执行情况</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27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预算数：</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到位数：</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执行数：</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9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8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其中：                     财政资金</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60</w:t>
            </w:r>
          </w:p>
        </w:tc>
        <w:tc>
          <w:tcPr>
            <w:tcW w:w="9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27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其他</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360" w:hRule="atLeast"/>
        </w:trPr>
        <w:tc>
          <w:tcPr>
            <w:tcW w:w="84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三、目标完成情况</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年度预期目标</w:t>
            </w:r>
          </w:p>
        </w:tc>
        <w:tc>
          <w:tcPr>
            <w:tcW w:w="31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具体完成情况</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270" w:hRule="atLeast"/>
        </w:trPr>
        <w:tc>
          <w:tcPr>
            <w:tcW w:w="8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24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建设60处健身设施，提高我区居民健身需求。</w:t>
            </w:r>
          </w:p>
        </w:tc>
        <w:tc>
          <w:tcPr>
            <w:tcW w:w="318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完成60处健身设施建设，逐步提高我区居民健身需求。</w:t>
            </w:r>
          </w:p>
        </w:tc>
        <w:tc>
          <w:tcPr>
            <w:tcW w:w="94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270" w:hRule="atLeast"/>
        </w:trPr>
        <w:tc>
          <w:tcPr>
            <w:tcW w:w="8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24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18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270" w:hRule="atLeast"/>
        </w:trPr>
        <w:tc>
          <w:tcPr>
            <w:tcW w:w="8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24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318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94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380" w:hRule="atLeast"/>
        </w:trPr>
        <w:tc>
          <w:tcPr>
            <w:tcW w:w="8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四、 年度绩效指标完成情况</w:t>
            </w: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一级指标</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二级指标</w:t>
            </w:r>
          </w:p>
        </w:tc>
        <w:tc>
          <w:tcPr>
            <w:tcW w:w="1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三级指标</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预期指标值</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实际完成值</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4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vMerge w:val="restart"/>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产出指标（40）</w:t>
            </w:r>
          </w:p>
        </w:tc>
        <w:tc>
          <w:tcPr>
            <w:tcW w:w="1080"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数量指标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建设健身设施场所数量</w:t>
            </w:r>
          </w:p>
        </w:tc>
        <w:tc>
          <w:tcPr>
            <w:tcW w:w="1245" w:type="dxa"/>
            <w:gridSpan w:val="2"/>
            <w:tcBorders>
              <w:top w:val="nil"/>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60</w:t>
            </w:r>
          </w:p>
        </w:tc>
        <w:tc>
          <w:tcPr>
            <w:tcW w:w="1140" w:type="dxa"/>
            <w:gridSpan w:val="2"/>
            <w:tcBorders>
              <w:top w:val="nil"/>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60</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4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vMerge w:val="continue"/>
            <w:tcBorders>
              <w:top w:val="single" w:color="000000" w:sz="4" w:space="0"/>
              <w:left w:val="nil"/>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质量指标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工程质量合格率</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4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vMerge w:val="continue"/>
            <w:tcBorders>
              <w:top w:val="single" w:color="000000" w:sz="4" w:space="0"/>
              <w:left w:val="nil"/>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时效指标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工程完成时间</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10月前</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10月前</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4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vMerge w:val="continue"/>
            <w:tcBorders>
              <w:top w:val="single" w:color="000000" w:sz="4" w:space="0"/>
              <w:left w:val="nil"/>
              <w:bottom w:val="nil"/>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成本指标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每套器材设备控制价</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28500</w:t>
            </w:r>
            <w:r>
              <w:rPr>
                <w:rFonts w:hint="eastAsia" w:ascii="宋体" w:hAnsi="宋体" w:eastAsia="宋体" w:cs="宋体"/>
                <w:i w:val="0"/>
                <w:iCs w:val="0"/>
                <w:color w:val="000000"/>
                <w:kern w:val="0"/>
                <w:sz w:val="15"/>
                <w:szCs w:val="15"/>
                <w:u w:val="none"/>
                <w:lang w:val="en-US" w:eastAsia="zh-CN" w:bidi="ar"/>
              </w:rPr>
              <w:t>元</w:t>
            </w:r>
            <w:r>
              <w:rPr>
                <w:rFonts w:hint="default" w:ascii="宋体" w:hAnsi="宋体" w:eastAsia="宋体" w:cs="宋体"/>
                <w:i w:val="0"/>
                <w:iCs w:val="0"/>
                <w:color w:val="000000"/>
                <w:kern w:val="0"/>
                <w:sz w:val="15"/>
                <w:szCs w:val="15"/>
                <w:u w:val="none"/>
                <w:lang w:val="en-US" w:eastAsia="zh-CN" w:bidi="ar"/>
              </w:rPr>
              <w:t>/</w:t>
            </w:r>
            <w:r>
              <w:rPr>
                <w:rFonts w:hint="eastAsia" w:ascii="宋体" w:hAnsi="宋体" w:eastAsia="宋体" w:cs="宋体"/>
                <w:i w:val="0"/>
                <w:iCs w:val="0"/>
                <w:color w:val="000000"/>
                <w:kern w:val="0"/>
                <w:sz w:val="15"/>
                <w:szCs w:val="15"/>
                <w:u w:val="none"/>
                <w:lang w:val="en-US" w:eastAsia="zh-CN" w:bidi="ar"/>
              </w:rPr>
              <w:t>套</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28500</w:t>
            </w:r>
            <w:r>
              <w:rPr>
                <w:rFonts w:hint="eastAsia" w:ascii="宋体" w:hAnsi="宋体" w:eastAsia="宋体" w:cs="宋体"/>
                <w:i w:val="0"/>
                <w:iCs w:val="0"/>
                <w:color w:val="000000"/>
                <w:kern w:val="0"/>
                <w:sz w:val="15"/>
                <w:szCs w:val="15"/>
                <w:u w:val="none"/>
                <w:lang w:val="en-US" w:eastAsia="zh-CN" w:bidi="ar"/>
              </w:rPr>
              <w:t>元</w:t>
            </w:r>
            <w:r>
              <w:rPr>
                <w:rFonts w:hint="default" w:ascii="宋体" w:hAnsi="宋体" w:eastAsia="宋体" w:cs="宋体"/>
                <w:i w:val="0"/>
                <w:iCs w:val="0"/>
                <w:color w:val="000000"/>
                <w:kern w:val="0"/>
                <w:sz w:val="15"/>
                <w:szCs w:val="15"/>
                <w:u w:val="none"/>
                <w:lang w:val="en-US" w:eastAsia="zh-CN" w:bidi="ar"/>
              </w:rPr>
              <w:t>/</w:t>
            </w:r>
            <w:r>
              <w:rPr>
                <w:rFonts w:hint="eastAsia" w:ascii="宋体" w:hAnsi="宋体" w:eastAsia="宋体" w:cs="宋体"/>
                <w:i w:val="0"/>
                <w:iCs w:val="0"/>
                <w:color w:val="000000"/>
                <w:kern w:val="0"/>
                <w:sz w:val="15"/>
                <w:szCs w:val="15"/>
                <w:u w:val="none"/>
                <w:lang w:val="en-US" w:eastAsia="zh-CN" w:bidi="ar"/>
              </w:rPr>
              <w:t>套</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72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1080"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8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效益指标（40）</w:t>
            </w: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社会效益指标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提升居民文化娱乐健身活动</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显著提高</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显著提高</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8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可持续影响指标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器材使用年限</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长期</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长期</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62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满意度指标</w:t>
            </w:r>
            <w:r>
              <w:rPr>
                <w:rFonts w:hint="eastAsia" w:ascii="宋体" w:hAnsi="宋体" w:eastAsia="宋体" w:cs="宋体"/>
                <w:i w:val="0"/>
                <w:iCs w:val="0"/>
                <w:color w:val="000000"/>
                <w:kern w:val="0"/>
                <w:sz w:val="15"/>
                <w:szCs w:val="15"/>
                <w:u w:val="none"/>
                <w:lang w:val="en-US" w:eastAsia="zh-CN" w:bidi="ar"/>
              </w:rPr>
              <w:br w:type="textWrapping"/>
            </w:r>
            <w:r>
              <w:rPr>
                <w:rFonts w:hint="eastAsia" w:ascii="宋体" w:hAnsi="宋体" w:eastAsia="宋体" w:cs="宋体"/>
                <w:i w:val="0"/>
                <w:iCs w:val="0"/>
                <w:color w:val="000000"/>
                <w:kern w:val="0"/>
                <w:sz w:val="15"/>
                <w:szCs w:val="15"/>
                <w:u w:val="none"/>
                <w:lang w:val="en-US" w:eastAsia="zh-CN" w:bidi="ar"/>
              </w:rPr>
              <w:t>（10分）</w:t>
            </w:r>
          </w:p>
        </w:tc>
        <w:tc>
          <w:tcPr>
            <w:tcW w:w="108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满意度指标</w:t>
            </w:r>
          </w:p>
        </w:tc>
        <w:tc>
          <w:tcPr>
            <w:tcW w:w="1875"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群众满意度</w:t>
            </w:r>
          </w:p>
        </w:tc>
        <w:tc>
          <w:tcPr>
            <w:tcW w:w="12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98%</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98%</w:t>
            </w:r>
          </w:p>
        </w:tc>
        <w:tc>
          <w:tcPr>
            <w:tcW w:w="94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440" w:hRule="atLeast"/>
        </w:trPr>
        <w:tc>
          <w:tcPr>
            <w:tcW w:w="8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5"/>
                <w:szCs w:val="15"/>
                <w:u w:val="none"/>
                <w:lang w:val="en-US" w:eastAsia="zh-CN" w:bidi="ar"/>
              </w:rPr>
            </w:pPr>
          </w:p>
        </w:tc>
        <w:tc>
          <w:tcPr>
            <w:tcW w:w="6420" w:type="dxa"/>
            <w:gridSpan w:val="1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总分</w:t>
            </w:r>
          </w:p>
        </w:tc>
        <w:tc>
          <w:tcPr>
            <w:tcW w:w="9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5"/>
                <w:szCs w:val="15"/>
                <w:u w:val="none"/>
                <w:lang w:val="en-US" w:eastAsia="zh-CN" w:bidi="ar"/>
              </w:rPr>
            </w:pPr>
            <w:r>
              <w:rPr>
                <w:rFonts w:hint="default" w:ascii="宋体" w:hAnsi="宋体" w:eastAsia="宋体" w:cs="宋体"/>
                <w:i w:val="0"/>
                <w:iCs w:val="0"/>
                <w:color w:val="000000"/>
                <w:kern w:val="0"/>
                <w:sz w:val="15"/>
                <w:szCs w:val="15"/>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1185" w:type="dxa"/>
          <w:trHeight w:val="975" w:hRule="atLeast"/>
        </w:trPr>
        <w:tc>
          <w:tcPr>
            <w:tcW w:w="84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五、</w:t>
            </w:r>
            <w:r>
              <w:rPr>
                <w:rFonts w:hint="default" w:ascii="宋体" w:hAnsi="宋体" w:eastAsia="宋体" w:cs="宋体"/>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存在问题、原因及下一步整改措施</w:t>
            </w:r>
          </w:p>
        </w:tc>
        <w:tc>
          <w:tcPr>
            <w:tcW w:w="7365"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无</w:t>
            </w:r>
          </w:p>
        </w:tc>
      </w:tr>
    </w:tbl>
    <w:p>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p>
    <w:p>
      <w:p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p>
    <w:p>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pPr>
        <w:numPr>
          <w:ilvl w:val="0"/>
          <w:numId w:val="0"/>
        </w:numPr>
        <w:adjustRightInd w:val="0"/>
        <w:snapToGrid w:val="0"/>
        <w:spacing w:line="580" w:lineRule="exact"/>
        <w:ind w:firstLine="640" w:firstLineChars="200"/>
        <w:rPr>
          <w:rFonts w:hint="default"/>
        </w:rPr>
      </w:pPr>
      <w:r>
        <w:rPr>
          <w:rFonts w:hint="eastAsia" w:ascii="仿宋_GB2312" w:hAnsi="Times New Roman" w:eastAsia="仿宋_GB2312" w:cs="仿宋_GB2312"/>
          <w:sz w:val="32"/>
          <w:szCs w:val="32"/>
        </w:rPr>
        <w:t>能按时有效的完成各个</w:t>
      </w:r>
      <w:r>
        <w:rPr>
          <w:rFonts w:hint="eastAsia" w:ascii="仿宋_GB2312" w:hAnsi="Times New Roman" w:eastAsia="仿宋_GB2312" w:cs="仿宋_GB2312"/>
          <w:sz w:val="32"/>
          <w:szCs w:val="32"/>
          <w:lang w:eastAsia="zh-CN"/>
        </w:rPr>
        <w:t>预算</w:t>
      </w:r>
      <w:r>
        <w:rPr>
          <w:rFonts w:hint="eastAsia" w:ascii="仿宋_GB2312" w:hAnsi="Times New Roman" w:eastAsia="仿宋_GB2312" w:cs="仿宋_GB2312"/>
          <w:sz w:val="32"/>
          <w:szCs w:val="32"/>
        </w:rPr>
        <w:t>项目</w:t>
      </w:r>
      <w:r>
        <w:rPr>
          <w:rFonts w:hint="eastAsia" w:ascii="仿宋_GB2312" w:hAnsi="Times New Roman" w:eastAsia="仿宋_GB2312" w:cs="仿宋_GB2312"/>
          <w:sz w:val="32"/>
          <w:szCs w:val="32"/>
          <w:lang w:eastAsia="zh-CN"/>
        </w:rPr>
        <w:t>，围绕年度总体绩效目标和分项绩效目标，建立统筹协调、分工协作、密切配合、合理推进的工作机制，</w:t>
      </w:r>
      <w:r>
        <w:rPr>
          <w:rFonts w:hint="eastAsia" w:ascii="仿宋_GB2312" w:hAnsi="Times New Roman" w:eastAsia="仿宋_GB2312" w:cs="仿宋_GB2312"/>
          <w:sz w:val="32"/>
          <w:szCs w:val="32"/>
          <w:lang w:val="en-US" w:eastAsia="zh-CN"/>
        </w:rPr>
        <w:t>总</w:t>
      </w:r>
      <w:r>
        <w:rPr>
          <w:rFonts w:hint="eastAsia" w:ascii="仿宋_GB2312" w:hAnsi="Times New Roman" w:eastAsia="仿宋_GB2312" w:cs="仿宋_GB2312"/>
          <w:sz w:val="32"/>
          <w:szCs w:val="32"/>
          <w:lang w:eastAsia="zh-CN"/>
        </w:rPr>
        <w:t>体绩效目标圆满实现。</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Times New Roman" w:hAnsi="Times New Roman" w:eastAsia="仿宋_GB2312" w:cs="Times New Roman"/>
          <w:sz w:val="32"/>
          <w:szCs w:val="32"/>
          <w:lang w:val="en-US" w:eastAsia="zh-CN"/>
        </w:rPr>
        <w:t>国有资本经营预算财政拨款支出</w:t>
      </w:r>
      <w:r>
        <w:rPr>
          <w:rFonts w:hint="default"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val="en-US" w:eastAsia="zh-CN"/>
        </w:rPr>
        <w:t>公开08</w:t>
      </w:r>
      <w:r>
        <w:rPr>
          <w:rFonts w:hint="default"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5925111D-A9A1-433B-9735-61F90E5EA3F4}"/>
  </w:font>
  <w:font w:name="Arial">
    <w:panose1 w:val="020B0604020202020204"/>
    <w:charset w:val="01"/>
    <w:family w:val="swiss"/>
    <w:pitch w:val="default"/>
    <w:sig w:usb0="E0002EFF" w:usb1="C000785B" w:usb2="00000009" w:usb3="00000000" w:csb0="400001FF" w:csb1="FFFF0000"/>
    <w:embedRegular r:id="rId2" w:fontKey="{60BD1C06-A0BA-41D4-877C-ACF7F5C8B880}"/>
  </w:font>
  <w:font w:name="黑体">
    <w:panose1 w:val="02010609060101010101"/>
    <w:charset w:val="86"/>
    <w:family w:val="auto"/>
    <w:pitch w:val="default"/>
    <w:sig w:usb0="800002BF" w:usb1="38CF7CFA" w:usb2="00000016" w:usb3="00000000" w:csb0="00040001" w:csb1="00000000"/>
    <w:embedRegular r:id="rId3" w:fontKey="{26DA855C-7263-45AB-B046-D3AEEF2B482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embedRegular r:id="rId4" w:fontKey="{127E201F-C637-4B39-BAF5-D205A4C94BA7}"/>
  </w:font>
  <w:font w:name="仿宋">
    <w:panose1 w:val="02010609060101010101"/>
    <w:charset w:val="86"/>
    <w:family w:val="modern"/>
    <w:pitch w:val="default"/>
    <w:sig w:usb0="800002BF" w:usb1="38CF7CFA" w:usb2="00000016" w:usb3="00000000" w:csb0="00040001" w:csb1="00000000"/>
    <w:embedRegular r:id="rId5" w:fontKey="{DB893AD6-C20D-4C40-9483-4B8DE6EBF515}"/>
  </w:font>
  <w:font w:name="Calibri Light">
    <w:panose1 w:val="020F0302020204030204"/>
    <w:charset w:val="00"/>
    <w:family w:val="auto"/>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6" w:fontKey="{9571FCAD-B893-463A-8469-40EF0AC8B3D8}"/>
  </w:font>
  <w:font w:name="方正小标宋简体">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魏碑简体">
    <w:panose1 w:val="02000000000000000000"/>
    <w:charset w:val="86"/>
    <w:family w:val="auto"/>
    <w:pitch w:val="default"/>
    <w:sig w:usb0="00000000" w:usb1="00000000" w:usb2="00000000" w:usb3="00000000" w:csb0="00000000" w:csb1="00000000"/>
    <w:embedRegular r:id="rId7" w:fontKey="{B17E7983-B548-4711-82A9-B2FE4A91CBFA}"/>
  </w:font>
  <w:font w:name="思源黑体 CN Heavy">
    <w:altName w:val="黑体"/>
    <w:panose1 w:val="00000000000000000000"/>
    <w:charset w:val="86"/>
    <w:family w:val="swiss"/>
    <w:pitch w:val="default"/>
    <w:sig w:usb0="00000000" w:usb1="00000000" w:usb2="00000016" w:usb3="00000000" w:csb0="00060107" w:csb1="00000000"/>
    <w:embedRegular r:id="rId8" w:fontKey="{3EAFC044-1D62-481D-906E-541535CF6524}"/>
  </w:font>
  <w:font w:name="楷体_GB2312">
    <w:panose1 w:val="02010609030101010101"/>
    <w:charset w:val="86"/>
    <w:family w:val="auto"/>
    <w:pitch w:val="default"/>
    <w:sig w:usb0="00000001" w:usb1="080E0000" w:usb2="00000000" w:usb3="00000000" w:csb0="00040000" w:csb1="00000000"/>
    <w:embedRegular r:id="rId9" w:fontKey="{0FAE9F13-2C7C-4DEB-A490-6357DD0F8388}"/>
  </w:font>
  <w:font w:name="Arial Black">
    <w:panose1 w:val="020B0A04020102020204"/>
    <w:charset w:val="00"/>
    <w:family w:val="swiss"/>
    <w:pitch w:val="default"/>
    <w:sig w:usb0="A00002AF" w:usb1="400078FB" w:usb2="00000000" w:usb3="00000000" w:csb0="6000009F" w:csb1="DFD70000"/>
    <w:embedRegular r:id="rId10" w:fontKey="{6A0CE8ED-28F4-447C-A353-B65A1B01B894}"/>
  </w:font>
  <w:font w:name="ArialUnicodeMS">
    <w:altName w:val="Malgun Gothic"/>
    <w:panose1 w:val="00000000000000000000"/>
    <w:charset w:val="81"/>
    <w:family w:val="auto"/>
    <w:pitch w:val="default"/>
    <w:sig w:usb0="00000000" w:usb1="00000000" w:usb2="00000010" w:usb3="00000000" w:csb0="00080001" w:csb1="00000000"/>
    <w:embedRegular r:id="rId11" w:fontKey="{B8B432CD-B067-4F01-BDDE-D8FE6762B7A2}"/>
  </w:font>
  <w:font w:name="方正仿宋_GB2312">
    <w:altName w:val="仿宋"/>
    <w:panose1 w:val="02000000000000000000"/>
    <w:charset w:val="86"/>
    <w:family w:val="auto"/>
    <w:pitch w:val="default"/>
    <w:sig w:usb0="00000000" w:usb1="00000000" w:usb2="00000000" w:usb3="00000000" w:csb0="00000000" w:csb1="00000000"/>
    <w:embedRegular r:id="rId12" w:fontKey="{1F64EAC0-D37C-4E18-ADBD-966BF3688A84}"/>
  </w:font>
  <w:font w:name="方正小标宋_GBK">
    <w:panose1 w:val="02000000000000000000"/>
    <w:charset w:val="86"/>
    <w:family w:val="auto"/>
    <w:pitch w:val="default"/>
    <w:sig w:usb0="00000000" w:usb1="00000000" w:usb2="00000000" w:usb3="00000000" w:csb0="00000000" w:csb1="00000000"/>
    <w:embedRegular r:id="rId13" w:fontKey="{FFFE8D3B-2EE5-40C8-AFCC-D613A3F09D0D}"/>
  </w:font>
  <w:font w:name="hakuyoxingshu7000">
    <w:altName w:val="宋体"/>
    <w:panose1 w:val="02000600000000000000"/>
    <w:charset w:val="86"/>
    <w:family w:val="auto"/>
    <w:pitch w:val="default"/>
    <w:sig w:usb0="00000000" w:usb1="00000000" w:usb2="00000000" w:usb3="00000000" w:csb0="0000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A88A71"/>
    <w:multiLevelType w:val="singleLevel"/>
    <w:tmpl w:val="8FA88A71"/>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33D64"/>
    <w:rsid w:val="01A5267D"/>
    <w:rsid w:val="02363AF1"/>
    <w:rsid w:val="024808A2"/>
    <w:rsid w:val="025C3821"/>
    <w:rsid w:val="02DA3B1B"/>
    <w:rsid w:val="02E57B4D"/>
    <w:rsid w:val="033B6E7D"/>
    <w:rsid w:val="033D3951"/>
    <w:rsid w:val="037B12D4"/>
    <w:rsid w:val="03804D63"/>
    <w:rsid w:val="03FB73B0"/>
    <w:rsid w:val="04A57E9E"/>
    <w:rsid w:val="04B403C6"/>
    <w:rsid w:val="04BD008C"/>
    <w:rsid w:val="04C13E58"/>
    <w:rsid w:val="04C55939"/>
    <w:rsid w:val="04DA28BB"/>
    <w:rsid w:val="04F15CAC"/>
    <w:rsid w:val="04F528BE"/>
    <w:rsid w:val="05405A2B"/>
    <w:rsid w:val="054753B6"/>
    <w:rsid w:val="058B2628"/>
    <w:rsid w:val="05991C82"/>
    <w:rsid w:val="05CD6914"/>
    <w:rsid w:val="05E61363"/>
    <w:rsid w:val="061416A9"/>
    <w:rsid w:val="06222A9C"/>
    <w:rsid w:val="06236884"/>
    <w:rsid w:val="06397252"/>
    <w:rsid w:val="063C6E90"/>
    <w:rsid w:val="067E788A"/>
    <w:rsid w:val="069B7700"/>
    <w:rsid w:val="06FC7C2A"/>
    <w:rsid w:val="071E363B"/>
    <w:rsid w:val="07533AFE"/>
    <w:rsid w:val="07B3657A"/>
    <w:rsid w:val="07C857D0"/>
    <w:rsid w:val="07D813AB"/>
    <w:rsid w:val="087E49FE"/>
    <w:rsid w:val="08AB5AAF"/>
    <w:rsid w:val="09012C64"/>
    <w:rsid w:val="093B2E99"/>
    <w:rsid w:val="095D7943"/>
    <w:rsid w:val="09C006C6"/>
    <w:rsid w:val="0A10621F"/>
    <w:rsid w:val="0A436A63"/>
    <w:rsid w:val="0A464C4F"/>
    <w:rsid w:val="0A6729A3"/>
    <w:rsid w:val="0A694877"/>
    <w:rsid w:val="0A961657"/>
    <w:rsid w:val="0AA954BE"/>
    <w:rsid w:val="0AE70639"/>
    <w:rsid w:val="0B4F5E6D"/>
    <w:rsid w:val="0B753AE2"/>
    <w:rsid w:val="0B9C2958"/>
    <w:rsid w:val="0BB67D0A"/>
    <w:rsid w:val="0BC56230"/>
    <w:rsid w:val="0BCF21BD"/>
    <w:rsid w:val="0BE46B89"/>
    <w:rsid w:val="0C277EFD"/>
    <w:rsid w:val="0C4E53E8"/>
    <w:rsid w:val="0C4E7DBD"/>
    <w:rsid w:val="0C7D43B8"/>
    <w:rsid w:val="0C840F3B"/>
    <w:rsid w:val="0C9F7900"/>
    <w:rsid w:val="0CB23317"/>
    <w:rsid w:val="0CE82647"/>
    <w:rsid w:val="0D0A17F5"/>
    <w:rsid w:val="0D101068"/>
    <w:rsid w:val="0D49470D"/>
    <w:rsid w:val="0D621541"/>
    <w:rsid w:val="0D7557DF"/>
    <w:rsid w:val="0D853E34"/>
    <w:rsid w:val="0D9C2A57"/>
    <w:rsid w:val="0DC93269"/>
    <w:rsid w:val="0DFA5D82"/>
    <w:rsid w:val="0E1E52CE"/>
    <w:rsid w:val="0E341BC0"/>
    <w:rsid w:val="0E866524"/>
    <w:rsid w:val="0E9268D3"/>
    <w:rsid w:val="0E957F1F"/>
    <w:rsid w:val="0F0E7284"/>
    <w:rsid w:val="0F28110F"/>
    <w:rsid w:val="0F37083F"/>
    <w:rsid w:val="0F891DB8"/>
    <w:rsid w:val="0FAA3B86"/>
    <w:rsid w:val="0FB13796"/>
    <w:rsid w:val="0FCE44FB"/>
    <w:rsid w:val="100F3B6B"/>
    <w:rsid w:val="10191346"/>
    <w:rsid w:val="10557C57"/>
    <w:rsid w:val="10754A6C"/>
    <w:rsid w:val="108A5F33"/>
    <w:rsid w:val="108B537D"/>
    <w:rsid w:val="10B11DB1"/>
    <w:rsid w:val="10B13C3B"/>
    <w:rsid w:val="10C7485C"/>
    <w:rsid w:val="10D40D76"/>
    <w:rsid w:val="11177F57"/>
    <w:rsid w:val="11217C97"/>
    <w:rsid w:val="11464C20"/>
    <w:rsid w:val="115E4926"/>
    <w:rsid w:val="118A1FFA"/>
    <w:rsid w:val="11DE5260"/>
    <w:rsid w:val="11E35B5A"/>
    <w:rsid w:val="11E42DD6"/>
    <w:rsid w:val="12285FBF"/>
    <w:rsid w:val="125F5A1B"/>
    <w:rsid w:val="126979D6"/>
    <w:rsid w:val="12787CDD"/>
    <w:rsid w:val="12980212"/>
    <w:rsid w:val="129E45A7"/>
    <w:rsid w:val="13074404"/>
    <w:rsid w:val="13672327"/>
    <w:rsid w:val="136A5C00"/>
    <w:rsid w:val="13B152A0"/>
    <w:rsid w:val="13C527AC"/>
    <w:rsid w:val="13C53959"/>
    <w:rsid w:val="13E10199"/>
    <w:rsid w:val="14711797"/>
    <w:rsid w:val="147B6F17"/>
    <w:rsid w:val="147D712D"/>
    <w:rsid w:val="149A0C5C"/>
    <w:rsid w:val="14D42061"/>
    <w:rsid w:val="15081C8B"/>
    <w:rsid w:val="15090D5C"/>
    <w:rsid w:val="150C1E94"/>
    <w:rsid w:val="15992D7D"/>
    <w:rsid w:val="15CF053D"/>
    <w:rsid w:val="15D12ED7"/>
    <w:rsid w:val="15D363DA"/>
    <w:rsid w:val="15E0131A"/>
    <w:rsid w:val="15FA17A0"/>
    <w:rsid w:val="16351703"/>
    <w:rsid w:val="16457D9F"/>
    <w:rsid w:val="166746CF"/>
    <w:rsid w:val="16C31566"/>
    <w:rsid w:val="171731EE"/>
    <w:rsid w:val="17223EFF"/>
    <w:rsid w:val="17B713F6"/>
    <w:rsid w:val="17D96B2F"/>
    <w:rsid w:val="184350A0"/>
    <w:rsid w:val="18541CC2"/>
    <w:rsid w:val="187B3DA8"/>
    <w:rsid w:val="18935485"/>
    <w:rsid w:val="18946C52"/>
    <w:rsid w:val="18A34206"/>
    <w:rsid w:val="18DE3B2C"/>
    <w:rsid w:val="19010D17"/>
    <w:rsid w:val="1906685D"/>
    <w:rsid w:val="19111683"/>
    <w:rsid w:val="191120AF"/>
    <w:rsid w:val="19353916"/>
    <w:rsid w:val="19610FED"/>
    <w:rsid w:val="19B07C1B"/>
    <w:rsid w:val="19C10AF1"/>
    <w:rsid w:val="1A2672DE"/>
    <w:rsid w:val="1A2D5CFF"/>
    <w:rsid w:val="1AA81D42"/>
    <w:rsid w:val="1AB433D9"/>
    <w:rsid w:val="1AF42245"/>
    <w:rsid w:val="1B1B11EE"/>
    <w:rsid w:val="1B1F0B0A"/>
    <w:rsid w:val="1B3719E0"/>
    <w:rsid w:val="1B6261C3"/>
    <w:rsid w:val="1B731730"/>
    <w:rsid w:val="1B882BB5"/>
    <w:rsid w:val="1B906310"/>
    <w:rsid w:val="1B9B33C7"/>
    <w:rsid w:val="1B9D7FEC"/>
    <w:rsid w:val="1BA55461"/>
    <w:rsid w:val="1BE74496"/>
    <w:rsid w:val="1C3D67D1"/>
    <w:rsid w:val="1C40731A"/>
    <w:rsid w:val="1C560392"/>
    <w:rsid w:val="1C581532"/>
    <w:rsid w:val="1C7D181A"/>
    <w:rsid w:val="1C976FB2"/>
    <w:rsid w:val="1CA15E03"/>
    <w:rsid w:val="1CA24F0C"/>
    <w:rsid w:val="1CF01B74"/>
    <w:rsid w:val="1CF8716C"/>
    <w:rsid w:val="1D230EBD"/>
    <w:rsid w:val="1D4B1F5B"/>
    <w:rsid w:val="1D6C5CA0"/>
    <w:rsid w:val="1D725586"/>
    <w:rsid w:val="1D745B4F"/>
    <w:rsid w:val="1D7B1A33"/>
    <w:rsid w:val="1D867987"/>
    <w:rsid w:val="1D923E12"/>
    <w:rsid w:val="1D944010"/>
    <w:rsid w:val="1DA60472"/>
    <w:rsid w:val="1DD70E85"/>
    <w:rsid w:val="1DE6414E"/>
    <w:rsid w:val="1DE74AD7"/>
    <w:rsid w:val="1DF60A19"/>
    <w:rsid w:val="1DFA6713"/>
    <w:rsid w:val="1E050843"/>
    <w:rsid w:val="1E20024F"/>
    <w:rsid w:val="1E2D3FB0"/>
    <w:rsid w:val="1E2E50F1"/>
    <w:rsid w:val="1E2F73C2"/>
    <w:rsid w:val="1E3B4E26"/>
    <w:rsid w:val="1E420733"/>
    <w:rsid w:val="1E880EA7"/>
    <w:rsid w:val="1E97477F"/>
    <w:rsid w:val="1EDF707D"/>
    <w:rsid w:val="1F1C3919"/>
    <w:rsid w:val="1F65664C"/>
    <w:rsid w:val="1F79478A"/>
    <w:rsid w:val="1F7B33A7"/>
    <w:rsid w:val="1F7C149A"/>
    <w:rsid w:val="1F84140D"/>
    <w:rsid w:val="1F863C54"/>
    <w:rsid w:val="1F9B7FFD"/>
    <w:rsid w:val="1F9C7614"/>
    <w:rsid w:val="1FB810FB"/>
    <w:rsid w:val="1FBE1971"/>
    <w:rsid w:val="2008768D"/>
    <w:rsid w:val="204C2B10"/>
    <w:rsid w:val="207D30AD"/>
    <w:rsid w:val="209064B9"/>
    <w:rsid w:val="20970D81"/>
    <w:rsid w:val="20D165D5"/>
    <w:rsid w:val="20D6616D"/>
    <w:rsid w:val="210878E6"/>
    <w:rsid w:val="210E1408"/>
    <w:rsid w:val="211069AD"/>
    <w:rsid w:val="211238D5"/>
    <w:rsid w:val="21573FAB"/>
    <w:rsid w:val="2172069C"/>
    <w:rsid w:val="21987BC4"/>
    <w:rsid w:val="219F6891"/>
    <w:rsid w:val="220451AB"/>
    <w:rsid w:val="2237486E"/>
    <w:rsid w:val="223D1378"/>
    <w:rsid w:val="22940650"/>
    <w:rsid w:val="22AD4B1E"/>
    <w:rsid w:val="22D31DF3"/>
    <w:rsid w:val="22FD3CF7"/>
    <w:rsid w:val="232A313F"/>
    <w:rsid w:val="2356249E"/>
    <w:rsid w:val="23605570"/>
    <w:rsid w:val="236E713A"/>
    <w:rsid w:val="23700968"/>
    <w:rsid w:val="238761A6"/>
    <w:rsid w:val="23920578"/>
    <w:rsid w:val="23BB6F9A"/>
    <w:rsid w:val="23FC3864"/>
    <w:rsid w:val="247D7230"/>
    <w:rsid w:val="24B34E7F"/>
    <w:rsid w:val="24DC6388"/>
    <w:rsid w:val="24EB0BA1"/>
    <w:rsid w:val="24F25212"/>
    <w:rsid w:val="252A663B"/>
    <w:rsid w:val="254B0AC6"/>
    <w:rsid w:val="25571AB6"/>
    <w:rsid w:val="25A14E0E"/>
    <w:rsid w:val="25A866CF"/>
    <w:rsid w:val="25B26B1E"/>
    <w:rsid w:val="25B40AD6"/>
    <w:rsid w:val="25BE7872"/>
    <w:rsid w:val="25BF702A"/>
    <w:rsid w:val="25FA6065"/>
    <w:rsid w:val="2611374E"/>
    <w:rsid w:val="261F111C"/>
    <w:rsid w:val="26477410"/>
    <w:rsid w:val="264D2D17"/>
    <w:rsid w:val="26D43F45"/>
    <w:rsid w:val="26D50E55"/>
    <w:rsid w:val="26FB0581"/>
    <w:rsid w:val="270763D6"/>
    <w:rsid w:val="271A539C"/>
    <w:rsid w:val="274441F8"/>
    <w:rsid w:val="274972D4"/>
    <w:rsid w:val="275048F0"/>
    <w:rsid w:val="275C72A5"/>
    <w:rsid w:val="27AA3D97"/>
    <w:rsid w:val="28405AA6"/>
    <w:rsid w:val="288F0997"/>
    <w:rsid w:val="289057C5"/>
    <w:rsid w:val="28A67C7A"/>
    <w:rsid w:val="28AF344A"/>
    <w:rsid w:val="28D1057E"/>
    <w:rsid w:val="28EA3248"/>
    <w:rsid w:val="28F879DA"/>
    <w:rsid w:val="294630F8"/>
    <w:rsid w:val="294B7731"/>
    <w:rsid w:val="296A5FF1"/>
    <w:rsid w:val="296A7401"/>
    <w:rsid w:val="29CE743E"/>
    <w:rsid w:val="29D21FF2"/>
    <w:rsid w:val="2A2A61BA"/>
    <w:rsid w:val="2A611B0F"/>
    <w:rsid w:val="2A8A2271"/>
    <w:rsid w:val="2AC1762B"/>
    <w:rsid w:val="2AE845D0"/>
    <w:rsid w:val="2B120295"/>
    <w:rsid w:val="2B4975FB"/>
    <w:rsid w:val="2B695031"/>
    <w:rsid w:val="2B735A8F"/>
    <w:rsid w:val="2BA7478D"/>
    <w:rsid w:val="2BB038DB"/>
    <w:rsid w:val="2BB164D0"/>
    <w:rsid w:val="2BB761E0"/>
    <w:rsid w:val="2BB812F9"/>
    <w:rsid w:val="2BE319AF"/>
    <w:rsid w:val="2BE35C27"/>
    <w:rsid w:val="2BFA504B"/>
    <w:rsid w:val="2C1463B5"/>
    <w:rsid w:val="2C2E598B"/>
    <w:rsid w:val="2C681F1F"/>
    <w:rsid w:val="2C8608DC"/>
    <w:rsid w:val="2C9B4CBA"/>
    <w:rsid w:val="2CA4764A"/>
    <w:rsid w:val="2CC42ECA"/>
    <w:rsid w:val="2CDA4349"/>
    <w:rsid w:val="2CF57952"/>
    <w:rsid w:val="2D036C68"/>
    <w:rsid w:val="2D225539"/>
    <w:rsid w:val="2D2B45A9"/>
    <w:rsid w:val="2D4618D2"/>
    <w:rsid w:val="2D5F021B"/>
    <w:rsid w:val="2D6E1286"/>
    <w:rsid w:val="2D70583E"/>
    <w:rsid w:val="2D99655D"/>
    <w:rsid w:val="2DBF6024"/>
    <w:rsid w:val="2DD5373D"/>
    <w:rsid w:val="2E1B4BB8"/>
    <w:rsid w:val="2E256CB6"/>
    <w:rsid w:val="2E3224D3"/>
    <w:rsid w:val="2E5F27E4"/>
    <w:rsid w:val="2E605E44"/>
    <w:rsid w:val="2E755BFA"/>
    <w:rsid w:val="2E9871B6"/>
    <w:rsid w:val="2EBD223E"/>
    <w:rsid w:val="2EC10AD1"/>
    <w:rsid w:val="2ECB6A5A"/>
    <w:rsid w:val="2EEB3C38"/>
    <w:rsid w:val="2EFC0112"/>
    <w:rsid w:val="2F005429"/>
    <w:rsid w:val="2F072F10"/>
    <w:rsid w:val="2F252F4D"/>
    <w:rsid w:val="2F2B730D"/>
    <w:rsid w:val="2F42598B"/>
    <w:rsid w:val="2F727CE6"/>
    <w:rsid w:val="2F8169E4"/>
    <w:rsid w:val="2F936C13"/>
    <w:rsid w:val="2F9F3DC1"/>
    <w:rsid w:val="2FFC7AC2"/>
    <w:rsid w:val="301430AF"/>
    <w:rsid w:val="302B065B"/>
    <w:rsid w:val="306153F0"/>
    <w:rsid w:val="30630612"/>
    <w:rsid w:val="308E59B0"/>
    <w:rsid w:val="30B10568"/>
    <w:rsid w:val="30E55DD3"/>
    <w:rsid w:val="30E60399"/>
    <w:rsid w:val="31356AA5"/>
    <w:rsid w:val="313E22F0"/>
    <w:rsid w:val="3186310A"/>
    <w:rsid w:val="31B0194C"/>
    <w:rsid w:val="31CE17D1"/>
    <w:rsid w:val="320F6F96"/>
    <w:rsid w:val="32162AC9"/>
    <w:rsid w:val="323E4515"/>
    <w:rsid w:val="326F76CF"/>
    <w:rsid w:val="3286389B"/>
    <w:rsid w:val="32CF5C94"/>
    <w:rsid w:val="32D337C7"/>
    <w:rsid w:val="32E200EC"/>
    <w:rsid w:val="32E5408B"/>
    <w:rsid w:val="32E9750B"/>
    <w:rsid w:val="32EB0D70"/>
    <w:rsid w:val="332868BB"/>
    <w:rsid w:val="33315E45"/>
    <w:rsid w:val="333211F3"/>
    <w:rsid w:val="333E3678"/>
    <w:rsid w:val="33504B41"/>
    <w:rsid w:val="335174BC"/>
    <w:rsid w:val="338B4A07"/>
    <w:rsid w:val="33944811"/>
    <w:rsid w:val="33A26FE4"/>
    <w:rsid w:val="33A651CD"/>
    <w:rsid w:val="33CE0488"/>
    <w:rsid w:val="33D46F96"/>
    <w:rsid w:val="33EE2CBB"/>
    <w:rsid w:val="34005866"/>
    <w:rsid w:val="34182C85"/>
    <w:rsid w:val="34262463"/>
    <w:rsid w:val="34296F31"/>
    <w:rsid w:val="34340A27"/>
    <w:rsid w:val="34563CEC"/>
    <w:rsid w:val="346A2989"/>
    <w:rsid w:val="34714663"/>
    <w:rsid w:val="348865E9"/>
    <w:rsid w:val="348F70D5"/>
    <w:rsid w:val="349D2BAD"/>
    <w:rsid w:val="349F7963"/>
    <w:rsid w:val="34B25886"/>
    <w:rsid w:val="34B40430"/>
    <w:rsid w:val="35277FF8"/>
    <w:rsid w:val="355927C1"/>
    <w:rsid w:val="355A2295"/>
    <w:rsid w:val="35776F72"/>
    <w:rsid w:val="35997371"/>
    <w:rsid w:val="360134DF"/>
    <w:rsid w:val="360B1E2F"/>
    <w:rsid w:val="360D500F"/>
    <w:rsid w:val="36330424"/>
    <w:rsid w:val="36616FF8"/>
    <w:rsid w:val="36990C8E"/>
    <w:rsid w:val="36DF3716"/>
    <w:rsid w:val="36FE3ABA"/>
    <w:rsid w:val="37072BDE"/>
    <w:rsid w:val="3716321D"/>
    <w:rsid w:val="37252B82"/>
    <w:rsid w:val="37455334"/>
    <w:rsid w:val="37495343"/>
    <w:rsid w:val="376A14D2"/>
    <w:rsid w:val="37731921"/>
    <w:rsid w:val="37E509C0"/>
    <w:rsid w:val="37E96FB8"/>
    <w:rsid w:val="38222D85"/>
    <w:rsid w:val="385D3B87"/>
    <w:rsid w:val="38803721"/>
    <w:rsid w:val="38925A62"/>
    <w:rsid w:val="389F5F4F"/>
    <w:rsid w:val="38C36BA2"/>
    <w:rsid w:val="38F6595C"/>
    <w:rsid w:val="391702A7"/>
    <w:rsid w:val="39286EB6"/>
    <w:rsid w:val="39601DF4"/>
    <w:rsid w:val="39840D35"/>
    <w:rsid w:val="39A239AC"/>
    <w:rsid w:val="39A97DAF"/>
    <w:rsid w:val="39CD1330"/>
    <w:rsid w:val="39D236E8"/>
    <w:rsid w:val="39DD1AFF"/>
    <w:rsid w:val="39EA4612"/>
    <w:rsid w:val="39FC5BB1"/>
    <w:rsid w:val="3A2510B9"/>
    <w:rsid w:val="3A2A2EDD"/>
    <w:rsid w:val="3A2B1DFC"/>
    <w:rsid w:val="3AA6422C"/>
    <w:rsid w:val="3AAF46D5"/>
    <w:rsid w:val="3AB900D5"/>
    <w:rsid w:val="3AE83A19"/>
    <w:rsid w:val="3B135A0E"/>
    <w:rsid w:val="3B272BBC"/>
    <w:rsid w:val="3B374FEE"/>
    <w:rsid w:val="3B4410EE"/>
    <w:rsid w:val="3B56159C"/>
    <w:rsid w:val="3B6F7DF7"/>
    <w:rsid w:val="3B7D732B"/>
    <w:rsid w:val="3B980E56"/>
    <w:rsid w:val="3BD30423"/>
    <w:rsid w:val="3C3A1750"/>
    <w:rsid w:val="3C52359C"/>
    <w:rsid w:val="3C6147F2"/>
    <w:rsid w:val="3C6C0B58"/>
    <w:rsid w:val="3CBE41D5"/>
    <w:rsid w:val="3D305D4F"/>
    <w:rsid w:val="3D446B0E"/>
    <w:rsid w:val="3D953A6B"/>
    <w:rsid w:val="3DA82DB4"/>
    <w:rsid w:val="3DBB2CD5"/>
    <w:rsid w:val="3DBB5979"/>
    <w:rsid w:val="3DF77A50"/>
    <w:rsid w:val="3E1057AF"/>
    <w:rsid w:val="3E6C0DFA"/>
    <w:rsid w:val="3E740322"/>
    <w:rsid w:val="3E7F4380"/>
    <w:rsid w:val="3E8D171B"/>
    <w:rsid w:val="3E8E5574"/>
    <w:rsid w:val="3EA5630D"/>
    <w:rsid w:val="3EBA731B"/>
    <w:rsid w:val="3EFB5800"/>
    <w:rsid w:val="3F3B4E59"/>
    <w:rsid w:val="3F4D1B74"/>
    <w:rsid w:val="3F6E677C"/>
    <w:rsid w:val="3F712F46"/>
    <w:rsid w:val="3F9E1E4C"/>
    <w:rsid w:val="3F9E546D"/>
    <w:rsid w:val="3FBC0EF7"/>
    <w:rsid w:val="3FCD2AB9"/>
    <w:rsid w:val="3FD17600"/>
    <w:rsid w:val="4050218A"/>
    <w:rsid w:val="405C7868"/>
    <w:rsid w:val="407A60D5"/>
    <w:rsid w:val="408B24EB"/>
    <w:rsid w:val="409805E1"/>
    <w:rsid w:val="40AB5373"/>
    <w:rsid w:val="40C90436"/>
    <w:rsid w:val="41220E6C"/>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916667"/>
    <w:rsid w:val="43A31040"/>
    <w:rsid w:val="43BF774E"/>
    <w:rsid w:val="43CD062F"/>
    <w:rsid w:val="43E214F9"/>
    <w:rsid w:val="43F06264"/>
    <w:rsid w:val="43FE1568"/>
    <w:rsid w:val="441F6AAF"/>
    <w:rsid w:val="44404C8E"/>
    <w:rsid w:val="447537F1"/>
    <w:rsid w:val="44795B2A"/>
    <w:rsid w:val="44870D07"/>
    <w:rsid w:val="44C93792"/>
    <w:rsid w:val="44D77AAC"/>
    <w:rsid w:val="45513D03"/>
    <w:rsid w:val="45541E1C"/>
    <w:rsid w:val="45F657C2"/>
    <w:rsid w:val="460713D2"/>
    <w:rsid w:val="46087766"/>
    <w:rsid w:val="461F0A8B"/>
    <w:rsid w:val="4648721E"/>
    <w:rsid w:val="46663E71"/>
    <w:rsid w:val="466A37AC"/>
    <w:rsid w:val="46721FA3"/>
    <w:rsid w:val="46CB071B"/>
    <w:rsid w:val="46CC77BF"/>
    <w:rsid w:val="46DE140B"/>
    <w:rsid w:val="46E4575A"/>
    <w:rsid w:val="46E77334"/>
    <w:rsid w:val="46F22E29"/>
    <w:rsid w:val="46F7142F"/>
    <w:rsid w:val="47107AE3"/>
    <w:rsid w:val="473C62ED"/>
    <w:rsid w:val="47617242"/>
    <w:rsid w:val="478C16C9"/>
    <w:rsid w:val="47AD79CE"/>
    <w:rsid w:val="47BD246B"/>
    <w:rsid w:val="47CB2B0C"/>
    <w:rsid w:val="47E773CE"/>
    <w:rsid w:val="48012BD6"/>
    <w:rsid w:val="48015FF5"/>
    <w:rsid w:val="484C45A4"/>
    <w:rsid w:val="48692CD0"/>
    <w:rsid w:val="4886618B"/>
    <w:rsid w:val="48AE3D01"/>
    <w:rsid w:val="48D9540B"/>
    <w:rsid w:val="48F71942"/>
    <w:rsid w:val="49067B2F"/>
    <w:rsid w:val="494B2274"/>
    <w:rsid w:val="494E5BD4"/>
    <w:rsid w:val="496008AE"/>
    <w:rsid w:val="49677E31"/>
    <w:rsid w:val="496C2225"/>
    <w:rsid w:val="499F2C07"/>
    <w:rsid w:val="49AE2880"/>
    <w:rsid w:val="49D04DE4"/>
    <w:rsid w:val="49F42EAF"/>
    <w:rsid w:val="49F96FB8"/>
    <w:rsid w:val="4A337323"/>
    <w:rsid w:val="4A3679E8"/>
    <w:rsid w:val="4A5B28DC"/>
    <w:rsid w:val="4A845074"/>
    <w:rsid w:val="4AA06B93"/>
    <w:rsid w:val="4ADB18EB"/>
    <w:rsid w:val="4AEB3076"/>
    <w:rsid w:val="4AEE3FFB"/>
    <w:rsid w:val="4AEE5418"/>
    <w:rsid w:val="4B0371D8"/>
    <w:rsid w:val="4B282CAF"/>
    <w:rsid w:val="4B4E7897"/>
    <w:rsid w:val="4B96118E"/>
    <w:rsid w:val="4BAE1B66"/>
    <w:rsid w:val="4BB50541"/>
    <w:rsid w:val="4BED4708"/>
    <w:rsid w:val="4BF133DC"/>
    <w:rsid w:val="4C507D4A"/>
    <w:rsid w:val="4CDF5563"/>
    <w:rsid w:val="4CFB2214"/>
    <w:rsid w:val="4D1A3672"/>
    <w:rsid w:val="4D2C4D26"/>
    <w:rsid w:val="4D335E0E"/>
    <w:rsid w:val="4D4E4EA3"/>
    <w:rsid w:val="4D7A022C"/>
    <w:rsid w:val="4D917E52"/>
    <w:rsid w:val="4D9A5B1B"/>
    <w:rsid w:val="4D9E7067"/>
    <w:rsid w:val="4DA51194"/>
    <w:rsid w:val="4DA55D85"/>
    <w:rsid w:val="4DBB20DB"/>
    <w:rsid w:val="4DD43DBE"/>
    <w:rsid w:val="4DD64F20"/>
    <w:rsid w:val="4DDC3F22"/>
    <w:rsid w:val="4E05655C"/>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242E4"/>
    <w:rsid w:val="4F7379C6"/>
    <w:rsid w:val="4F872183"/>
    <w:rsid w:val="4F872BDB"/>
    <w:rsid w:val="4FA033E9"/>
    <w:rsid w:val="4FA743DA"/>
    <w:rsid w:val="4FB3565A"/>
    <w:rsid w:val="4FC27D66"/>
    <w:rsid w:val="4FE60326"/>
    <w:rsid w:val="4FED77BF"/>
    <w:rsid w:val="500243EC"/>
    <w:rsid w:val="50152D26"/>
    <w:rsid w:val="503D1C79"/>
    <w:rsid w:val="507A6406"/>
    <w:rsid w:val="50853863"/>
    <w:rsid w:val="508A4590"/>
    <w:rsid w:val="509352D9"/>
    <w:rsid w:val="50C92B17"/>
    <w:rsid w:val="50F1461D"/>
    <w:rsid w:val="50FE5411"/>
    <w:rsid w:val="510B072E"/>
    <w:rsid w:val="511B0BF4"/>
    <w:rsid w:val="51264306"/>
    <w:rsid w:val="516123CE"/>
    <w:rsid w:val="51B177A9"/>
    <w:rsid w:val="51CF0D81"/>
    <w:rsid w:val="51E066EB"/>
    <w:rsid w:val="51E84FDE"/>
    <w:rsid w:val="5267570A"/>
    <w:rsid w:val="526A5CB1"/>
    <w:rsid w:val="52707792"/>
    <w:rsid w:val="52A12CDC"/>
    <w:rsid w:val="52AC6530"/>
    <w:rsid w:val="52DF0C92"/>
    <w:rsid w:val="52E1159C"/>
    <w:rsid w:val="52E34D6A"/>
    <w:rsid w:val="531E524E"/>
    <w:rsid w:val="5340332E"/>
    <w:rsid w:val="534072EB"/>
    <w:rsid w:val="53487DC7"/>
    <w:rsid w:val="535D6353"/>
    <w:rsid w:val="538E2D0B"/>
    <w:rsid w:val="538E70D6"/>
    <w:rsid w:val="53902026"/>
    <w:rsid w:val="53922782"/>
    <w:rsid w:val="539C1424"/>
    <w:rsid w:val="53A639C0"/>
    <w:rsid w:val="53F00A24"/>
    <w:rsid w:val="53F63DBA"/>
    <w:rsid w:val="5448624E"/>
    <w:rsid w:val="546E2B1A"/>
    <w:rsid w:val="5482555F"/>
    <w:rsid w:val="549A5EE9"/>
    <w:rsid w:val="54C93027"/>
    <w:rsid w:val="551452C2"/>
    <w:rsid w:val="55363E67"/>
    <w:rsid w:val="554064E9"/>
    <w:rsid w:val="556E6DF7"/>
    <w:rsid w:val="557E36FC"/>
    <w:rsid w:val="55882160"/>
    <w:rsid w:val="559D47CE"/>
    <w:rsid w:val="55BE1959"/>
    <w:rsid w:val="56232437"/>
    <w:rsid w:val="562E59C0"/>
    <w:rsid w:val="56541A75"/>
    <w:rsid w:val="568832FC"/>
    <w:rsid w:val="568C4181"/>
    <w:rsid w:val="56AC2FF1"/>
    <w:rsid w:val="56C20BE3"/>
    <w:rsid w:val="56EE4F2B"/>
    <w:rsid w:val="570725A9"/>
    <w:rsid w:val="5714693E"/>
    <w:rsid w:val="571D0C9C"/>
    <w:rsid w:val="57370527"/>
    <w:rsid w:val="573A16CE"/>
    <w:rsid w:val="577F71A8"/>
    <w:rsid w:val="57862CD0"/>
    <w:rsid w:val="579C7F80"/>
    <w:rsid w:val="57B30D7C"/>
    <w:rsid w:val="57E47724"/>
    <w:rsid w:val="58166B03"/>
    <w:rsid w:val="583E3C94"/>
    <w:rsid w:val="585E7D84"/>
    <w:rsid w:val="58721734"/>
    <w:rsid w:val="58900246"/>
    <w:rsid w:val="58977358"/>
    <w:rsid w:val="58CC07E6"/>
    <w:rsid w:val="58D53944"/>
    <w:rsid w:val="58D65478"/>
    <w:rsid w:val="58F52487"/>
    <w:rsid w:val="58F778BC"/>
    <w:rsid w:val="590422E6"/>
    <w:rsid w:val="592257E5"/>
    <w:rsid w:val="59655E33"/>
    <w:rsid w:val="598E2C4C"/>
    <w:rsid w:val="59A044B9"/>
    <w:rsid w:val="59CF5BD9"/>
    <w:rsid w:val="59E20C3C"/>
    <w:rsid w:val="59EC0196"/>
    <w:rsid w:val="5A1D5B0A"/>
    <w:rsid w:val="5A3B4B4E"/>
    <w:rsid w:val="5A4804CA"/>
    <w:rsid w:val="5A53303E"/>
    <w:rsid w:val="5A594C85"/>
    <w:rsid w:val="5A7D649E"/>
    <w:rsid w:val="5AEB1E3C"/>
    <w:rsid w:val="5B2507CA"/>
    <w:rsid w:val="5B2A474A"/>
    <w:rsid w:val="5B423D09"/>
    <w:rsid w:val="5B830730"/>
    <w:rsid w:val="5B871C49"/>
    <w:rsid w:val="5B925F49"/>
    <w:rsid w:val="5BA557F4"/>
    <w:rsid w:val="5BBB2DD6"/>
    <w:rsid w:val="5BE263B6"/>
    <w:rsid w:val="5C653B42"/>
    <w:rsid w:val="5C8E5C5A"/>
    <w:rsid w:val="5C965E61"/>
    <w:rsid w:val="5CA76AD9"/>
    <w:rsid w:val="5CC069BB"/>
    <w:rsid w:val="5CEC2D02"/>
    <w:rsid w:val="5D242A11"/>
    <w:rsid w:val="5D9217C2"/>
    <w:rsid w:val="5DAD06BF"/>
    <w:rsid w:val="5DBB3FB7"/>
    <w:rsid w:val="5DC30B65"/>
    <w:rsid w:val="5DE23CB3"/>
    <w:rsid w:val="5DE97EEC"/>
    <w:rsid w:val="5DF125B0"/>
    <w:rsid w:val="5DF43138"/>
    <w:rsid w:val="5DFA5EB0"/>
    <w:rsid w:val="5E0B583E"/>
    <w:rsid w:val="5E1C51EC"/>
    <w:rsid w:val="5E201A7B"/>
    <w:rsid w:val="5E9807BF"/>
    <w:rsid w:val="5EBD0484"/>
    <w:rsid w:val="5F2C5C7C"/>
    <w:rsid w:val="5F9451DF"/>
    <w:rsid w:val="5FB178BE"/>
    <w:rsid w:val="5FC5273F"/>
    <w:rsid w:val="60806DF2"/>
    <w:rsid w:val="61072DA5"/>
    <w:rsid w:val="611C0817"/>
    <w:rsid w:val="61224A52"/>
    <w:rsid w:val="613E3F16"/>
    <w:rsid w:val="614D672E"/>
    <w:rsid w:val="61520CCB"/>
    <w:rsid w:val="61851A29"/>
    <w:rsid w:val="61C5142C"/>
    <w:rsid w:val="61FD4A83"/>
    <w:rsid w:val="621873A5"/>
    <w:rsid w:val="62246792"/>
    <w:rsid w:val="622D1522"/>
    <w:rsid w:val="622E0574"/>
    <w:rsid w:val="62683B6B"/>
    <w:rsid w:val="62980CCF"/>
    <w:rsid w:val="62AC5944"/>
    <w:rsid w:val="63080089"/>
    <w:rsid w:val="632731DA"/>
    <w:rsid w:val="637279B4"/>
    <w:rsid w:val="637B25C6"/>
    <w:rsid w:val="63817D2B"/>
    <w:rsid w:val="638A155C"/>
    <w:rsid w:val="63AE2A15"/>
    <w:rsid w:val="63BD1FA9"/>
    <w:rsid w:val="63C1205A"/>
    <w:rsid w:val="63D27965"/>
    <w:rsid w:val="63FF063D"/>
    <w:rsid w:val="64095516"/>
    <w:rsid w:val="64176BC2"/>
    <w:rsid w:val="641A2468"/>
    <w:rsid w:val="64372F20"/>
    <w:rsid w:val="64DC72D7"/>
    <w:rsid w:val="653113E3"/>
    <w:rsid w:val="653619A6"/>
    <w:rsid w:val="65610A02"/>
    <w:rsid w:val="659473B3"/>
    <w:rsid w:val="65A11EA3"/>
    <w:rsid w:val="65AC3D66"/>
    <w:rsid w:val="65BB5334"/>
    <w:rsid w:val="65F31CC4"/>
    <w:rsid w:val="663E1DBA"/>
    <w:rsid w:val="665D0213"/>
    <w:rsid w:val="66770DF2"/>
    <w:rsid w:val="66903148"/>
    <w:rsid w:val="669E59F1"/>
    <w:rsid w:val="66A2024B"/>
    <w:rsid w:val="66D03E18"/>
    <w:rsid w:val="66EA4BA0"/>
    <w:rsid w:val="66ED76A6"/>
    <w:rsid w:val="6704732B"/>
    <w:rsid w:val="670F6731"/>
    <w:rsid w:val="67217E3E"/>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023BD7"/>
    <w:rsid w:val="69257FA7"/>
    <w:rsid w:val="692C7858"/>
    <w:rsid w:val="693711B0"/>
    <w:rsid w:val="693F26C7"/>
    <w:rsid w:val="697E12B2"/>
    <w:rsid w:val="69C8706D"/>
    <w:rsid w:val="69E25443"/>
    <w:rsid w:val="6A0147CA"/>
    <w:rsid w:val="6A0E3FB4"/>
    <w:rsid w:val="6A292754"/>
    <w:rsid w:val="6A5E3B28"/>
    <w:rsid w:val="6A6B1EBE"/>
    <w:rsid w:val="6A755CB7"/>
    <w:rsid w:val="6A8F43F7"/>
    <w:rsid w:val="6ABA6371"/>
    <w:rsid w:val="6ABF79B7"/>
    <w:rsid w:val="6AD625F3"/>
    <w:rsid w:val="6B5F25EA"/>
    <w:rsid w:val="6B750BA9"/>
    <w:rsid w:val="6BA505A7"/>
    <w:rsid w:val="6BB93285"/>
    <w:rsid w:val="6BC339B8"/>
    <w:rsid w:val="6C0C698C"/>
    <w:rsid w:val="6C222401"/>
    <w:rsid w:val="6C2C14E7"/>
    <w:rsid w:val="6C380117"/>
    <w:rsid w:val="6C56267F"/>
    <w:rsid w:val="6C826EF9"/>
    <w:rsid w:val="6CAE4C93"/>
    <w:rsid w:val="6CBF6AF6"/>
    <w:rsid w:val="6D0B1869"/>
    <w:rsid w:val="6D65402D"/>
    <w:rsid w:val="6D683822"/>
    <w:rsid w:val="6D717C1E"/>
    <w:rsid w:val="6D8220B7"/>
    <w:rsid w:val="6D8D136C"/>
    <w:rsid w:val="6DBF2759"/>
    <w:rsid w:val="6DC96F36"/>
    <w:rsid w:val="6DD10452"/>
    <w:rsid w:val="6DFA3EBF"/>
    <w:rsid w:val="6E3E63D2"/>
    <w:rsid w:val="6E5F7BE6"/>
    <w:rsid w:val="6E6918C6"/>
    <w:rsid w:val="6E8E495B"/>
    <w:rsid w:val="6E9A5102"/>
    <w:rsid w:val="6EEB4AC4"/>
    <w:rsid w:val="6F212DD6"/>
    <w:rsid w:val="6F3B5912"/>
    <w:rsid w:val="6F3D39F1"/>
    <w:rsid w:val="6FA14A81"/>
    <w:rsid w:val="6FA3261F"/>
    <w:rsid w:val="6FA6433B"/>
    <w:rsid w:val="6FBA5815"/>
    <w:rsid w:val="6FC203E7"/>
    <w:rsid w:val="700D6539"/>
    <w:rsid w:val="704203E3"/>
    <w:rsid w:val="7058046B"/>
    <w:rsid w:val="706C0880"/>
    <w:rsid w:val="7075370E"/>
    <w:rsid w:val="707F2079"/>
    <w:rsid w:val="70922734"/>
    <w:rsid w:val="70CE6DC7"/>
    <w:rsid w:val="70D624AE"/>
    <w:rsid w:val="710B3646"/>
    <w:rsid w:val="71156C43"/>
    <w:rsid w:val="711759F2"/>
    <w:rsid w:val="713C4ED8"/>
    <w:rsid w:val="71407642"/>
    <w:rsid w:val="71641210"/>
    <w:rsid w:val="71D95B7C"/>
    <w:rsid w:val="71EA6A50"/>
    <w:rsid w:val="71EC42C1"/>
    <w:rsid w:val="71FE31A8"/>
    <w:rsid w:val="721F6113"/>
    <w:rsid w:val="7233782C"/>
    <w:rsid w:val="724D5513"/>
    <w:rsid w:val="72F0059F"/>
    <w:rsid w:val="73177841"/>
    <w:rsid w:val="733774FE"/>
    <w:rsid w:val="735A1C98"/>
    <w:rsid w:val="73617E1B"/>
    <w:rsid w:val="736D7653"/>
    <w:rsid w:val="738035CB"/>
    <w:rsid w:val="73861F99"/>
    <w:rsid w:val="7396335C"/>
    <w:rsid w:val="73F46595"/>
    <w:rsid w:val="74090111"/>
    <w:rsid w:val="741C4F2A"/>
    <w:rsid w:val="741C7D0C"/>
    <w:rsid w:val="74283FA2"/>
    <w:rsid w:val="742C135B"/>
    <w:rsid w:val="743024C8"/>
    <w:rsid w:val="74463733"/>
    <w:rsid w:val="748507EA"/>
    <w:rsid w:val="748A2F40"/>
    <w:rsid w:val="74A137E9"/>
    <w:rsid w:val="74F85778"/>
    <w:rsid w:val="74FD067F"/>
    <w:rsid w:val="75272439"/>
    <w:rsid w:val="75580E99"/>
    <w:rsid w:val="758F1E9B"/>
    <w:rsid w:val="75CE266B"/>
    <w:rsid w:val="75CF01A8"/>
    <w:rsid w:val="76120141"/>
    <w:rsid w:val="761F61D8"/>
    <w:rsid w:val="765C3ABF"/>
    <w:rsid w:val="765D5CBD"/>
    <w:rsid w:val="76B26248"/>
    <w:rsid w:val="76C23B43"/>
    <w:rsid w:val="76FD6F97"/>
    <w:rsid w:val="770218E8"/>
    <w:rsid w:val="77857A39"/>
    <w:rsid w:val="77C875A5"/>
    <w:rsid w:val="784654D3"/>
    <w:rsid w:val="787A05B6"/>
    <w:rsid w:val="78A11737"/>
    <w:rsid w:val="78A27DF6"/>
    <w:rsid w:val="78F461E9"/>
    <w:rsid w:val="79285B3A"/>
    <w:rsid w:val="79625CA9"/>
    <w:rsid w:val="796A5940"/>
    <w:rsid w:val="79A91196"/>
    <w:rsid w:val="79F5251F"/>
    <w:rsid w:val="7A0B32D3"/>
    <w:rsid w:val="7A32318A"/>
    <w:rsid w:val="7A550DC0"/>
    <w:rsid w:val="7AC13CD3"/>
    <w:rsid w:val="7ACD133D"/>
    <w:rsid w:val="7AD33C0D"/>
    <w:rsid w:val="7AE10264"/>
    <w:rsid w:val="7B086EDB"/>
    <w:rsid w:val="7B4A207F"/>
    <w:rsid w:val="7B936F45"/>
    <w:rsid w:val="7BA47419"/>
    <w:rsid w:val="7BB10D45"/>
    <w:rsid w:val="7BB44151"/>
    <w:rsid w:val="7BDC0F74"/>
    <w:rsid w:val="7BEC320B"/>
    <w:rsid w:val="7BF82951"/>
    <w:rsid w:val="7C1D61AE"/>
    <w:rsid w:val="7C3307AB"/>
    <w:rsid w:val="7C343BD5"/>
    <w:rsid w:val="7C656A39"/>
    <w:rsid w:val="7C6E21F1"/>
    <w:rsid w:val="7CB93996"/>
    <w:rsid w:val="7CBE0F99"/>
    <w:rsid w:val="7D4E45F1"/>
    <w:rsid w:val="7D733448"/>
    <w:rsid w:val="7D8D510B"/>
    <w:rsid w:val="7DFB6D82"/>
    <w:rsid w:val="7E1D71D1"/>
    <w:rsid w:val="7E246254"/>
    <w:rsid w:val="7E5F1BE0"/>
    <w:rsid w:val="7E6D090F"/>
    <w:rsid w:val="7E6E3E8D"/>
    <w:rsid w:val="7ECC66B2"/>
    <w:rsid w:val="7EF015E4"/>
    <w:rsid w:val="7F087006"/>
    <w:rsid w:val="7F833169"/>
    <w:rsid w:val="7F962F62"/>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7"/>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unhideWhenUsed/>
    <w:qFormat/>
    <w:uiPriority w:val="1"/>
  </w:style>
  <w:style w:type="table" w:default="1" w:styleId="15">
    <w:name w:val="Normal Table"/>
    <w:unhideWhenUsed/>
    <w:qFormat/>
    <w:uiPriority w:val="99"/>
    <w:tblPr>
      <w:tblLayout w:type="fixed"/>
      <w:tblCellMar>
        <w:top w:w="0" w:type="dxa"/>
        <w:left w:w="108" w:type="dxa"/>
        <w:bottom w:w="0" w:type="dxa"/>
        <w:right w:w="108" w:type="dxa"/>
      </w:tblCellMar>
    </w:tblPr>
  </w:style>
  <w:style w:type="paragraph" w:styleId="2">
    <w:name w:val="Normal Indent"/>
    <w:basedOn w:val="1"/>
    <w:next w:val="3"/>
    <w:unhideWhenUsed/>
    <w:qFormat/>
    <w:uiPriority w:val="99"/>
    <w:pPr>
      <w:ind w:firstLine="420" w:firstLineChars="200"/>
    </w:pPr>
    <w:rPr>
      <w:rFonts w:eastAsia="仿宋_GB2312"/>
      <w:sz w:val="30"/>
    </w:rPr>
  </w:style>
  <w:style w:type="paragraph" w:styleId="3">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8">
    <w:name w:val="annotation text"/>
    <w:basedOn w:val="1"/>
    <w:unhideWhenUsed/>
    <w:qFormat/>
    <w:uiPriority w:val="99"/>
    <w:pPr>
      <w:jc w:val="left"/>
    </w:pPr>
  </w:style>
  <w:style w:type="paragraph" w:styleId="9">
    <w:name w:val="Balloon Text"/>
    <w:basedOn w:val="1"/>
    <w:link w:val="26"/>
    <w:unhideWhenUsed/>
    <w:qFormat/>
    <w:uiPriority w:val="99"/>
    <w:rPr>
      <w:rFonts w:cstheme="minorBidi"/>
      <w:kern w:val="2"/>
      <w:sz w:val="18"/>
      <w:szCs w:val="18"/>
    </w:rPr>
  </w:style>
  <w:style w:type="paragraph" w:styleId="10">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unhideWhenUsed/>
    <w:qFormat/>
    <w:uiPriority w:val="99"/>
    <w:pPr>
      <w:spacing w:before="0" w:beforeAutospacing="1" w:after="0" w:afterAutospacing="1"/>
      <w:ind w:left="0" w:right="0"/>
      <w:jc w:val="left"/>
    </w:pPr>
    <w:rPr>
      <w:kern w:val="0"/>
      <w:sz w:val="24"/>
      <w:lang w:val="en-US" w:eastAsia="zh-CN" w:bidi="ar"/>
    </w:rPr>
  </w:style>
  <w:style w:type="character" w:styleId="14">
    <w:name w:val="Strong"/>
    <w:basedOn w:val="13"/>
    <w:qFormat/>
    <w:uiPriority w:val="22"/>
    <w:rPr>
      <w:b/>
    </w:rPr>
  </w:style>
  <w:style w:type="table" w:styleId="16">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7">
    <w:name w:val="标题 2 Char"/>
    <w:link w:val="5"/>
    <w:qFormat/>
    <w:uiPriority w:val="0"/>
    <w:rPr>
      <w:rFonts w:ascii="Calibri Light" w:hAnsi="Calibri Light" w:eastAsia="宋体" w:cs="Times New Roman"/>
      <w:b/>
      <w:bCs/>
      <w:sz w:val="28"/>
      <w:szCs w:val="32"/>
    </w:rPr>
  </w:style>
  <w:style w:type="character" w:customStyle="1" w:styleId="18">
    <w:name w:val="页脚 Char"/>
    <w:basedOn w:val="13"/>
    <w:link w:val="10"/>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3"/>
    <w:link w:val="11"/>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3"/>
    <w:link w:val="9"/>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9072.62</c:v>
                </c:pt>
                <c:pt idx="1">
                  <c:v>9856.23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578521381976323"/>
          <c:y val="0.00956226094347641"/>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t>财政拨款收入9</a:t>
                    </a:r>
                    <a:r>
                      <a:rPr lang="en-US" altLang="zh-CN"/>
                      <a:t>3.9</a:t>
                    </a:r>
                    <a:r>
                      <a:t>%</a:t>
                    </a:r>
                  </a:p>
                </c:rich>
              </c:tx>
              <c:dLblPos val="bestFit"/>
              <c:showLegendKey val="1"/>
              <c:showVal val="0"/>
              <c:showCatName val="1"/>
              <c:showSerName val="0"/>
              <c:showPercent val="1"/>
              <c:showBubbleSize val="0"/>
              <c:separator>
</c:separator>
              <c:extLst>
                <c:ext xmlns:c15="http://schemas.microsoft.com/office/drawing/2012/chart" uri="{CE6537A1-D6FC-4f65-9D91-7224C49458BB}"/>
              </c:extLst>
            </c:dLbl>
            <c:dLbl>
              <c:idx val="1"/>
              <c:layout>
                <c:manualLayout>
                  <c:x val="0.0379442157165647"/>
                  <c:y val="-0.034004581113505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18601003973498"/>
                  <c:y val="-0.026142277671091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551798877618522"/>
                  <c:y val="0.085629928023766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23428712490806"/>
                  <c:y val="0.06518080315054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161820404744822"/>
                  <c:y val="0.175972043853009"/>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t>其他收入6</a:t>
                    </a:r>
                    <a:r>
                      <a:rPr lang="en-US" altLang="zh-CN"/>
                      <a:t>.1</a:t>
                    </a:r>
                    <a:r>
                      <a:t>%</a:t>
                    </a:r>
                  </a:p>
                </c:rich>
              </c:tx>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92509825.86</c:v>
                </c:pt>
                <c:pt idx="1">
                  <c:v>0</c:v>
                </c:pt>
                <c:pt idx="2">
                  <c:v>0</c:v>
                </c:pt>
                <c:pt idx="3">
                  <c:v>0</c:v>
                </c:pt>
                <c:pt idx="4">
                  <c:v>0</c:v>
                </c:pt>
                <c:pt idx="5">
                  <c:v>6000000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553756946122252"/>
          <c:y val="0.0296341712650726"/>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t>基本支出17</a:t>
                    </a:r>
                    <a:r>
                      <a:rPr lang="en-US" altLang="zh-CN"/>
                      <a:t>.2</a:t>
                    </a:r>
                    <a:r>
                      <a:t>%</a:t>
                    </a:r>
                  </a:p>
                </c:rich>
              </c:tx>
              <c:dLblPos val="bestFit"/>
              <c:showLegendKey val="1"/>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t>项目支出8</a:t>
                    </a:r>
                    <a:r>
                      <a:rPr lang="en-US" altLang="zh-CN"/>
                      <a:t>2.8</a:t>
                    </a:r>
                    <a:r>
                      <a:t>%</a:t>
                    </a:r>
                  </a:p>
                </c:rich>
              </c:tx>
              <c:dLblPos val="bestFit"/>
              <c:showLegendKey val="1"/>
              <c:showVal val="0"/>
              <c:showCatName val="1"/>
              <c:showSerName val="0"/>
              <c:showPercent val="1"/>
              <c:showBubbleSize val="0"/>
              <c:separator>
</c:separator>
              <c:extLst>
                <c:ext xmlns:c15="http://schemas.microsoft.com/office/drawing/2012/chart" uri="{CE6537A1-D6FC-4f65-9D91-7224C49458BB}"/>
              </c:extLst>
            </c:dLbl>
            <c:dLbl>
              <c:idx val="2"/>
              <c:layout>
                <c:manualLayout>
                  <c:x val="0.0211403720705484"/>
                  <c:y val="-0.045984058859595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26842232423291"/>
                  <c:y val="0.028203556100551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47982604493839"/>
                  <c:y val="0.066421418352748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16968860.37</c:v>
                </c:pt>
                <c:pt idx="1">
                  <c:v>81545010.19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manualLayout>
          <c:xMode val="edge"/>
          <c:yMode val="edge"/>
          <c:x val="0.209350084561488"/>
          <c:y val="0.0174245643858904"/>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dLbl>
              <c:idx val="0"/>
              <c:layout>
                <c:manualLayout>
                  <c:x val="-0.0227107997100749"/>
                  <c:y val="-0.042498937526561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8120318917613"/>
                  <c:y val="-0.026561835954101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271804783764194"/>
                  <c:y val="-0.0078623034424139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11403720705484"/>
                  <c:y val="0.0053123671908202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9033.53</c:v>
                </c:pt>
                <c:pt idx="1">
                  <c:v>9042.4</c:v>
                </c:pt>
                <c:pt idx="2">
                  <c:v>3623.1</c:v>
                </c:pt>
                <c:pt idx="3">
                  <c:v>3631.97</c:v>
                </c:pt>
                <c:pt idx="4">
                  <c:v>5410.43</c:v>
                </c:pt>
                <c:pt idx="5">
                  <c:v>5410.43</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00906015945880648"/>
                  <c:y val="0.0053123671908202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785213819763228"/>
                  <c:y val="0.013174670633234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716107097322567"/>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13529838125151"/>
                  <c:y val="-0.10348491287717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62406378352259"/>
                  <c:y val="-0.047811304717382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800918096158492"/>
                  <c:y val="0.0053123671908202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9250.98</c:v>
                </c:pt>
                <c:pt idx="1">
                  <c:v>9251.39</c:v>
                </c:pt>
                <c:pt idx="2">
                  <c:v>3569.7</c:v>
                </c:pt>
                <c:pt idx="3">
                  <c:v>3570.11</c:v>
                </c:pt>
                <c:pt idx="4">
                  <c:v>5681.28</c:v>
                </c:pt>
                <c:pt idx="5">
                  <c:v>5681.28</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3278569702827"/>
          <c:y val="0.144942253940594"/>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dLbl>
              <c:idx val="1"/>
              <c:layout>
                <c:manualLayout>
                  <c:x val="0.0241604252234839"/>
                  <c:y val="-0.017733387688544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106305870983329"/>
                  <c:y val="-0.01263758662861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906015945880648"/>
                  <c:y val="-0.015287403179779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302005315293549"/>
                  <c:y val="-0.030778638401956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498912780864943"/>
                  <c:y val="-0.0026498165511618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10176.26</c:v>
                </c:pt>
                <c:pt idx="1">
                  <c:v>10176.26</c:v>
                </c:pt>
                <c:pt idx="2">
                  <c:v>2809.89</c:v>
                </c:pt>
                <c:pt idx="3">
                  <c:v>2809.89</c:v>
                </c:pt>
                <c:pt idx="4">
                  <c:v>7366.37</c:v>
                </c:pt>
                <c:pt idx="5">
                  <c:v>7366.37</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271804783764194"/>
                  <c:y val="-0.0050958010599266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37303696545059"/>
                  <c:y val="0"/>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02005315293549"/>
                  <c:y val="-0.0332246229107216"/>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04010630587098"/>
                  <c:y val="-0.04076640847941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271804783764194"/>
                  <c:y val="-0.050958010599266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378110654747524"/>
                  <c:y val="-0.007541785568691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9250.98</c:v>
                </c:pt>
                <c:pt idx="1">
                  <c:v>9251.39</c:v>
                </c:pt>
                <c:pt idx="2">
                  <c:v>3569.7</c:v>
                </c:pt>
                <c:pt idx="3">
                  <c:v>3570.11</c:v>
                </c:pt>
                <c:pt idx="4">
                  <c:v>5681.28</c:v>
                </c:pt>
                <c:pt idx="5">
                  <c:v>5681.28</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0775549649673834"/>
          <c:y val="0.0229494262643434"/>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Lbl>
              <c:idx val="6"/>
              <c:layout>
                <c:manualLayout>
                  <c:x val="0.030571949162729"/>
                  <c:y val="-0.059963320902006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14141512194356"/>
                  <c:y val="-0.0099337724849840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48567508768905"/>
                  <c:y val="-0.0550265704793845"/>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504619700865865"/>
                  <c:y val="0.045648664433945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6"/>
              <c:layout>
                <c:manualLayout>
                  <c:x val="0.0822102260317161"/>
                  <c:y val="0.0988824674895592"/>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0711524522831602"/>
                      <c:h val="0.0641733956651084"/>
                    </c:manualLayout>
                  </c15:layout>
                </c:ext>
              </c:extLst>
            </c:dLbl>
            <c:dLbl>
              <c:idx val="17"/>
              <c:layout>
                <c:manualLayout>
                  <c:x val="-0.0479814506341977"/>
                  <c:y val="0.087990995259920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8"/>
              <c:layout>
                <c:manualLayout>
                  <c:x val="-0.0147608659519073"/>
                  <c:y val="0.0535668558634058"/>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9"/>
              <c:layout>
                <c:manualLayout>
                  <c:x val="-0.0389212911753912"/>
                  <c:y val="0.027005019909304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18</c:v>
                </c:pt>
                <c:pt idx="1">
                  <c:v>766</c:v>
                </c:pt>
                <c:pt idx="2">
                  <c:v>0</c:v>
                </c:pt>
                <c:pt idx="3">
                  <c:v>0</c:v>
                </c:pt>
                <c:pt idx="4">
                  <c:v>0</c:v>
                </c:pt>
                <c:pt idx="5">
                  <c:v>2171.95</c:v>
                </c:pt>
                <c:pt idx="6">
                  <c:v>420.51</c:v>
                </c:pt>
                <c:pt idx="7">
                  <c:v>70.5</c:v>
                </c:pt>
                <c:pt idx="8">
                  <c:v>0</c:v>
                </c:pt>
                <c:pt idx="9">
                  <c:v>77.73</c:v>
                </c:pt>
                <c:pt idx="10">
                  <c:v>0</c:v>
                </c:pt>
                <c:pt idx="11">
                  <c:v>0</c:v>
                </c:pt>
                <c:pt idx="12">
                  <c:v>0</c:v>
                </c:pt>
                <c:pt idx="13">
                  <c:v>0</c:v>
                </c:pt>
                <c:pt idx="14">
                  <c:v>0</c:v>
                </c:pt>
                <c:pt idx="15">
                  <c:v>0</c:v>
                </c:pt>
                <c:pt idx="16">
                  <c:v>98.4</c:v>
                </c:pt>
                <c:pt idx="17">
                  <c:v>0</c:v>
                </c:pt>
                <c:pt idx="18">
                  <c:v>0</c:v>
                </c:pt>
                <c:pt idx="19">
                  <c:v>0</c:v>
                </c:pt>
                <c:pt idx="20">
                  <c:v>4589</c:v>
                </c:pt>
                <c:pt idx="21">
                  <c:v>1039.3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710799710074897"/>
          <c:y val="0.0257118572035699"/>
          <c:w val="0.274704034791012"/>
          <c:h val="0.96791330216744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ScaleCrop>false</ScaleCrop>
  <LinksUpToDate>false</LinksUpToDate>
  <CharactersWithSpaces>35311</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2025-05-08T07:36:22Z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