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石家庄市鹿泉区农业农村局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石家庄市鹿泉区农业农村</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部门职能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统筹研究和组织实施全区“三农”工作的发展战略、中长期规划、重大政策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负责全区农业综合执法</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协调推动发展全区农村社会事业、农村公共服务、农村文化、农村基础设施和乡村治理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拟订区级深化农村经济体制改革和巩固完善农村基本经营制度的政策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指导全区乡村产业、农产品加工业和休闲农业发展工作</w:t>
      </w:r>
      <w:r>
        <w:rPr>
          <w:rFonts w:hint="eastAsia" w:ascii="仿宋_GB2312" w:hAnsi="仿宋_GB2312" w:eastAsia="仿宋_GB2312" w:cs="仿宋_GB2312"/>
          <w:bCs/>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负责全区种植业、畜牧业、渔业、农垦、农业机械化等农业各产业的监督管理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负责全区农产品质量安全监督管理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负责全区农业资源保护、开发与利用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负责有关农业生产资料和农业投入品的监督管理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负责农业防灾减灾、农作物重大病虫害预测预报及防治工作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负责农业投资管理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推动农业科技体制改革和农业科技创新体系建设</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负责农业农村人才工作。牵头开展农业对外合作工作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完成区委、区政府和区委农村工作领导小组交办的其他任务。</w:t>
      </w:r>
    </w:p>
    <w:p>
      <w:pPr>
        <w:adjustRightInd w:val="0"/>
        <w:snapToGrid w:val="0"/>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机构设置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区农业农村局</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内设办公室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农村社会事业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发展规划</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农产品质量安全监督管理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种植业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畜牧水产</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医政药政与饲料</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（畜禽定点屠宰管理办公室）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项目监督与农田建设管理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（农业机械化管理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、区委农办秘书股、乡村振兴股。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下属</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lang w:eastAsia="zh-CN"/>
        </w:rPr>
        <w:t>个事业单位：石家庄市鹿泉区农业经济经营管理站、石家庄市鹿泉区乡村振兴服务中心、石家庄市鹿泉区农业行政综合执法大队、石家庄市鹿泉区动物疫病预防控制中心、石家庄市鹿泉区动物卫生监督所、石家庄市鹿泉区农业产业化服务中心、石家庄市鹿泉区农业机械化技术推广站、石家庄市鹿泉区农产品综合质检站、石家庄市鹿泉区农业技术推广中心、石家庄市鹿泉区农机安全监理站、石家庄市鹿泉区新能源服务中心、河北省农业广播电视学校石家庄市鹿泉区分校、石家庄市鹿泉区植物保护检疫站、石家庄市鹿泉区水产技术推广中心、石家庄市鹿泉区气象灾害防御中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年预算收入</w:t>
      </w:r>
      <w:r>
        <w:rPr>
          <w:rFonts w:hint="eastAsia" w:ascii="仿宋_GB2312" w:hAnsi="仿宋_GB2312" w:eastAsia="仿宋_GB2312" w:cs="仿宋_GB2312"/>
          <w:bCs/>
          <w:sz w:val="32"/>
          <w:szCs w:val="32"/>
          <w:lang w:val="en-US" w:eastAsia="zh-CN"/>
        </w:rPr>
        <w:t>29671.65</w:t>
      </w:r>
      <w:r>
        <w:rPr>
          <w:rFonts w:hint="eastAsia" w:ascii="仿宋_GB2312" w:hAnsi="仿宋_GB2312" w:eastAsia="仿宋_GB2312" w:cs="仿宋_GB2312"/>
          <w:bCs/>
          <w:sz w:val="32"/>
          <w:szCs w:val="32"/>
        </w:rPr>
        <w:t>万元，其中：公共预算收入1</w:t>
      </w:r>
      <w:r>
        <w:rPr>
          <w:rFonts w:hint="eastAsia" w:ascii="仿宋_GB2312" w:hAnsi="仿宋_GB2312" w:eastAsia="仿宋_GB2312" w:cs="仿宋_GB2312"/>
          <w:bCs/>
          <w:sz w:val="32"/>
          <w:szCs w:val="32"/>
          <w:lang w:val="en-US" w:eastAsia="zh-CN"/>
        </w:rPr>
        <w:t>3064.53</w:t>
      </w:r>
      <w:r>
        <w:rPr>
          <w:rFonts w:hint="eastAsia" w:ascii="仿宋_GB2312" w:hAnsi="仿宋_GB2312" w:eastAsia="仿宋_GB2312" w:cs="仿宋_GB2312"/>
          <w:bCs/>
          <w:sz w:val="32"/>
          <w:szCs w:val="32"/>
        </w:rPr>
        <w:t>万元，基金预算收入</w:t>
      </w:r>
      <w:r>
        <w:rPr>
          <w:rFonts w:hint="eastAsia" w:ascii="仿宋_GB2312" w:hAnsi="仿宋_GB2312" w:eastAsia="仿宋_GB2312" w:cs="仿宋_GB2312"/>
          <w:bCs/>
          <w:sz w:val="32"/>
          <w:szCs w:val="32"/>
          <w:lang w:val="en-US" w:eastAsia="zh-CN"/>
        </w:rPr>
        <w:t>16107.52</w:t>
      </w:r>
      <w:r>
        <w:rPr>
          <w:rFonts w:hint="eastAsia" w:ascii="仿宋_GB2312" w:hAnsi="仿宋_GB2312" w:eastAsia="仿宋_GB2312" w:cs="仿宋_GB2312"/>
          <w:bCs/>
          <w:sz w:val="32"/>
          <w:szCs w:val="32"/>
        </w:rPr>
        <w:t>万元，</w:t>
      </w:r>
      <w:r>
        <w:rPr>
          <w:rFonts w:hint="eastAsia" w:ascii="仿宋_GB2312" w:hAnsi="仿宋_GB2312" w:eastAsia="仿宋_GB2312" w:cs="仿宋_GB2312"/>
          <w:bCs/>
          <w:sz w:val="32"/>
          <w:szCs w:val="32"/>
          <w:lang w:eastAsia="zh-CN"/>
        </w:rPr>
        <w:t>其他收入</w:t>
      </w:r>
      <w:r>
        <w:rPr>
          <w:rFonts w:hint="eastAsia" w:ascii="仿宋_GB2312" w:hAnsi="仿宋_GB2312" w:eastAsia="仿宋_GB2312" w:cs="仿宋_GB2312"/>
          <w:bCs/>
          <w:sz w:val="32"/>
          <w:szCs w:val="32"/>
          <w:lang w:val="en-US" w:eastAsia="zh-CN"/>
        </w:rPr>
        <w:t>500万元，</w:t>
      </w:r>
      <w:r>
        <w:rPr>
          <w:rFonts w:hint="eastAsia" w:ascii="仿宋_GB2312" w:hAnsi="仿宋_GB2312" w:eastAsia="仿宋_GB2312" w:cs="仿宋_GB2312"/>
          <w:bCs/>
          <w:sz w:val="32"/>
          <w:szCs w:val="32"/>
        </w:rPr>
        <w:t>上年结转</w:t>
      </w:r>
      <w:r>
        <w:rPr>
          <w:rFonts w:hint="eastAsia" w:ascii="仿宋_GB2312" w:hAnsi="仿宋_GB2312" w:eastAsia="仿宋_GB2312" w:cs="仿宋_GB2312"/>
          <w:bCs/>
          <w:sz w:val="32"/>
          <w:szCs w:val="32"/>
          <w:lang w:val="en-US" w:eastAsia="zh-CN"/>
        </w:rPr>
        <w:t>21.80</w:t>
      </w:r>
      <w:r>
        <w:rPr>
          <w:rFonts w:hint="eastAsia" w:ascii="仿宋_GB2312" w:hAnsi="仿宋_GB2312" w:eastAsia="仿宋_GB2312" w:cs="仿宋_GB2312"/>
          <w:bCs/>
          <w:sz w:val="32"/>
          <w:szCs w:val="32"/>
        </w:rPr>
        <w:t>万元。202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年支出预算</w:t>
      </w:r>
      <w:r>
        <w:rPr>
          <w:rFonts w:hint="eastAsia" w:ascii="仿宋_GB2312" w:hAnsi="仿宋_GB2312" w:eastAsia="仿宋_GB2312" w:cs="仿宋_GB2312"/>
          <w:bCs/>
          <w:sz w:val="32"/>
          <w:szCs w:val="32"/>
          <w:lang w:val="en-US" w:eastAsia="zh-CN"/>
        </w:rPr>
        <w:t>29175.16</w:t>
      </w:r>
      <w:r>
        <w:rPr>
          <w:rFonts w:hint="eastAsia" w:ascii="仿宋_GB2312" w:hAnsi="仿宋_GB2312" w:eastAsia="仿宋_GB2312" w:cs="仿宋_GB2312"/>
          <w:bCs/>
          <w:sz w:val="32"/>
          <w:szCs w:val="32"/>
        </w:rPr>
        <w:t>万元，其中基本支出</w:t>
      </w:r>
      <w:r>
        <w:rPr>
          <w:rFonts w:hint="eastAsia" w:ascii="仿宋_GB2312" w:hAnsi="仿宋_GB2312" w:eastAsia="仿宋_GB2312" w:cs="仿宋_GB2312"/>
          <w:bCs/>
          <w:sz w:val="32"/>
          <w:szCs w:val="32"/>
          <w:lang w:val="en-US" w:eastAsia="zh-CN"/>
        </w:rPr>
        <w:t>4313.21</w:t>
      </w:r>
      <w:r>
        <w:rPr>
          <w:rFonts w:hint="eastAsia" w:ascii="仿宋_GB2312" w:hAnsi="仿宋_GB2312" w:eastAsia="仿宋_GB2312" w:cs="仿宋_GB2312"/>
          <w:bCs/>
          <w:sz w:val="32"/>
          <w:szCs w:val="32"/>
        </w:rPr>
        <w:t>元；项目支出</w:t>
      </w:r>
      <w:r>
        <w:rPr>
          <w:rFonts w:hint="eastAsia" w:ascii="仿宋_GB2312" w:hAnsi="仿宋_GB2312" w:eastAsia="仿宋_GB2312" w:cs="仿宋_GB2312"/>
          <w:bCs/>
          <w:sz w:val="32"/>
          <w:szCs w:val="32"/>
          <w:lang w:val="en-US" w:eastAsia="zh-CN"/>
        </w:rPr>
        <w:t>24861.95</w:t>
      </w:r>
      <w:r>
        <w:rPr>
          <w:rFonts w:hint="eastAsia" w:ascii="仿宋_GB2312" w:hAnsi="仿宋_GB2312" w:eastAsia="仿宋_GB2312" w:cs="仿宋_GB2312"/>
          <w:bCs/>
          <w:sz w:val="32"/>
          <w:szCs w:val="32"/>
        </w:rPr>
        <w:t>万元，主要为</w:t>
      </w:r>
      <w:r>
        <w:rPr>
          <w:rFonts w:hint="eastAsia" w:ascii="仿宋_GB2312" w:hAnsi="仿宋_GB2312" w:eastAsia="仿宋_GB2312" w:cs="仿宋_GB2312"/>
          <w:bCs/>
          <w:sz w:val="32"/>
          <w:szCs w:val="32"/>
          <w:lang w:eastAsia="zh-CN"/>
        </w:rPr>
        <w:t>奶业振兴资金、农村人居环境整治资金、高标准农田建设资金等</w:t>
      </w:r>
      <w:r>
        <w:rPr>
          <w:rFonts w:hint="eastAsia" w:ascii="仿宋_GB2312" w:hAnsi="仿宋_GB2312" w:eastAsia="仿宋_GB2312" w:cs="仿宋_GB2312"/>
          <w:bCs/>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一是全力保障粮食和重要农作物生产。落实粮食安全党政同责，将粮食生产任务进行分解、落实到地块，保证粮食播种面积，保障粮食生产和重要农产品供给，推进高标准农田建设。    </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优化区域布局，加快农业结构调整，落实“一减四增”，加快推进“一调优四促进”，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抓重点、补短板、强弱项，纵深推进农村人居环境整治，在全域美丽乡村建设的基础上，按照有规划、有产业、有主题、有特色、有形象“五有”标准，进一步完善村庄基础设施，挖掘村庄特色，争创美丽乡村精品村，推进美丽乡村片区打造，助推乡村特色产业发展，以美丽乡村打造催生乡村“美丽经济”。逐步完善乡村治理体系，在全国乡村治理体系建设试点建设基础上，逐步形成可复制可推广的乡村治理鹿泉经验。</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健全宅基地管理机制，探索形成闲置宅基地闲置住宅盘活利用有效方式和机制。深化农村集体产权制度改革，积极探索农村集体经济新的实现形式和运行机制，促进村级集体经济持续健康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六是</w:t>
      </w:r>
      <w:r>
        <w:rPr>
          <w:rFonts w:hint="eastAsia" w:ascii="仿宋" w:hAnsi="仿宋" w:eastAsia="仿宋"/>
          <w:sz w:val="32"/>
          <w:szCs w:val="32"/>
          <w:lang w:eastAsia="zh-CN"/>
        </w:rPr>
        <w:t>巩固拓展脱贫攻坚成果同乡村振兴有效衔</w:t>
      </w:r>
      <w:r>
        <w:rPr>
          <w:rFonts w:hint="eastAsia" w:ascii="仿宋" w:hAnsi="仿宋" w:eastAsia="仿宋"/>
          <w:sz w:val="32"/>
          <w:szCs w:val="32"/>
        </w:rPr>
        <w:t>接。持续健全完善防止返贫动态监测和帮扶机制，确保不发生返贫风险，加强向上问计，把“问计”融进全面工作，明确任务、明晰职能，以“问计”引领巩固拓展脱贫攻坚成果。</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评价资料收集：要求业务科室准备好绩效评价所需的佐证材料，其中评价指标应有对应的佐证材料相关指标的实现情况。</w:t>
      </w:r>
    </w:p>
    <w:p>
      <w:pPr>
        <w:spacing w:line="560" w:lineRule="exact"/>
        <w:rPr>
          <w:rFonts w:ascii="仿宋" w:hAnsi="仿宋" w:eastAsia="仿宋"/>
          <w:sz w:val="32"/>
          <w:szCs w:val="32"/>
        </w:rPr>
      </w:pPr>
      <w:r>
        <w:rPr>
          <w:rFonts w:hint="eastAsia" w:ascii="仿宋" w:hAnsi="仿宋" w:eastAsia="仿宋"/>
          <w:sz w:val="32"/>
          <w:szCs w:val="32"/>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cs="仿宋"/>
          <w:b/>
          <w:bCs/>
          <w:sz w:val="32"/>
          <w:szCs w:val="32"/>
        </w:rPr>
      </w:pPr>
      <w:r>
        <w:rPr>
          <w:rFonts w:hint="eastAsia" w:ascii="楷体" w:hAnsi="楷体" w:eastAsia="楷体" w:cs="楷体_GB2312"/>
          <w:bCs/>
          <w:sz w:val="32"/>
          <w:szCs w:val="32"/>
          <w:lang w:val="en-US" w:eastAsia="zh-CN"/>
        </w:rPr>
        <w:t xml:space="preserve"> </w:t>
      </w:r>
      <w:r>
        <w:rPr>
          <w:rFonts w:hint="eastAsia" w:ascii="仿宋" w:hAnsi="仿宋" w:eastAsia="仿宋" w:cs="仿宋"/>
          <w:kern w:val="2"/>
          <w:sz w:val="32"/>
          <w:szCs w:val="32"/>
          <w:lang w:val="en-US" w:eastAsia="zh-CN" w:bidi="ar-SA"/>
        </w:rPr>
        <w:t>2024年度预算项目绩效自评采用对比法、因素分析法、审核法，由项目实施股室对各项目进行综合评价，包括项目预算资金的投入、执行及项目年度预期目标、产出指标、效益指标的预期指标值与实际完成值的评定，以打分的形式评价预算项目年度绩效指标完成情况。</w:t>
      </w:r>
      <w:r>
        <w:rPr>
          <w:rFonts w:hint="eastAsia" w:ascii="仿宋" w:hAnsi="仿宋" w:eastAsia="仿宋" w:cs="仿宋"/>
          <w:b/>
          <w:bCs/>
          <w:sz w:val="32"/>
          <w:szCs w:val="32"/>
        </w:rPr>
        <w:t xml:space="preserve">    </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24</w:t>
      </w:r>
      <w:r>
        <w:rPr>
          <w:rFonts w:hint="eastAsia" w:ascii="仿宋" w:hAnsi="仿宋" w:eastAsia="仿宋"/>
          <w:sz w:val="32"/>
          <w:szCs w:val="32"/>
        </w:rPr>
        <w:t xml:space="preserve">年，我局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一是全力保障粮食和重要农作物生产。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w:t>
      </w:r>
    </w:p>
    <w:p>
      <w:pPr>
        <w:spacing w:line="560" w:lineRule="exact"/>
        <w:ind w:firstLine="640" w:firstLineChars="200"/>
        <w:rPr>
          <w:rFonts w:hint="eastAsia" w:ascii="仿宋" w:hAnsi="仿宋" w:eastAsia="仿宋" w:cs="楷体_GB2312"/>
          <w:b/>
          <w:bCs/>
          <w:sz w:val="32"/>
          <w:szCs w:val="32"/>
        </w:rPr>
      </w:pPr>
      <w:r>
        <w:rPr>
          <w:rFonts w:hint="eastAsia" w:ascii="仿宋" w:hAnsi="仿宋" w:eastAsia="仿宋"/>
          <w:sz w:val="32"/>
          <w:szCs w:val="32"/>
        </w:rPr>
        <w:t>六是</w:t>
      </w:r>
      <w:r>
        <w:rPr>
          <w:rFonts w:hint="eastAsia" w:ascii="仿宋" w:hAnsi="仿宋" w:eastAsia="仿宋"/>
          <w:sz w:val="32"/>
          <w:szCs w:val="32"/>
          <w:lang w:eastAsia="zh-CN"/>
        </w:rPr>
        <w:t>巩固拓展脱贫</w:t>
      </w:r>
      <w:bookmarkStart w:id="0" w:name="_GoBack"/>
      <w:r>
        <w:rPr>
          <w:rFonts w:hint="eastAsia" w:ascii="仿宋" w:hAnsi="仿宋" w:eastAsia="仿宋"/>
          <w:sz w:val="32"/>
          <w:szCs w:val="32"/>
          <w:lang w:eastAsia="zh-CN"/>
        </w:rPr>
        <w:t>攻坚成果同乡村振兴</w:t>
      </w:r>
      <w:bookmarkEnd w:id="0"/>
      <w:r>
        <w:rPr>
          <w:rFonts w:hint="eastAsia" w:ascii="仿宋" w:hAnsi="仿宋" w:eastAsia="仿宋"/>
          <w:sz w:val="32"/>
          <w:szCs w:val="32"/>
          <w:lang w:eastAsia="zh-CN"/>
        </w:rPr>
        <w:t>有效衔</w:t>
      </w:r>
      <w:r>
        <w:rPr>
          <w:rFonts w:hint="eastAsia" w:ascii="仿宋" w:hAnsi="仿宋" w:eastAsia="仿宋"/>
          <w:sz w:val="32"/>
          <w:szCs w:val="32"/>
        </w:rPr>
        <w:t>接。</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（一）支持农牧渔业产业化</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拉伸农牧渔业产业链条，提升农产品水产品附加值，增加农民渔民收入，创造县域经济发展新增长点。</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绩效目标包括: 提高农产品产量、提高蔬菜品质；推动园区农业基础设施、科技进步、质量安全、生态环保水平显著提升，扶持休闲渔业示范基地创建和渔业互保奖补项目</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完成情况：按提升农产品质量。</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（二）扶持农畜产品、水产品生产</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提高农牧渔产品产量和质量，优化产业结构提高经济效益，增加农民收入。</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提高农牧渔产品产量和质量</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（三）农业资源保护和生态建设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建设生态农业，改善农村环境，实现农业可持续发展。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建设生态农业，改善农村环境</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（四）农牧渔业科技支撑和公共服务</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提高农牧渔业机械化水平，建立健全农牧渔业科技服务和防灾减灾体系，推动农牧渔业生产向现代农业发展。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推动农牧渔业生产向现代农业发展</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（五）完善农村经营管理体制</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规范流转行为，优化资源配置，促进农民专业合作经济组织健康发展，加快新农村建设和城镇化进程。</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加快新农村建设和城镇化进程</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（六）农牧渔业行政综合执法规范化建设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开展农业行政综合执法体系建设，提升农业行政综合执法能力，提高农业行政综合执法效能。查处农资违法违规案件，维护农资市场秩序。</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提升农业行政综合执法能力，提高农业行政综合执法效能</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（七）农业综合开发项目的组织管理</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支持农业发展，巩固和加强农业基础地位、提高农业综合生产能力，支持农业参与国际竞争、推进农业现代化。</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（八）推进新农村建设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（九）指导全区农业产业化工作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通过开展农业产业化工作，加快培育发展辐射面广、带动能力大、市场竞争能力强的国家、省、市级农业产业化龙头企业。提升全区农业产业化整体水平。</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（十）指导推进农村改革</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全面深化农村重点领域、关键环节改革，加快推进农业农村体制机制创新，增强全区农村经济社会发展活力。使农业增效、农民增收、农村增活力。全面推进村级民主管理制度体系和村务运作体系建设。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（十一）人居环境整治建设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（十二）乡村振兴</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统筹实施乡村振兴战略，负责乡村振兴战略各项日常工作。为确保我区乡村振兴工作扎实推进、取得实效，各项任务、目标圆满完成。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（十三）巩固脱贫</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巩固脱贫攻坚成果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（十四）农业政务管理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保障各项农业工作的正常运行。绩效目标包括: 加强管理，园满完成区委、区政府交办任务；加强机关事务性管理，提高机关自身工作能力。</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截至2024年底，我部门共自评131个项目，其中，122个项目评分优秀，3个项目评分良好，5个项目评分一般（奶业振兴专项经费、农产品市场信息监测预警等），1个项目评分较差（地膜科学使用回收项目）。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（一）存在的主要问题</w:t>
      </w:r>
    </w:p>
    <w:p>
      <w:pPr>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我部门预算执行进度较慢，主要原因为：</w:t>
      </w:r>
      <w:r>
        <w:rPr>
          <w:rFonts w:hint="eastAsia" w:ascii="仿宋_GB2312" w:hAnsi="仿宋_GB2312" w:eastAsia="仿宋_GB2312" w:cs="仿宋_GB2312"/>
          <w:bCs/>
          <w:sz w:val="32"/>
          <w:szCs w:val="32"/>
          <w:lang w:val="en-US" w:eastAsia="zh-CN"/>
        </w:rPr>
        <w:t>1、上级资金实施方案批复较晚；2、财政资金未能及时拨付。</w:t>
      </w:r>
    </w:p>
    <w:p>
      <w:pPr>
        <w:numPr>
          <w:ilvl w:val="0"/>
          <w:numId w:val="3"/>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针对问题提出具体的改进措施或建议</w:t>
      </w: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Cs/>
          <w:sz w:val="32"/>
          <w:szCs w:val="32"/>
          <w:lang w:val="en-US" w:eastAsia="zh-CN"/>
        </w:rPr>
        <w:t xml:space="preserve"> 对于上级资金实施方案批复较晚原因，我部门积极与上级部门沟通，早日下达批复方案，早日实施；</w:t>
      </w:r>
      <w:r>
        <w:rPr>
          <w:rFonts w:hint="eastAsia" w:ascii="仿宋_GB2312" w:hAnsi="仿宋_GB2312" w:eastAsia="仿宋_GB2312" w:cs="仿宋_GB2312"/>
          <w:kern w:val="2"/>
          <w:sz w:val="32"/>
          <w:szCs w:val="32"/>
          <w:lang w:val="en-US" w:eastAsia="zh-CN" w:bidi="ar-SA"/>
        </w:rPr>
        <w:t>对于由于财政资金未能及时拨付等原因导致未能及时支付、及预算不足而无法开展的项目，我部门将加强与财政沟通，及时拨付资金。</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620E71B"/>
    <w:multiLevelType w:val="singleLevel"/>
    <w:tmpl w:val="6620E71B"/>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3705F5"/>
    <w:rsid w:val="0BB63BED"/>
    <w:rsid w:val="0C1360CF"/>
    <w:rsid w:val="0C7D6517"/>
    <w:rsid w:val="0E4B06ED"/>
    <w:rsid w:val="0EB97A43"/>
    <w:rsid w:val="0EBD2122"/>
    <w:rsid w:val="0F214EAE"/>
    <w:rsid w:val="10334033"/>
    <w:rsid w:val="11B71E6A"/>
    <w:rsid w:val="12444F04"/>
    <w:rsid w:val="138D5D2E"/>
    <w:rsid w:val="1AAF0063"/>
    <w:rsid w:val="1BE140DE"/>
    <w:rsid w:val="245B04E5"/>
    <w:rsid w:val="248C197D"/>
    <w:rsid w:val="252959AF"/>
    <w:rsid w:val="277A6671"/>
    <w:rsid w:val="289C5AAF"/>
    <w:rsid w:val="28D50BDD"/>
    <w:rsid w:val="292D35B7"/>
    <w:rsid w:val="2AE952F3"/>
    <w:rsid w:val="2B4D7C8C"/>
    <w:rsid w:val="2CA4752A"/>
    <w:rsid w:val="2E3063D5"/>
    <w:rsid w:val="2FCB01B3"/>
    <w:rsid w:val="316762A6"/>
    <w:rsid w:val="32817910"/>
    <w:rsid w:val="33EB6CFF"/>
    <w:rsid w:val="34D82B47"/>
    <w:rsid w:val="35001A64"/>
    <w:rsid w:val="35A12947"/>
    <w:rsid w:val="37387040"/>
    <w:rsid w:val="3A900623"/>
    <w:rsid w:val="3B625C0A"/>
    <w:rsid w:val="3CEE1963"/>
    <w:rsid w:val="3FDC54B5"/>
    <w:rsid w:val="436B78D3"/>
    <w:rsid w:val="49923F57"/>
    <w:rsid w:val="4BC51B6D"/>
    <w:rsid w:val="4C9C27FE"/>
    <w:rsid w:val="4D8C13BC"/>
    <w:rsid w:val="4EFB2ACC"/>
    <w:rsid w:val="50E6667A"/>
    <w:rsid w:val="512260B4"/>
    <w:rsid w:val="51795159"/>
    <w:rsid w:val="526E6C02"/>
    <w:rsid w:val="52BD6ACB"/>
    <w:rsid w:val="53227FDC"/>
    <w:rsid w:val="53F8304A"/>
    <w:rsid w:val="542260C4"/>
    <w:rsid w:val="55537534"/>
    <w:rsid w:val="560F1140"/>
    <w:rsid w:val="561A74F1"/>
    <w:rsid w:val="56CC7B77"/>
    <w:rsid w:val="574E45D8"/>
    <w:rsid w:val="597244E8"/>
    <w:rsid w:val="5A777D7A"/>
    <w:rsid w:val="5C11209A"/>
    <w:rsid w:val="5CE0485E"/>
    <w:rsid w:val="5DA10CC4"/>
    <w:rsid w:val="5EB71C30"/>
    <w:rsid w:val="5FB05FBE"/>
    <w:rsid w:val="5FD671D1"/>
    <w:rsid w:val="61E844B5"/>
    <w:rsid w:val="66800932"/>
    <w:rsid w:val="66AF0CE5"/>
    <w:rsid w:val="6AC537CF"/>
    <w:rsid w:val="6B375523"/>
    <w:rsid w:val="6BF97C4C"/>
    <w:rsid w:val="6C120F5B"/>
    <w:rsid w:val="6E5B14A6"/>
    <w:rsid w:val="6FAB428F"/>
    <w:rsid w:val="711B255E"/>
    <w:rsid w:val="76BA6958"/>
    <w:rsid w:val="77F34E5A"/>
    <w:rsid w:val="78F53054"/>
    <w:rsid w:val="79DA0720"/>
    <w:rsid w:val="7A176C48"/>
    <w:rsid w:val="7BB51E06"/>
    <w:rsid w:val="7C387F7C"/>
    <w:rsid w:val="7F215521"/>
    <w:rsid w:val="7FA86F8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2025-05-08T07:54:28Z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96934721B1514D3FBAA28020338CE855_12</vt:lpwstr>
  </property>
</Properties>
</file>