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宋体" w:hAnsi="宋体" w:eastAsia="黑体"/>
          <w:color w:val="auto"/>
          <w:sz w:val="32"/>
          <w:szCs w:val="32"/>
        </w:rPr>
      </w:pPr>
      <w:bookmarkStart w:id="2" w:name="_GoBack"/>
      <w:bookmarkEnd w:id="2"/>
      <w:r>
        <w:rPr>
          <w:rFonts w:hint="eastAsia" w:ascii="宋体" w:hAnsi="宋体" w:eastAsia="黑体"/>
          <w:color w:val="auto"/>
          <w:sz w:val="32"/>
          <w:szCs w:val="32"/>
        </w:rPr>
        <w:t>附件3</w:t>
      </w:r>
    </w:p>
    <w:p>
      <w:pPr>
        <w:spacing w:line="560" w:lineRule="exact"/>
        <w:jc w:val="center"/>
        <w:rPr>
          <w:rFonts w:ascii="宋体" w:hAnsi="宋体" w:cs="宋体"/>
          <w:b/>
          <w:bCs/>
          <w:color w:val="auto"/>
          <w:sz w:val="44"/>
          <w:szCs w:val="44"/>
        </w:rPr>
      </w:pPr>
    </w:p>
    <w:p>
      <w:pPr>
        <w:spacing w:line="560" w:lineRule="exact"/>
        <w:jc w:val="center"/>
        <w:rPr>
          <w:rFonts w:ascii="宋体" w:hAnsi="宋体" w:cs="宋体"/>
          <w:b/>
          <w:bCs/>
          <w:color w:val="auto"/>
          <w:sz w:val="44"/>
          <w:szCs w:val="44"/>
        </w:rPr>
      </w:pPr>
      <w:r>
        <w:rPr>
          <w:rFonts w:hint="eastAsia" w:ascii="宋体" w:hAnsi="宋体" w:cs="宋体"/>
          <w:b/>
          <w:bCs/>
          <w:color w:val="auto"/>
          <w:kern w:val="0"/>
          <w:sz w:val="44"/>
          <w:szCs w:val="44"/>
          <w:lang w:eastAsia="zh-CN"/>
        </w:rPr>
        <w:t>石家庄市鹿泉区应急管理局</w:t>
      </w:r>
    </w:p>
    <w:p>
      <w:pPr>
        <w:spacing w:line="560" w:lineRule="exact"/>
        <w:jc w:val="center"/>
        <w:rPr>
          <w:rFonts w:ascii="宋体" w:hAnsi="宋体" w:cs="宋体"/>
          <w:b/>
          <w:bCs/>
          <w:color w:val="auto"/>
          <w:sz w:val="44"/>
          <w:szCs w:val="44"/>
        </w:rPr>
      </w:pPr>
      <w:r>
        <w:rPr>
          <w:rFonts w:hint="eastAsia" w:ascii="宋体" w:hAnsi="宋体" w:cs="宋体"/>
          <w:b/>
          <w:bCs/>
          <w:color w:val="auto"/>
          <w:sz w:val="44"/>
          <w:szCs w:val="44"/>
        </w:rPr>
        <w:t>202</w:t>
      </w:r>
      <w:r>
        <w:rPr>
          <w:rFonts w:hint="eastAsia" w:ascii="宋体" w:hAnsi="宋体" w:cs="宋体"/>
          <w:b/>
          <w:bCs/>
          <w:color w:val="auto"/>
          <w:sz w:val="44"/>
          <w:szCs w:val="44"/>
          <w:lang w:val="en-US" w:eastAsia="zh-CN"/>
        </w:rPr>
        <w:t>4</w:t>
      </w:r>
      <w:r>
        <w:rPr>
          <w:rFonts w:hint="eastAsia" w:ascii="宋体" w:hAnsi="宋体" w:cs="宋体"/>
          <w:b/>
          <w:bCs/>
          <w:color w:val="auto"/>
          <w:sz w:val="44"/>
          <w:szCs w:val="44"/>
        </w:rPr>
        <w:t>年度整体支出绩效自评报告</w:t>
      </w:r>
    </w:p>
    <w:p>
      <w:pPr>
        <w:spacing w:line="560" w:lineRule="exact"/>
        <w:jc w:val="center"/>
        <w:rPr>
          <w:rFonts w:ascii="宋体" w:hAnsi="宋体" w:eastAsia="华文楷体"/>
          <w:color w:val="auto"/>
          <w:sz w:val="32"/>
          <w:szCs w:val="32"/>
        </w:rPr>
      </w:pPr>
    </w:p>
    <w:p>
      <w:pPr>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贯彻落实石家庄市鹿泉区人民政府《关于全面实施预算绩效管理的实施意见》（鹿发〔2019〕8号）文件精神，遵循“科学性、规范性、客观性和公正性”的原则，对石家庄市鹿泉区应急管理局2024年整体支出情况实施了财政支出绩效自评价，形成本评价报告。</w:t>
      </w:r>
    </w:p>
    <w:p>
      <w:pPr>
        <w:adjustRightInd w:val="0"/>
        <w:snapToGrid w:val="0"/>
        <w:spacing w:line="560" w:lineRule="exact"/>
        <w:rPr>
          <w:rFonts w:ascii="宋体" w:hAnsi="宋体" w:eastAsia="黑体"/>
          <w:b/>
          <w:bCs/>
          <w:color w:val="auto"/>
          <w:sz w:val="32"/>
          <w:szCs w:val="36"/>
        </w:rPr>
      </w:pPr>
      <w:r>
        <w:rPr>
          <w:rFonts w:hint="eastAsia" w:ascii="宋体" w:hAnsi="宋体" w:eastAsia="黑体"/>
          <w:color w:val="auto"/>
          <w:sz w:val="32"/>
          <w:szCs w:val="32"/>
        </w:rPr>
        <w:t xml:space="preserve">     一、部门</w:t>
      </w:r>
      <w:r>
        <w:rPr>
          <w:rFonts w:hint="eastAsia" w:ascii="宋体" w:hAnsi="宋体" w:eastAsia="黑体"/>
          <w:color w:val="auto"/>
          <w:sz w:val="32"/>
          <w:szCs w:val="36"/>
        </w:rPr>
        <w:t>基本情况</w:t>
      </w:r>
    </w:p>
    <w:p>
      <w:pPr>
        <w:adjustRightInd w:val="0"/>
        <w:snapToGrid w:val="0"/>
        <w:spacing w:line="560" w:lineRule="exact"/>
        <w:ind w:firstLine="640" w:firstLineChars="200"/>
        <w:rPr>
          <w:rFonts w:ascii="宋体" w:hAnsi="宋体" w:eastAsia="楷体" w:cs="楷体_GB2312"/>
          <w:bCs/>
          <w:color w:val="auto"/>
          <w:sz w:val="32"/>
          <w:szCs w:val="32"/>
        </w:rPr>
      </w:pPr>
      <w:r>
        <w:rPr>
          <w:rFonts w:hint="eastAsia" w:ascii="宋体" w:hAnsi="宋体" w:eastAsia="楷体" w:cs="楷体_GB2312"/>
          <w:bCs/>
          <w:color w:val="auto"/>
          <w:sz w:val="32"/>
          <w:szCs w:val="32"/>
        </w:rPr>
        <w:t>（一）部门概况</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根据《石家庄市鹿泉区应急管理局职能配置、内设机构和人员编制规定》， 石家庄市鹿泉区应急管理局的主要职责是：</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1.负责应急管理工作。指导全区各级各部门应对安全生产类、自然灾害类等突发事件和综合防灾减灾救灾工作；负责安全生产综合监督管理和工矿商贸行业安全生产监督管理工作。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2.拟订应急管理、安全生产等工作规定，组织编制区应急体系建设、安全生产和综合防灾减灾规划，执行上级地方性法规和政府规章，组织制定相关具体规程并监督实施。</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3.负责应急预案体系建设，落实完善事故灾难和自然灾害分级应对制度，组织编制区总体应急预案和安全生产类、自然灾害类专项预案，综合协调应急预案衔接工作，组织开展预案演练，推动应急避难设施建设。</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4.与国家和省、市系统对接，建立完善全区应急管理信息系统，负责管辖范围内的信息传输渠道的规划和布局；建立监测预警和灾情报告制度，健全自然灾害信息资源获取和共享机制，依法统一发布灾情。</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5.组织协调安全生产类、自然灾害类等突发事件应急救援，综合研判突发事件发展态势并提出应对建议，协助区委、区政府指定的负责同志组织重大灾害应急处置工作。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6.统一协调指挥各类应急专业队伍，建立应急协调联动机制，推进指挥平台对接，衔接驻鹿部队参与应急救援工作。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7.统筹应急救援力量建设，负责抗洪抢险、地震和地质灾害救援、生产安全事故救援等专业应急救援力量建设，综合协调应急救援队伍，指导各级及社会应急救援力量建设。</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8.组织协调水旱灾害、地震和地质灾害等防治工作；负责自然灾害综合监测预警工作；会同有关部门做好自然灾害综合风险评估工作。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9.组织协调灾害救助工作，负责灾情核查、损失评估、救灾捐赠工作，管理、分配救灾款物并监督使用。</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10.依法行使安全生产综合监督管理职权，指导协调、监督检查区有关部门和各乡（镇）政府、区政府派出机构的安全生产工作，组织开展安全生产考核工作。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11.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12.依法开展生产安全事故调查处理，监督事故查处和责任追究落实情况；组织开展自然灾害类突发事件的调查评估工作。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13.制定应急物资储备和应急救援装备规划并组织实施，会同区粮食和物资储备局等部门建立健全应急物资信息平台和调拨制度，在救灾时统一调度。</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14.负责应急管理、安全生产宣传教育和培训工作，负责应急管理、安全生产科技成果推广应用和信息化建设工作。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15.负责组织协调、指导监督全区安全生产行政执法工作，组织开展对区属企业的执法检查，配合上级部门对驻鹿中央企业、省属企业、市属企业的执法抽查。</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16.组织开展应急管理方面的区域交流与合作。</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17.区森林草原消防大队是以森林草原火灾防治和扑救为主要任务，兼顾其他自然灾害和生产安全事故的专业应急救援力量，依据《中共石家庄市鹿泉区委机构编制委员会关于全区森林草原消防队伍建设及有关机构编制职责等事项调整的通知》（鹿泉编[2021]12号）、《石家庄市鹿泉区森林草原消防专业队伍建设实施方案》（鹿政办函[2021]39号）和《河北省人民政府森林草原防灭火指挥部办公室关于进一步加强森林草原消防专业队伍规范化建设的通知》（冀森防办[2022]16号）文件中关于队伍建设、队伍职责以及规范要求，区森防大队在编人员2名，依据文件规范，队员应满足70名一线扑火队员、4名厨师、2名设备管理员，因此进行专业森林消防队经费，购置制式车辆、装备机具及训练设施费用等保障日常工作运转的项目进行资金申请。</w:t>
      </w:r>
    </w:p>
    <w:p>
      <w:pPr>
        <w:snapToGrid w:val="0"/>
        <w:spacing w:line="520" w:lineRule="exact"/>
        <w:ind w:firstLine="643" w:firstLineChars="200"/>
        <w:rPr>
          <w:rFonts w:ascii="宋体" w:hAnsi="宋体" w:eastAsia="仿宋" w:cs="Times New Roman"/>
          <w:b/>
          <w:color w:val="auto"/>
          <w:sz w:val="32"/>
          <w:szCs w:val="32"/>
        </w:rPr>
      </w:pPr>
      <w:bookmarkStart w:id="0" w:name="OLE_LINK2"/>
      <w:r>
        <w:rPr>
          <w:rFonts w:hint="eastAsia" w:ascii="宋体" w:hAnsi="宋体" w:eastAsia="仿宋" w:cs="Times New Roman"/>
          <w:b/>
          <w:color w:val="auto"/>
          <w:sz w:val="32"/>
          <w:szCs w:val="32"/>
        </w:rPr>
        <w:t>机构设置：</w:t>
      </w:r>
    </w:p>
    <w:p>
      <w:pPr>
        <w:jc w:val="center"/>
        <w:outlineLvl w:val="0"/>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zh-CN" w:bidi="ar-SA"/>
        </w:rPr>
        <w:t>部门机构设置情况</w:t>
      </w:r>
    </w:p>
    <w:tbl>
      <w:tblPr>
        <w:tblStyle w:val="5"/>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单位名称</w:t>
            </w:r>
          </w:p>
        </w:tc>
        <w:tc>
          <w:tcPr>
            <w:tcW w:w="1134" w:type="dxa"/>
            <w:vMerge w:val="restart"/>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单位性质</w:t>
            </w:r>
          </w:p>
        </w:tc>
        <w:tc>
          <w:tcPr>
            <w:tcW w:w="1276" w:type="dxa"/>
            <w:vMerge w:val="restart"/>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单位规格</w:t>
            </w:r>
          </w:p>
        </w:tc>
        <w:tc>
          <w:tcPr>
            <w:tcW w:w="2902" w:type="dxa"/>
            <w:vMerge w:val="restart"/>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hint="eastAsia" w:ascii="宋体" w:hAnsi="宋体" w:eastAsia="仿宋" w:cs="黑体"/>
                <w:color w:val="auto"/>
                <w:kern w:val="2"/>
                <w:sz w:val="28"/>
                <w:szCs w:val="28"/>
                <w:lang w:val="en-US" w:eastAsia="zh-CN" w:bidi="ar-SA"/>
              </w:rPr>
            </w:pPr>
          </w:p>
        </w:tc>
        <w:tc>
          <w:tcPr>
            <w:tcW w:w="1134" w:type="dxa"/>
            <w:vMerge w:val="continue"/>
            <w:noWrap w:val="0"/>
            <w:vAlign w:val="center"/>
          </w:tcPr>
          <w:p>
            <w:pPr>
              <w:spacing w:line="300" w:lineRule="exact"/>
              <w:jc w:val="left"/>
              <w:outlineLvl w:val="0"/>
              <w:rPr>
                <w:rFonts w:hint="eastAsia" w:ascii="宋体" w:hAnsi="宋体" w:eastAsia="仿宋" w:cs="黑体"/>
                <w:color w:val="auto"/>
                <w:kern w:val="2"/>
                <w:sz w:val="28"/>
                <w:szCs w:val="28"/>
                <w:lang w:val="en-US" w:eastAsia="zh-CN" w:bidi="ar-SA"/>
              </w:rPr>
            </w:pPr>
          </w:p>
        </w:tc>
        <w:tc>
          <w:tcPr>
            <w:tcW w:w="1276" w:type="dxa"/>
            <w:vMerge w:val="continue"/>
            <w:noWrap w:val="0"/>
            <w:vAlign w:val="center"/>
          </w:tcPr>
          <w:p>
            <w:pPr>
              <w:spacing w:line="300" w:lineRule="exact"/>
              <w:jc w:val="left"/>
              <w:outlineLvl w:val="0"/>
              <w:rPr>
                <w:rFonts w:hint="eastAsia" w:ascii="宋体" w:hAnsi="宋体" w:eastAsia="仿宋" w:cs="黑体"/>
                <w:color w:val="auto"/>
                <w:kern w:val="2"/>
                <w:sz w:val="28"/>
                <w:szCs w:val="28"/>
                <w:lang w:val="en-US" w:eastAsia="zh-CN" w:bidi="ar-SA"/>
              </w:rPr>
            </w:pPr>
          </w:p>
        </w:tc>
        <w:tc>
          <w:tcPr>
            <w:tcW w:w="2902" w:type="dxa"/>
            <w:vMerge w:val="continue"/>
            <w:noWrap w:val="0"/>
            <w:vAlign w:val="center"/>
          </w:tcPr>
          <w:p>
            <w:pPr>
              <w:spacing w:line="300" w:lineRule="exact"/>
              <w:jc w:val="left"/>
              <w:outlineLvl w:val="0"/>
              <w:rPr>
                <w:rFonts w:hint="eastAsia" w:ascii="宋体" w:hAnsi="宋体" w:eastAsia="仿宋" w:cs="黑体"/>
                <w:color w:val="auto"/>
                <w:kern w:val="2"/>
                <w:sz w:val="28"/>
                <w:szCs w:val="28"/>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石家庄市鹿泉区应急管理局</w:t>
            </w:r>
          </w:p>
        </w:tc>
        <w:tc>
          <w:tcPr>
            <w:tcW w:w="1134"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行政</w:t>
            </w:r>
          </w:p>
        </w:tc>
        <w:tc>
          <w:tcPr>
            <w:tcW w:w="1276"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正科级</w:t>
            </w:r>
          </w:p>
        </w:tc>
        <w:tc>
          <w:tcPr>
            <w:tcW w:w="2902"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石家庄市鹿泉区应急管理综合行政执法大队</w:t>
            </w:r>
          </w:p>
        </w:tc>
        <w:tc>
          <w:tcPr>
            <w:tcW w:w="1134"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事业</w:t>
            </w:r>
          </w:p>
        </w:tc>
        <w:tc>
          <w:tcPr>
            <w:tcW w:w="1276"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副科级</w:t>
            </w:r>
          </w:p>
        </w:tc>
        <w:tc>
          <w:tcPr>
            <w:tcW w:w="2902"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石家庄市鹿泉区应急消防大队</w:t>
            </w:r>
          </w:p>
        </w:tc>
        <w:tc>
          <w:tcPr>
            <w:tcW w:w="1134"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事业</w:t>
            </w:r>
          </w:p>
        </w:tc>
        <w:tc>
          <w:tcPr>
            <w:tcW w:w="1276"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股级</w:t>
            </w:r>
          </w:p>
        </w:tc>
        <w:tc>
          <w:tcPr>
            <w:tcW w:w="2902"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石家庄市鹿泉区防震减灾服务中心</w:t>
            </w:r>
          </w:p>
        </w:tc>
        <w:tc>
          <w:tcPr>
            <w:tcW w:w="1134"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事业</w:t>
            </w:r>
          </w:p>
        </w:tc>
        <w:tc>
          <w:tcPr>
            <w:tcW w:w="1276"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股级</w:t>
            </w:r>
          </w:p>
        </w:tc>
        <w:tc>
          <w:tcPr>
            <w:tcW w:w="2902" w:type="dxa"/>
            <w:noWrap w:val="0"/>
            <w:vAlign w:val="center"/>
          </w:tcPr>
          <w:p>
            <w:pPr>
              <w:spacing w:line="300" w:lineRule="exact"/>
              <w:jc w:val="center"/>
              <w:rPr>
                <w:rFonts w:hint="eastAsia"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default"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石家庄市鹿泉区森林草原消防大队</w:t>
            </w:r>
          </w:p>
        </w:tc>
        <w:tc>
          <w:tcPr>
            <w:tcW w:w="1134" w:type="dxa"/>
            <w:noWrap w:val="0"/>
            <w:vAlign w:val="center"/>
          </w:tcPr>
          <w:p>
            <w:pPr>
              <w:spacing w:line="300" w:lineRule="exact"/>
              <w:jc w:val="center"/>
              <w:rPr>
                <w:rFonts w:hint="default"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事业</w:t>
            </w:r>
          </w:p>
        </w:tc>
        <w:tc>
          <w:tcPr>
            <w:tcW w:w="1276" w:type="dxa"/>
            <w:noWrap w:val="0"/>
            <w:vAlign w:val="center"/>
          </w:tcPr>
          <w:p>
            <w:pPr>
              <w:spacing w:line="300" w:lineRule="exact"/>
              <w:jc w:val="center"/>
              <w:rPr>
                <w:rFonts w:hint="default"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股级</w:t>
            </w:r>
          </w:p>
        </w:tc>
        <w:tc>
          <w:tcPr>
            <w:tcW w:w="2902" w:type="dxa"/>
            <w:noWrap w:val="0"/>
            <w:vAlign w:val="center"/>
          </w:tcPr>
          <w:p>
            <w:pPr>
              <w:spacing w:line="300" w:lineRule="exact"/>
              <w:jc w:val="center"/>
              <w:rPr>
                <w:rFonts w:hint="default" w:ascii="宋体" w:hAnsi="宋体" w:eastAsia="仿宋" w:cs="黑体"/>
                <w:color w:val="auto"/>
                <w:kern w:val="2"/>
                <w:sz w:val="28"/>
                <w:szCs w:val="28"/>
                <w:lang w:val="en-US" w:eastAsia="zh-CN" w:bidi="ar-SA"/>
              </w:rPr>
            </w:pPr>
            <w:r>
              <w:rPr>
                <w:rFonts w:hint="eastAsia" w:ascii="宋体" w:hAnsi="宋体" w:eastAsia="仿宋" w:cs="黑体"/>
                <w:color w:val="auto"/>
                <w:kern w:val="2"/>
                <w:sz w:val="28"/>
                <w:szCs w:val="28"/>
                <w:lang w:val="en-US" w:eastAsia="zh-CN" w:bidi="ar-SA"/>
              </w:rPr>
              <w:t>财政拨款</w:t>
            </w:r>
          </w:p>
        </w:tc>
      </w:tr>
      <w:bookmarkEnd w:id="0"/>
    </w:tbl>
    <w:p>
      <w:pPr>
        <w:snapToGrid w:val="0"/>
        <w:spacing w:line="520" w:lineRule="exact"/>
        <w:ind w:firstLine="643" w:firstLineChars="200"/>
        <w:rPr>
          <w:rFonts w:hint="eastAsia" w:ascii="宋体" w:hAnsi="宋体" w:eastAsia="仿宋_GB2312"/>
          <w:b/>
          <w:bCs/>
          <w:color w:val="auto"/>
          <w:sz w:val="32"/>
          <w:szCs w:val="32"/>
          <w:lang w:eastAsia="zh-CN"/>
        </w:rPr>
      </w:pPr>
      <w:r>
        <w:rPr>
          <w:rFonts w:hint="eastAsia" w:ascii="宋体" w:hAnsi="宋体" w:eastAsia="仿宋_GB2312"/>
          <w:b/>
          <w:bCs/>
          <w:color w:val="auto"/>
          <w:sz w:val="32"/>
          <w:szCs w:val="32"/>
        </w:rPr>
        <w:t>人员情况</w:t>
      </w:r>
      <w:r>
        <w:rPr>
          <w:rFonts w:hint="eastAsia" w:ascii="宋体" w:hAnsi="宋体" w:eastAsia="仿宋_GB2312"/>
          <w:b/>
          <w:bCs/>
          <w:color w:val="auto"/>
          <w:sz w:val="32"/>
          <w:szCs w:val="32"/>
          <w:lang w:eastAsia="zh-CN"/>
        </w:rPr>
        <w:t>：</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我单位有行政人员17人，比去年减少1人，主要变动情况为退休1名公务员。事业单位人员69人，比去年增加人，主要变动原因是事业单位新进入2名退役军人。</w:t>
      </w:r>
    </w:p>
    <w:p>
      <w:pPr>
        <w:numPr>
          <w:ilvl w:val="0"/>
          <w:numId w:val="0"/>
        </w:numPr>
        <w:adjustRightInd w:val="0"/>
        <w:snapToGrid w:val="0"/>
        <w:spacing w:line="560" w:lineRule="exact"/>
        <w:ind w:firstLine="643" w:firstLineChars="200"/>
        <w:rPr>
          <w:rFonts w:hint="eastAsia" w:ascii="宋体" w:hAnsi="宋体" w:eastAsia="仿宋"/>
          <w:b/>
          <w:bCs/>
          <w:color w:val="auto"/>
          <w:sz w:val="32"/>
          <w:szCs w:val="32"/>
        </w:rPr>
      </w:pPr>
      <w:r>
        <w:rPr>
          <w:rFonts w:hint="eastAsia" w:ascii="宋体" w:hAnsi="宋体" w:eastAsia="仿宋"/>
          <w:b/>
          <w:bCs/>
          <w:color w:val="auto"/>
          <w:sz w:val="32"/>
          <w:szCs w:val="32"/>
        </w:rPr>
        <w:t>资产情况</w:t>
      </w:r>
    </w:p>
    <w:p>
      <w:pPr>
        <w:pStyle w:val="2"/>
        <w:numPr>
          <w:ilvl w:val="0"/>
          <w:numId w:val="0"/>
        </w:numPr>
        <w:rPr>
          <w:rFonts w:hint="eastAsia" w:ascii="宋体" w:hAnsi="宋体" w:eastAsia="仿宋_GB2312" w:cs="仿宋_GB2312"/>
          <w:color w:val="auto"/>
          <w:kern w:val="2"/>
          <w:sz w:val="32"/>
          <w:szCs w:val="32"/>
          <w:lang w:val="en-US" w:eastAsia="zh-CN" w:bidi="ar"/>
        </w:rPr>
      </w:pPr>
      <w:r>
        <w:rPr>
          <w:rFonts w:hint="eastAsia" w:ascii="宋体" w:hAnsi="宋体" w:eastAsia="仿宋" w:cs="仿宋"/>
          <w:color w:val="auto"/>
          <w:sz w:val="32"/>
          <w:szCs w:val="32"/>
          <w:lang w:val="en-US" w:eastAsia="zh-CN"/>
        </w:rPr>
        <w:t xml:space="preserve">   </w:t>
      </w:r>
      <w:r>
        <w:rPr>
          <w:rFonts w:hint="eastAsia" w:ascii="宋体" w:hAnsi="宋体" w:eastAsia="仿宋_GB2312" w:cs="仿宋_GB2312"/>
          <w:color w:val="auto"/>
          <w:kern w:val="2"/>
          <w:sz w:val="32"/>
          <w:szCs w:val="32"/>
          <w:lang w:val="en-US" w:eastAsia="zh-CN" w:bidi="ar"/>
        </w:rPr>
        <w:t xml:space="preserve"> 截止2024年12月31日我局固定资产原值3386.97万元，其中：房屋及构筑物69.57万元；设备3170.21万元；家具和用具142.99万元；无形资产原值4.2万元。</w:t>
      </w:r>
    </w:p>
    <w:p>
      <w:pPr>
        <w:numPr>
          <w:ilvl w:val="0"/>
          <w:numId w:val="1"/>
        </w:numPr>
        <w:adjustRightInd w:val="0"/>
        <w:snapToGrid w:val="0"/>
        <w:spacing w:line="560" w:lineRule="exact"/>
        <w:ind w:firstLine="640" w:firstLineChars="200"/>
        <w:rPr>
          <w:rFonts w:hint="eastAsia" w:ascii="宋体" w:hAnsi="宋体" w:eastAsia="楷体" w:cs="楷体_GB2312"/>
          <w:bCs/>
          <w:color w:val="auto"/>
          <w:sz w:val="32"/>
          <w:szCs w:val="32"/>
        </w:rPr>
      </w:pPr>
      <w:r>
        <w:rPr>
          <w:rFonts w:hint="eastAsia" w:ascii="宋体" w:hAnsi="宋体" w:eastAsia="楷体" w:cs="楷体_GB2312"/>
          <w:bCs/>
          <w:color w:val="auto"/>
          <w:sz w:val="32"/>
          <w:szCs w:val="32"/>
        </w:rPr>
        <w:t>部门收支预决算情况</w:t>
      </w:r>
    </w:p>
    <w:p>
      <w:pPr>
        <w:pStyle w:val="2"/>
        <w:ind w:firstLine="640" w:firstLineChars="200"/>
        <w:rPr>
          <w:rFonts w:hint="eastAsia" w:ascii="宋体" w:hAnsi="宋体" w:eastAsia="楷体" w:cs="楷体_GB2312"/>
          <w:bCs/>
          <w:color w:val="auto"/>
          <w:sz w:val="32"/>
          <w:szCs w:val="32"/>
          <w:lang w:val="en-US" w:eastAsia="zh-CN"/>
        </w:rPr>
      </w:pPr>
      <w:r>
        <w:rPr>
          <w:rFonts w:hint="eastAsia" w:ascii="宋体" w:hAnsi="宋体" w:eastAsia="楷体" w:cs="楷体_GB2312"/>
          <w:bCs/>
          <w:color w:val="auto"/>
          <w:sz w:val="32"/>
          <w:szCs w:val="32"/>
          <w:lang w:val="en-US" w:eastAsia="zh-CN"/>
        </w:rPr>
        <w:t>1、部门收支预算情况</w:t>
      </w:r>
    </w:p>
    <w:p>
      <w:pPr>
        <w:pStyle w:val="7"/>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按照预算管理有关规定，目前部门预算的编制实行综合预算管理，即全部收入和支出都反映在预算中。石家庄市鹿泉区应急管理局机关及所属事业单位的收支包含在部门预算中。</w:t>
      </w:r>
    </w:p>
    <w:p>
      <w:pPr>
        <w:pStyle w:val="7"/>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收入情况</w:t>
      </w:r>
    </w:p>
    <w:p>
      <w:pPr>
        <w:pStyle w:val="7"/>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反映本部门当年全部收入。2024年预算收入3535.82万元，其中：一般公共预算收入3190.0万元，基金预算收入0.00万元，国有资本经营预算收入0.00万元，财政专户核拨收入0.00万元，单位资金收入0.00万元，上年结转结余345.79万元。</w:t>
      </w:r>
    </w:p>
    <w:p>
      <w:pPr>
        <w:pStyle w:val="7"/>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支出情况</w:t>
      </w:r>
    </w:p>
    <w:p>
      <w:pPr>
        <w:pStyle w:val="7"/>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2024年支出预算4212.10万元，其中基本支出2086.96万元，包括人员经费1472.45万元和日常公用经费614.51万元；项目支出2127.19万元。</w:t>
      </w:r>
    </w:p>
    <w:p>
      <w:pPr>
        <w:pStyle w:val="2"/>
        <w:ind w:firstLine="640" w:firstLineChars="200"/>
        <w:rPr>
          <w:rFonts w:hint="default" w:ascii="宋体" w:hAnsi="宋体" w:eastAsia="楷体" w:cs="楷体_GB2312"/>
          <w:bCs/>
          <w:color w:val="auto"/>
          <w:sz w:val="32"/>
          <w:szCs w:val="32"/>
          <w:lang w:val="en-US" w:eastAsia="zh-CN"/>
        </w:rPr>
      </w:pPr>
      <w:r>
        <w:rPr>
          <w:rFonts w:hint="eastAsia" w:ascii="宋体" w:hAnsi="宋体" w:eastAsia="楷体" w:cs="楷体_GB2312"/>
          <w:bCs/>
          <w:color w:val="auto"/>
          <w:sz w:val="32"/>
          <w:szCs w:val="32"/>
          <w:lang w:val="en-US" w:eastAsia="zh-CN"/>
        </w:rPr>
        <w:t>2、部门收支决算情况</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一是我单位2024年末实际收到的一般公共预算财政拨款收入4213.10万元，其中：一般公共预算财政拨款收入4213.10万元；二是我单位2024年基本支出为2086.96万元，其中：人员经费为1472.45万元，日常公用经费为614.51万元；三是我单位2024年项目支出为2127.19万元。</w:t>
      </w:r>
    </w:p>
    <w:p>
      <w:pPr>
        <w:numPr>
          <w:ilvl w:val="0"/>
          <w:numId w:val="1"/>
        </w:numPr>
        <w:adjustRightInd w:val="0"/>
        <w:snapToGrid w:val="0"/>
        <w:spacing w:line="560" w:lineRule="exact"/>
        <w:ind w:left="0" w:leftChars="0" w:firstLine="640" w:firstLineChars="200"/>
        <w:rPr>
          <w:rFonts w:hint="eastAsia" w:ascii="宋体" w:hAnsi="宋体" w:eastAsia="楷体" w:cs="楷体_GB2312"/>
          <w:bCs/>
          <w:color w:val="auto"/>
          <w:sz w:val="32"/>
          <w:szCs w:val="32"/>
        </w:rPr>
      </w:pPr>
      <w:r>
        <w:rPr>
          <w:rFonts w:hint="eastAsia" w:ascii="宋体" w:hAnsi="宋体" w:eastAsia="楷体" w:cs="楷体_GB2312"/>
          <w:bCs/>
          <w:color w:val="auto"/>
          <w:sz w:val="32"/>
          <w:szCs w:val="32"/>
        </w:rPr>
        <w:t>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adjustRightInd w:val="0"/>
        <w:snapToGrid w:val="0"/>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二、自评工作开展情况</w:t>
      </w:r>
    </w:p>
    <w:p>
      <w:pPr>
        <w:spacing w:line="560" w:lineRule="exact"/>
        <w:rPr>
          <w:rFonts w:hint="eastAsia" w:ascii="宋体" w:hAnsi="宋体" w:eastAsia="仿宋_GB2312" w:cs="仿宋_GB2312"/>
          <w:color w:val="auto"/>
          <w:kern w:val="2"/>
          <w:sz w:val="32"/>
          <w:szCs w:val="32"/>
          <w:lang w:val="en-US" w:eastAsia="zh-CN" w:bidi="ar"/>
        </w:rPr>
      </w:pPr>
      <w:r>
        <w:rPr>
          <w:rFonts w:hint="eastAsia" w:ascii="宋体" w:hAnsi="宋体" w:eastAsia="仿宋" w:cs="楷体_GB2312"/>
          <w:b/>
          <w:bCs/>
          <w:color w:val="auto"/>
          <w:sz w:val="32"/>
          <w:szCs w:val="32"/>
        </w:rPr>
        <w:t xml:space="preserve">    </w:t>
      </w:r>
      <w:r>
        <w:rPr>
          <w:rFonts w:hint="eastAsia" w:ascii="宋体" w:hAnsi="宋体" w:eastAsia="楷体" w:cs="楷体_GB2312"/>
          <w:bCs/>
          <w:color w:val="auto"/>
          <w:sz w:val="32"/>
          <w:szCs w:val="32"/>
        </w:rPr>
        <w:t>（一）自评的组织工作</w:t>
      </w:r>
    </w:p>
    <w:p>
      <w:pPr>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 xml:space="preserve"> 工作开展后，首先由办公室负责人事的人员进行自我评价，再由党建组进行复评工作开展是否按时、按质、按量完成，是否达到预期目标，最后提交局党委会进行审核。</w:t>
      </w:r>
    </w:p>
    <w:p>
      <w:pPr>
        <w:numPr>
          <w:ilvl w:val="0"/>
          <w:numId w:val="2"/>
        </w:numPr>
        <w:spacing w:line="560" w:lineRule="exact"/>
        <w:rPr>
          <w:rFonts w:ascii="宋体" w:hAnsi="宋体" w:eastAsia="楷体" w:cs="楷体_GB2312"/>
          <w:bCs/>
          <w:color w:val="auto"/>
          <w:sz w:val="32"/>
          <w:szCs w:val="32"/>
        </w:rPr>
      </w:pPr>
      <w:r>
        <w:rPr>
          <w:rFonts w:hint="eastAsia" w:ascii="宋体" w:hAnsi="宋体" w:eastAsia="楷体" w:cs="楷体_GB2312"/>
          <w:bCs/>
          <w:color w:val="auto"/>
          <w:sz w:val="32"/>
          <w:szCs w:val="32"/>
        </w:rPr>
        <w:t>自评的方法和过程</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该项目是专项资金，按照相</w:t>
      </w:r>
      <w:r>
        <w:rPr>
          <w:rFonts w:hint="default" w:ascii="宋体" w:hAnsi="宋体" w:eastAsia="仿宋_GB2312" w:cs="仿宋_GB2312"/>
          <w:color w:val="auto"/>
          <w:kern w:val="2"/>
          <w:sz w:val="32"/>
          <w:szCs w:val="32"/>
          <w:lang w:val="en-US" w:eastAsia="zh-CN" w:bidi="ar"/>
        </w:rPr>
        <w:t>关专项资金管理办法的</w:t>
      </w:r>
      <w:r>
        <w:rPr>
          <w:rFonts w:hint="eastAsia" w:ascii="宋体" w:hAnsi="宋体" w:eastAsia="仿宋_GB2312" w:cs="仿宋_GB2312"/>
          <w:color w:val="auto"/>
          <w:kern w:val="2"/>
          <w:sz w:val="32"/>
          <w:szCs w:val="32"/>
          <w:lang w:val="en-US" w:eastAsia="zh-CN" w:bidi="ar"/>
        </w:rPr>
        <w:t>规定</w:t>
      </w:r>
      <w:r>
        <w:rPr>
          <w:rFonts w:hint="default" w:ascii="宋体" w:hAnsi="宋体" w:eastAsia="仿宋_GB2312" w:cs="仿宋_GB2312"/>
          <w:color w:val="auto"/>
          <w:kern w:val="2"/>
          <w:sz w:val="32"/>
          <w:szCs w:val="32"/>
          <w:lang w:val="en-US" w:eastAsia="zh-CN" w:bidi="ar"/>
        </w:rPr>
        <w:t>和财务管理制度</w:t>
      </w:r>
      <w:r>
        <w:rPr>
          <w:rFonts w:hint="eastAsia" w:ascii="宋体" w:hAnsi="宋体" w:eastAsia="仿宋_GB2312" w:cs="仿宋_GB2312"/>
          <w:color w:val="auto"/>
          <w:kern w:val="2"/>
          <w:sz w:val="32"/>
          <w:szCs w:val="32"/>
          <w:lang w:val="en-US" w:eastAsia="zh-CN" w:bidi="ar"/>
        </w:rPr>
        <w:t>，专款专用；</w:t>
      </w:r>
      <w:r>
        <w:rPr>
          <w:rFonts w:hint="default" w:ascii="宋体" w:hAnsi="宋体" w:eastAsia="仿宋_GB2312" w:cs="仿宋_GB2312"/>
          <w:color w:val="auto"/>
          <w:kern w:val="2"/>
          <w:sz w:val="32"/>
          <w:szCs w:val="32"/>
          <w:lang w:val="en-US" w:eastAsia="zh-CN" w:bidi="ar"/>
        </w:rPr>
        <w:t>资金的拨付</w:t>
      </w:r>
      <w:r>
        <w:rPr>
          <w:rFonts w:hint="eastAsia" w:ascii="宋体" w:hAnsi="宋体" w:eastAsia="仿宋_GB2312" w:cs="仿宋_GB2312"/>
          <w:color w:val="auto"/>
          <w:kern w:val="2"/>
          <w:sz w:val="32"/>
          <w:szCs w:val="32"/>
          <w:lang w:val="en-US" w:eastAsia="zh-CN" w:bidi="ar"/>
        </w:rPr>
        <w:t>有</w:t>
      </w:r>
      <w:r>
        <w:rPr>
          <w:rFonts w:hint="default" w:ascii="宋体" w:hAnsi="宋体" w:eastAsia="仿宋_GB2312" w:cs="仿宋_GB2312"/>
          <w:color w:val="auto"/>
          <w:kern w:val="2"/>
          <w:sz w:val="32"/>
          <w:szCs w:val="32"/>
          <w:lang w:val="en-US" w:eastAsia="zh-CN" w:bidi="ar"/>
        </w:rPr>
        <w:t>完整的审批程序和手续</w:t>
      </w:r>
      <w:r>
        <w:rPr>
          <w:rFonts w:hint="eastAsia" w:ascii="宋体" w:hAnsi="宋体" w:eastAsia="仿宋_GB2312" w:cs="仿宋_GB2312"/>
          <w:color w:val="auto"/>
          <w:kern w:val="2"/>
          <w:sz w:val="32"/>
          <w:szCs w:val="32"/>
          <w:lang w:val="en-US" w:eastAsia="zh-CN" w:bidi="ar"/>
        </w:rPr>
        <w:t>后，按照时间要求进行发放。</w:t>
      </w:r>
    </w:p>
    <w:p>
      <w:pPr>
        <w:spacing w:line="560" w:lineRule="exact"/>
        <w:rPr>
          <w:rFonts w:ascii="宋体" w:hAnsi="宋体" w:eastAsia="黑体"/>
          <w:b/>
          <w:bCs/>
          <w:color w:val="auto"/>
          <w:sz w:val="32"/>
          <w:szCs w:val="32"/>
        </w:rPr>
      </w:pPr>
      <w:r>
        <w:rPr>
          <w:rFonts w:hint="eastAsia" w:ascii="宋体" w:hAnsi="宋体" w:eastAsia="黑体"/>
          <w:color w:val="auto"/>
          <w:sz w:val="32"/>
          <w:szCs w:val="32"/>
        </w:rPr>
        <w:t xml:space="preserve">    三、部门整体支出绩效目标实现情况及指标分析</w:t>
      </w:r>
    </w:p>
    <w:p>
      <w:pPr>
        <w:numPr>
          <w:ilvl w:val="0"/>
          <w:numId w:val="3"/>
        </w:numPr>
        <w:spacing w:line="560" w:lineRule="exact"/>
        <w:ind w:firstLine="640" w:firstLineChars="200"/>
        <w:rPr>
          <w:rFonts w:ascii="宋体" w:hAnsi="宋体" w:eastAsia="楷体" w:cs="楷体_GB2312"/>
          <w:bCs/>
          <w:color w:val="auto"/>
          <w:sz w:val="32"/>
          <w:szCs w:val="32"/>
        </w:rPr>
      </w:pPr>
      <w:r>
        <w:rPr>
          <w:rFonts w:hint="eastAsia" w:ascii="宋体" w:hAnsi="宋体" w:eastAsia="楷体" w:cs="楷体_GB2312"/>
          <w:bCs/>
          <w:color w:val="auto"/>
          <w:sz w:val="32"/>
          <w:szCs w:val="32"/>
        </w:rPr>
        <w:t>总体绩效目标实现情况</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spacing w:line="560" w:lineRule="exact"/>
        <w:rPr>
          <w:rFonts w:ascii="宋体" w:hAnsi="宋体" w:eastAsia="楷体"/>
          <w:bCs/>
          <w:color w:val="auto"/>
          <w:sz w:val="32"/>
          <w:szCs w:val="32"/>
        </w:rPr>
      </w:pPr>
      <w:r>
        <w:rPr>
          <w:rFonts w:hint="eastAsia" w:ascii="宋体" w:hAnsi="宋体" w:eastAsia="仿宋" w:cs="楷体_GB2312"/>
          <w:b/>
          <w:bCs/>
          <w:color w:val="auto"/>
          <w:sz w:val="32"/>
          <w:szCs w:val="32"/>
        </w:rPr>
        <w:t xml:space="preserve">    </w:t>
      </w:r>
      <w:r>
        <w:rPr>
          <w:rFonts w:hint="eastAsia" w:ascii="宋体" w:hAnsi="宋体" w:eastAsia="楷体" w:cs="楷体_GB2312"/>
          <w:bCs/>
          <w:color w:val="auto"/>
          <w:sz w:val="32"/>
          <w:szCs w:val="32"/>
        </w:rPr>
        <w:t>（二）分项绩效目标实现情况及指标分析</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（一）安全生产举报奖励费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区政府设立安全生产举报奖励专项”资金，全区安全生产举报奖励专项资金由区安委办统一办理，设置在区应急管理局。用于对隐患和事故举报人员的奖励，并纳入年度财政预算，专款专用。需要资金5万元，此项专项经费按实际举报情况支付。</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绩效指标：通过人民群众举报安全生产隐患，安全生产隐患整改率不小于90%，降低瞒报谎报发生率不小于80%。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（二）执法业务费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绩效指标：查出隐患整改率达到100%。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（三）政府购买应急管理服务费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绩效目标：根据执法计划抽取200家企业，聘请第三方机构，对全区生产经营单位的安全检查，对安全执法检查中能够及时发现安全隐患，有效遏制事故的发生，及时做到安全隐患的排查与发现。 </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（四）涉军劳务派遣工资</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绩效目标：我单位对符合就业困难条件军队退役人员4名，实行涉军劳务派遣岗位托管安置，帮扶救助到位，加大就业援助工作，实现就业。      </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绩效指标：涉军劳务派遣岗位托管安置人数4人。</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（五）安全员工资</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矿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绩效指标：重大隐患报告率达到100%，隐患整改率达到100%。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（六）安全宣传“五进”专项资金</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绩效指标：安全应急防灾减灾知识知晓率大于等于90%。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（七）配建无线联网式电动自行车蓄电池自动灭火充电设施</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绩效目标：在小区、学校、社区等配建无线联网式电动自行车蓄电池自动灭火充电设施100个，保障居民的充电安全，有效减少电动车充电火灾事故。</w:t>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绩效指标：持续提升我区电动自行车充电安全水平，使用该设施充电火灾事故为零。</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（八）采购应急管理综合行政执法制式服装和标志费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r>
        <w:rPr>
          <w:rFonts w:hint="eastAsia" w:ascii="宋体" w:hAnsi="宋体" w:eastAsia="仿宋_GB2312" w:cs="仿宋_GB2312"/>
          <w:color w:val="auto"/>
          <w:kern w:val="2"/>
          <w:sz w:val="32"/>
          <w:szCs w:val="32"/>
          <w:lang w:val="en-US" w:eastAsia="zh-CN" w:bidi="ar"/>
        </w:rPr>
        <w:tab/>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绩效指标：持续提升我局规范执法水平。</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（九）应急局与区政府MCU连接线路</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绩效目标：用于处置突发事件及防灾、减灾、救灾和安全生产监管使用，降低突发事件处置时间，用于同各乡镇及区直部门线路租赁费。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绩效指标：通过指挥中心实际处置突发事件数量与应处置数量之比大于等于90%以上。</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（十）重大危险源监控网络运行费及系统维护费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绩效目标：利用重大危险源网络监控系统对5家重大危险源企业进行监控，及时发现隐患并排除，把事故消灭在萌芽状态。</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绩效指标：监控重要危险源企业数量大于等于5个。</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（十一）专业型云视频接入费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绩效目标：专业型云视频接入，用于建立应急指挥中心，鹿泉区处置突发事件及防灾、减灾、救灾和安全生产监督使用，降低突发事件处置时间。保障人民生命财产安全。</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绩效指标：进一步提升我区应急指挥和救援能力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（十二）工矿商贸领域作业场所视频监控全覆盖专线资费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绩效目标:完成建设任务，用于监控视频2096路网络专线租赁费，每路22元/月,用于监管企业安全生产。　　</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绩效指标：对全区安全生产监管影响，进一步提高全区安全生产监管能力水平大于等于90%。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（十三）防汛抗旱卫星电话通讯维修费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绩效目标：缴为保障我区山区受洪涝灾害威胁村庄应急通信畅通，做好2022年防汛工作，保障12部卫星电话通畅、确保安全度过汛期。</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绩效指标：保证应急状况下12部卫星电话使用畅通。</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（十四）防汛抗旱指挥部防汛号备物资应急物品经费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绩效目标：根据河北省防汛抗旱指挥部《2023年全省防汛抗旱工作要点》冀汛【2023】1号文要求完成防汛物资号备及防汛应急用品购买，提升防汛抗旱能力，确保人员财产安全。  </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绩效指标：号备物资使用率达到90%。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（十五）农村住房灾害项目</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绩效目标：帮助受灾农民的农村住房灾后及时重建，保障全区农村约96487户住房灾后恢复重建，维护社会稳定。</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绩效指标：房屋出险率达到90%，自然灾害和意外事故造成的房屋损失出险每户最高赔付金额小于等于35000元。</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（十六）应急救援经费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绩效目标：演练费用主要用于生产安全事故预案、防火抢险、防汛抢险救援演练等的演练费用。通过演练，提升了群众避险转移能力，自救互救能力、逃生能力、方向对，跑的快。</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绩效指标：此次抢险救援实战演练，提升了防汛指挥调度和群众避险转移逃生能力；提高了水库下游村庄、森林、企业、村庄山洪灾害村群众避险转移能力。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（十七）自然灾害救助资金</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绩效目标：依据中华人民共和国国务院令（第577号）《自然灾害救助条例》第四条要求，按照最低四级避难应急响应启动标准是16600人，每人30元/天；建立健全与自然灾害救助需求相适应的资金、物质保障机。</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绩效指标：建立健全自然灾害救助雪球、物质保障制度，持续提升救助水平，保证应急情况下发挥作用。</w:t>
      </w:r>
    </w:p>
    <w:p>
      <w:pPr>
        <w:pStyle w:val="8"/>
        <w:numPr>
          <w:ilvl w:val="0"/>
          <w:numId w:val="4"/>
        </w:numPr>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防汛专班费用</w:t>
      </w:r>
    </w:p>
    <w:p>
      <w:pPr>
        <w:pStyle w:val="8"/>
        <w:numPr>
          <w:ilvl w:val="0"/>
          <w:numId w:val="0"/>
        </w:numPr>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 xml:space="preserve">        绩效目标：依据石家庄市防汛抗旱指挥部办公室石汛办【2023】15号文、区政府办公室《关于调整石家庄市鹿泉区防汛抗旱指挥部组成人员的通知》要求，省、市工作安排和区委、区政府主要领导要求，为切实做好防汛工作，确保我区陕安度汛。</w:t>
      </w:r>
    </w:p>
    <w:p>
      <w:pPr>
        <w:pStyle w:val="8"/>
        <w:numPr>
          <w:ilvl w:val="0"/>
          <w:numId w:val="0"/>
        </w:numPr>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 xml:space="preserve">        绩效指标：以防为主防救结合上下协调联动统一调度，能更及时更快的应对当前险情。</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（十九）专业森林消防队经费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绩效目标：保障区森林草原消防大队76人备勤和工作经费支出，确保队伍正常开展备勤工作，保护我区绿化成果，加强森林火灾扑救能力；进一步提高我区专业森林消防大队的专业能力。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绩效指标：保障区森林草原消防大队备勤和工作，补充扑火队伍物资和正常消耗，加强队伍对森林火灾的扑救能力。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（二十）区森林草原消防大队易址租赁费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绩效目标：租赁1771.71㎡消防办公、住宿用房和1296㎡仓库，用于区森林草原消防大队备勤训练，保障森林草原消防队伍日常正常运转。</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绩效指标：完成办公用房租赁及维护。</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（二十一）制式车辆和无人机租赁费</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依据《河北省人民政府森林草原防灭火指挥部办公室进一步加强森林草原消防专业队伍规范化建设的通知》和《石家庄市鹿泉区森林草原消防专业队伍建设实施方案》等文件中关于队伍建设、队伍职责以及规范要求，2024年度石家庄市鹿泉区森林草原消防大队租赁制式车辆和大载重无人机。</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绩效指标：保障区森林草原消防大队备勤和工作，补充扑火队伍物资和正常消耗，加强队伍对森林火灾的扑救能力。</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（二十二）2022年未支付购置扑火服费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依据《河北省人民政府森林草原防灭火指挥部办公室进一步加强森林草原消防专业队伍规范化建设的通知》和《石家庄市鹿泉区森林草原消防专业队伍建设实施方案》等文件精神，配备扑火服以保障一线扑火队员安全。</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绩效指标：保障区森林草原消防大队备勤和工作，补充扑火队伍和正常消耗，加强队伍对森林火灾的能力。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（二十三）2022年未支付晾衣房和自行车棚建设费</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依据《河北省人民政府森林草原防灭火指挥部办公室进一步加强森林草原消防专业队伍规范化建设的通知》和《石家庄市鹿泉区森林草原消防专业队伍建设实施方案》等文件精神，规范石家庄市鹿泉区森林草原基础设施建设，已于2022年完成自行车棚和晾衣房建设。</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绩效指标：保障区森林草原消防大队备勤和工作，补充扑火队伍和正常消耗，加强队伍对森林火灾的能力。</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（二十四）购置森防专业队服装费用</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保障区森林草原消防大队备勤和工作，补充扑火队伍物资和正常消耗，加强队伍对森林火灾的扑救能力正常开展，提升我区森林草原防灭火工作建设的部署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绩效指标：保障区森林草原消防大队备勤和工作，补充扑火队伍物资和正常消耗，加强队伍对森林火灾的扑救能力。</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（二十五）购置特种消防车辆</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绩效目标：结合辖区形势，需购置1部举高喷射消防车，进一步增强消防车辆装备配备及基础设施建设，增强城市抵御和防范火灾的能力，及时、高效处置火灾事故。</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绩效指标：举高喷射消防车辆正常出警完成任务率100%。</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（二十六）龙泉古镇执勤点消防装备采购</w:t>
      </w:r>
    </w:p>
    <w:p>
      <w:pPr>
        <w:pStyle w:val="8"/>
        <w:rPr>
          <w:rFonts w:hint="default"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绩效目标：用于城市主站车1辆、自装卸器材消防车1辆。为有效预防消防员在灭火救援、业务训练时有害物质和外力对消防员造成的人身伤害，提升消防员个人救援处置能力的时间。</w:t>
      </w:r>
    </w:p>
    <w:p>
      <w:pPr>
        <w:pStyle w:val="8"/>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绩效指标：保障有效提升辖区灭火救援处置能力的时间。</w:t>
      </w:r>
    </w:p>
    <w:p>
      <w:pPr>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四、评价结论和评价等级</w:t>
      </w:r>
    </w:p>
    <w:p>
      <w:pPr>
        <w:spacing w:line="500" w:lineRule="exact"/>
        <w:ind w:firstLine="640" w:firstLineChars="200"/>
        <w:jc w:val="left"/>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spacing w:line="500" w:lineRule="exact"/>
        <w:ind w:firstLine="640" w:firstLineChars="200"/>
        <w:jc w:val="left"/>
        <w:rPr>
          <w:rFonts w:ascii="宋体" w:hAnsi="宋体"/>
          <w:color w:val="auto"/>
        </w:rPr>
      </w:pPr>
      <w:r>
        <w:rPr>
          <w:rFonts w:hint="eastAsia" w:ascii="宋体" w:hAnsi="宋体" w:eastAsia="仿宋_GB2312" w:cs="仿宋_GB2312"/>
          <w:color w:val="auto"/>
          <w:kern w:val="2"/>
          <w:sz w:val="32"/>
          <w:szCs w:val="32"/>
          <w:lang w:val="en-US" w:eastAsia="zh-CN" w:bidi="ar"/>
        </w:rPr>
        <w:t xml:space="preserve">   我局评价组工作人员根据部门职责和各项工作履职情况进行综合评价，得出最终综合绩效评价等级为优秀项目42个、良好项目1个。</w:t>
      </w:r>
    </w:p>
    <w:p>
      <w:pPr>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五、存在的问题及改进措施</w:t>
      </w:r>
    </w:p>
    <w:p>
      <w:pPr>
        <w:spacing w:line="560" w:lineRule="exact"/>
        <w:ind w:firstLine="640" w:firstLineChars="200"/>
        <w:rPr>
          <w:rFonts w:hint="eastAsia" w:ascii="宋体" w:hAnsi="宋体" w:eastAsia="楷体"/>
          <w:bCs/>
          <w:color w:val="auto"/>
          <w:sz w:val="32"/>
          <w:szCs w:val="32"/>
        </w:rPr>
      </w:pPr>
      <w:r>
        <w:rPr>
          <w:rFonts w:hint="eastAsia" w:ascii="宋体" w:hAnsi="宋体" w:eastAsia="楷体"/>
          <w:bCs/>
          <w:color w:val="auto"/>
          <w:sz w:val="32"/>
          <w:szCs w:val="32"/>
        </w:rPr>
        <w:t>（一）存在的主要问题</w:t>
      </w:r>
    </w:p>
    <w:p>
      <w:pPr>
        <w:pStyle w:val="2"/>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部分项目使用资金率不足；由于财政资金紧张，预算到位率不足；非煤矿山项目由于受到大气预警影响，企业停工停产，影响项目进展，延长验收时间。</w:t>
      </w:r>
    </w:p>
    <w:p>
      <w:pPr>
        <w:spacing w:line="560" w:lineRule="exact"/>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楷体"/>
          <w:bCs/>
          <w:color w:val="auto"/>
          <w:sz w:val="32"/>
          <w:szCs w:val="32"/>
        </w:rPr>
        <w:t>（二）针对问题提出具体的改进措施或建议</w:t>
      </w:r>
    </w:p>
    <w:p>
      <w:pPr>
        <w:pStyle w:val="2"/>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预算编制和采购计划的制定要更加科学合理；今后工作中要加强与财政部门交流沟通，争取预算全部执行到位；</w:t>
      </w:r>
      <w:bookmarkStart w:id="1" w:name="OLE_LINK1"/>
      <w:r>
        <w:rPr>
          <w:rFonts w:hint="eastAsia" w:ascii="宋体" w:hAnsi="宋体" w:eastAsia="仿宋_GB2312" w:cs="仿宋_GB2312"/>
          <w:color w:val="auto"/>
          <w:kern w:val="2"/>
          <w:sz w:val="32"/>
          <w:szCs w:val="32"/>
          <w:lang w:val="en-US" w:eastAsia="zh-CN" w:bidi="ar"/>
        </w:rPr>
        <w:t>积极跟财政沟通，做好项目延期工作，并对整个项目实施过程严格落实监管责任，认真履行项目监督检查、竣工验收等职责，以确保项目治理达到预期目标，为人民群众人身和财产安全提供有力保障。</w:t>
      </w:r>
      <w:bookmarkEnd w:id="1"/>
    </w:p>
    <w:p>
      <w:pPr>
        <w:pStyle w:val="2"/>
        <w:rPr>
          <w:rFonts w:hint="eastAsia" w:ascii="宋体" w:hAnsi="宋体" w:eastAsia="仿宋_GB2312" w:cs="仿宋_GB2312"/>
          <w:color w:val="auto"/>
          <w:kern w:val="2"/>
          <w:sz w:val="32"/>
          <w:szCs w:val="32"/>
          <w:lang w:val="en-US" w:eastAsia="zh-CN" w:bidi="ar"/>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391721"/>
    <w:multiLevelType w:val="singleLevel"/>
    <w:tmpl w:val="99391721"/>
    <w:lvl w:ilvl="0" w:tentative="0">
      <w:start w:val="18"/>
      <w:numFmt w:val="chineseCounting"/>
      <w:suff w:val="nothing"/>
      <w:lvlText w:val="（%1）"/>
      <w:lvlJc w:val="left"/>
      <w:rPr>
        <w:rFonts w:hint="eastAsia"/>
      </w:rPr>
    </w:lvl>
  </w:abstractNum>
  <w:abstractNum w:abstractNumId="1">
    <w:nsid w:val="DB4E2895"/>
    <w:multiLevelType w:val="singleLevel"/>
    <w:tmpl w:val="DB4E2895"/>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0F6036E8"/>
    <w:rsid w:val="11B71E6A"/>
    <w:rsid w:val="1AAF0063"/>
    <w:rsid w:val="1BE140DE"/>
    <w:rsid w:val="248C197D"/>
    <w:rsid w:val="252959AF"/>
    <w:rsid w:val="277A6671"/>
    <w:rsid w:val="292D35B7"/>
    <w:rsid w:val="32817910"/>
    <w:rsid w:val="33EB6CFF"/>
    <w:rsid w:val="35A12947"/>
    <w:rsid w:val="37387040"/>
    <w:rsid w:val="39885D54"/>
    <w:rsid w:val="3B625C0A"/>
    <w:rsid w:val="3C2E675F"/>
    <w:rsid w:val="3CEE1963"/>
    <w:rsid w:val="436B78D3"/>
    <w:rsid w:val="48FC7B0D"/>
    <w:rsid w:val="4C9C27FE"/>
    <w:rsid w:val="512260B4"/>
    <w:rsid w:val="52BD6ACB"/>
    <w:rsid w:val="55537534"/>
    <w:rsid w:val="561A74F1"/>
    <w:rsid w:val="597244E8"/>
    <w:rsid w:val="5EB71C30"/>
    <w:rsid w:val="5EF94641"/>
    <w:rsid w:val="66AF0CE5"/>
    <w:rsid w:val="6AC537CF"/>
    <w:rsid w:val="6C88493C"/>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96</Words>
  <Characters>550</Characters>
  <Lines>4</Lines>
  <Paragraphs>1</Paragraphs>
  <TotalTime>2</TotalTime>
  <ScaleCrop>false</ScaleCrop>
  <LinksUpToDate>false</LinksUpToDate>
  <CharactersWithSpaces>645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2025-04-24T01:22:49Z</cp:lastPrinted>
  <dcterms:modified xsi:type="dcterms:W3CDTF">2025-04-24T01:23:11Z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ies>
</file>