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A3953B">
      <w:pPr>
        <w:widowControl w:val="0"/>
        <w:wordWrap/>
        <w:spacing w:line="560" w:lineRule="exact"/>
        <w:ind w:left="0" w:leftChars="0" w:right="0"/>
        <w:jc w:val="both"/>
        <w:textAlignment w:val="auto"/>
        <w:outlineLvl w:val="9"/>
        <w:rPr>
          <w:rFonts w:hint="eastAsia" w:ascii="宋体" w:hAnsi="宋体" w:cs="宋体"/>
          <w:b/>
          <w:bCs/>
          <w:sz w:val="44"/>
          <w:szCs w:val="44"/>
        </w:rPr>
      </w:pPr>
    </w:p>
    <w:p w14:paraId="034C3C7A">
      <w:pPr>
        <w:widowControl w:val="0"/>
        <w:wordWrap/>
        <w:spacing w:line="560" w:lineRule="exact"/>
        <w:ind w:left="0" w:leftChars="0" w:right="0"/>
        <w:jc w:val="center"/>
        <w:textAlignment w:val="auto"/>
        <w:outlineLvl w:val="9"/>
        <w:rPr>
          <w:rFonts w:hint="default" w:ascii="宋体" w:hAnsi="宋体" w:cs="宋体"/>
          <w:b/>
          <w:bCs/>
          <w:sz w:val="44"/>
          <w:szCs w:val="44"/>
          <w:lang w:val="en-US" w:eastAsia="zh-CN"/>
        </w:rPr>
      </w:pPr>
      <w:r>
        <w:rPr>
          <w:rFonts w:hint="eastAsia" w:ascii="宋体" w:hAnsi="宋体" w:cs="宋体"/>
          <w:b/>
          <w:bCs/>
          <w:sz w:val="44"/>
          <w:szCs w:val="44"/>
          <w:lang w:val="en-US" w:eastAsia="zh-CN"/>
        </w:rPr>
        <w:t>石家庄市鹿泉区城市管理综合执法大队</w:t>
      </w:r>
    </w:p>
    <w:p w14:paraId="237A6348">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14:paraId="00249026">
      <w:pPr>
        <w:widowControl w:val="0"/>
        <w:wordWrap/>
        <w:spacing w:line="560" w:lineRule="exact"/>
        <w:ind w:left="0" w:leftChars="0" w:right="0"/>
        <w:jc w:val="both"/>
        <w:textAlignment w:val="auto"/>
        <w:outlineLvl w:val="9"/>
        <w:rPr>
          <w:rFonts w:ascii="华文楷体" w:eastAsia="华文楷体"/>
          <w:sz w:val="32"/>
          <w:szCs w:val="32"/>
        </w:rPr>
      </w:pPr>
    </w:p>
    <w:p w14:paraId="07F58995">
      <w:pPr>
        <w:widowControl w:val="0"/>
        <w:wordWrap/>
        <w:adjustRightInd w:val="0"/>
        <w:snapToGrid w:val="0"/>
        <w:spacing w:line="56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对石家庄市鹿泉区城市管理综合执法大队</w:t>
      </w:r>
      <w:r>
        <w:rPr>
          <w:rFonts w:hint="eastAsia" w:ascii="仿宋" w:hAnsi="仿宋" w:eastAsia="仿宋"/>
          <w:sz w:val="32"/>
          <w:szCs w:val="32"/>
          <w:lang w:eastAsia="zh-CN"/>
        </w:rPr>
        <w:t>部门</w:t>
      </w:r>
      <w:r>
        <w:rPr>
          <w:rFonts w:hint="eastAsia" w:ascii="仿宋" w:hAnsi="仿宋" w:eastAsia="仿宋"/>
          <w:sz w:val="32"/>
          <w:szCs w:val="32"/>
          <w:lang w:val="en-US" w:eastAsia="zh-CN"/>
        </w:rPr>
        <w:t>2023年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57C879CB">
      <w:pPr>
        <w:widowControl w:val="0"/>
        <w:wordWrap/>
        <w:adjustRightInd w:val="0"/>
        <w:snapToGrid w:val="0"/>
        <w:spacing w:line="56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1FC2DC8A">
      <w:pPr>
        <w:widowControl w:val="0"/>
        <w:wordWrap/>
        <w:adjustRightInd w:val="0"/>
        <w:snapToGrid w:val="0"/>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4C28579A">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1、部门职能</w:t>
      </w:r>
    </w:p>
    <w:p w14:paraId="2B22D9D4">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（一）贯彻执行国家、省、市有关城市管理方面的方针政策和法律法规；拟定全区市容、环卫、渣土处置等城市管理规划、实施计划和地方性规范文件，并监督实施。</w:t>
      </w:r>
    </w:p>
    <w:p w14:paraId="7513A069">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（二）负责查处审批前占用挖掘城市道路、砍伐移栽城市树木工作。</w:t>
      </w:r>
    </w:p>
    <w:p w14:paraId="2346FA64">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（三）负责国有土地上违法占地巡查工作；配合乡镇（区）做好集体土地违法占地的巡查工作。</w:t>
      </w:r>
    </w:p>
    <w:p w14:paraId="559EF415">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（四）负责对未取得《建设工程规划许可证》或《临时建设工程规划许可证》（含市政工程类）违法建设行为的查处工作；负责配合乡镇（区）做好对未取得《乡村建设规划许可证》违法建设行为的查处工作。</w:t>
      </w:r>
    </w:p>
    <w:p w14:paraId="5BE7360D">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（五）负责取得国有土地使用权的住宅小区内私搭乱建、侵占损毁公共绿地等违法行为的查处工作。</w:t>
      </w:r>
    </w:p>
    <w:p w14:paraId="50034374">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（六）负责主城区（不含开发区）市政道路两侧私搭乱建等违反市容管理行为的查处工作；负责配合获鹿镇政府及乡镇（区）做好主城区城中村及辖区范围内的私搭乱建等影响市容行为的查处工作。</w:t>
      </w:r>
    </w:p>
    <w:p w14:paraId="33F2C4FF">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（七）依法查处取缔主城区（不含开发区）占道无照商贩、店外或专业市场外经营行为。</w:t>
      </w:r>
    </w:p>
    <w:p w14:paraId="49E021C8">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（八）负责牵头和督导相关单位对主城区（不含开发区）主要街道机动车乱停乱放侵占城市道路和公共场地行为进行查处。</w:t>
      </w:r>
    </w:p>
    <w:p w14:paraId="34F8BBEC">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1408D063">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065FF03D">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（十一）负责城乡生活垃圾处置、利用和消纳日常管理；负责区域生活垃圾压缩转运站及配套设施、设备的建设、维护与管理；依法查处从事城市生活垃圾经营性清扫、收集、运输、处理服务的违规行为。</w:t>
      </w:r>
    </w:p>
    <w:p w14:paraId="70E2ED60">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0A9A0722">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2E9FC7C6">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（十四）负责省政府决定调整的城市管理领域的其它行政处罚事项。</w:t>
      </w:r>
    </w:p>
    <w:p w14:paraId="3DEEED5E">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（十五）负责城乡环境容貌考评工作。负责主城区及各乡镇（区）政府所在地和主要交通干道环境容貌考评工作；负责组织有关市容环境卫生专项整治行动；指导乡镇（区）城管中队工作。</w:t>
      </w:r>
    </w:p>
    <w:p w14:paraId="26E04E39">
      <w:pPr>
        <w:pStyle w:val="11"/>
        <w:jc w:val="both"/>
        <w:rPr>
          <w:rFonts w:hint="eastAsia" w:ascii="仿宋" w:hAnsi="仿宋" w:eastAsia="仿宋" w:cs="仿宋"/>
          <w:kern w:val="0"/>
          <w:sz w:val="32"/>
          <w:szCs w:val="32"/>
          <w:lang w:val="en-US" w:eastAsia="zh-CN" w:bidi="ar-SA"/>
        </w:rPr>
      </w:pPr>
      <w:r>
        <w:rPr>
          <w:rFonts w:hint="eastAsia" w:ascii="仿宋" w:hAnsi="仿宋" w:eastAsia="仿宋" w:cs="仿宋"/>
          <w:kern w:val="0"/>
          <w:sz w:val="32"/>
          <w:szCs w:val="32"/>
          <w:lang w:val="en-US" w:eastAsia="zh-CN" w:bidi="ar-SA"/>
        </w:rPr>
        <w:t>备注：部分职能职责已划转，新的三定方案未批复</w:t>
      </w:r>
    </w:p>
    <w:p w14:paraId="70A4FE43">
      <w:pPr>
        <w:spacing w:line="580" w:lineRule="exact"/>
        <w:ind w:firstLine="640" w:firstLineChars="2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2、组织机构及人员、资产情况</w:t>
      </w:r>
    </w:p>
    <w:p w14:paraId="4A2DED20">
      <w:pPr>
        <w:spacing w:line="580" w:lineRule="exact"/>
        <w:ind w:firstLine="640" w:firstLineChars="200"/>
        <w:jc w:val="both"/>
        <w:rPr>
          <w:rFonts w:hint="eastAsia" w:ascii="仿宋" w:hAnsi="仿宋" w:eastAsia="仿宋" w:cs="仿宋"/>
          <w:sz w:val="32"/>
          <w:szCs w:val="32"/>
          <w:highlight w:val="none"/>
          <w:lang w:val="en-US" w:eastAsia="zh-CN"/>
        </w:rPr>
      </w:pPr>
      <w:r>
        <w:rPr>
          <w:rFonts w:hint="eastAsia" w:ascii="仿宋" w:hAnsi="仿宋" w:eastAsia="仿宋" w:cs="仿宋"/>
          <w:kern w:val="0"/>
          <w:sz w:val="32"/>
          <w:szCs w:val="32"/>
          <w:lang w:val="en-US" w:eastAsia="zh-CN"/>
        </w:rPr>
        <w:t>我单位为财政补助事业单位，</w:t>
      </w:r>
      <w:r>
        <w:rPr>
          <w:rFonts w:hint="eastAsia" w:ascii="仿宋" w:hAnsi="仿宋" w:eastAsia="仿宋" w:cs="仿宋"/>
          <w:b w:val="0"/>
          <w:bCs w:val="0"/>
          <w:kern w:val="2"/>
          <w:sz w:val="32"/>
          <w:szCs w:val="32"/>
        </w:rPr>
        <w:t>下</w:t>
      </w:r>
      <w:r>
        <w:rPr>
          <w:rFonts w:hint="eastAsia" w:ascii="仿宋" w:hAnsi="仿宋" w:eastAsia="仿宋" w:cs="仿宋"/>
          <w:kern w:val="0"/>
          <w:sz w:val="32"/>
          <w:szCs w:val="32"/>
          <w:lang w:val="en-US" w:eastAsia="zh-CN"/>
        </w:rPr>
        <w:t>设</w:t>
      </w:r>
      <w:r>
        <w:rPr>
          <w:rFonts w:hint="eastAsia" w:ascii="仿宋" w:hAnsi="仿宋" w:eastAsia="仿宋" w:cs="仿宋"/>
          <w:kern w:val="0"/>
          <w:sz w:val="32"/>
          <w:szCs w:val="32"/>
        </w:rPr>
        <w:t>石家庄市鹿泉区市容监察中队</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石家庄市鹿泉区城镇服务管理中心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石家庄市鹿泉区环境卫生管护中心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石家庄市鹿泉区城乡卫生管护中心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石家庄市鹿泉区市场服务中心</w:t>
      </w:r>
      <w:r>
        <w:rPr>
          <w:rFonts w:hint="eastAsia" w:ascii="仿宋" w:hAnsi="仿宋" w:eastAsia="仿宋" w:cs="仿宋"/>
          <w:kern w:val="0"/>
          <w:sz w:val="32"/>
          <w:szCs w:val="32"/>
          <w:lang w:val="en-US" w:eastAsia="zh-CN"/>
        </w:rPr>
        <w:t>5个下属单位。现有</w:t>
      </w:r>
      <w:r>
        <w:rPr>
          <w:rFonts w:hint="eastAsia" w:ascii="仿宋" w:hAnsi="仿宋" w:eastAsia="仿宋" w:cs="仿宋"/>
          <w:sz w:val="32"/>
          <w:szCs w:val="32"/>
          <w:highlight w:val="none"/>
        </w:rPr>
        <w:t>事业</w:t>
      </w:r>
      <w:r>
        <w:rPr>
          <w:rFonts w:hint="eastAsia" w:ascii="仿宋" w:hAnsi="仿宋" w:eastAsia="仿宋" w:cs="仿宋"/>
          <w:sz w:val="32"/>
          <w:szCs w:val="32"/>
          <w:highlight w:val="none"/>
          <w:lang w:val="en-US" w:eastAsia="zh-CN"/>
        </w:rPr>
        <w:t>在编人员130</w:t>
      </w:r>
      <w:r>
        <w:rPr>
          <w:rFonts w:hint="eastAsia" w:ascii="仿宋" w:hAnsi="仿宋" w:eastAsia="仿宋" w:cs="仿宋"/>
          <w:sz w:val="32"/>
          <w:szCs w:val="32"/>
          <w:highlight w:val="none"/>
        </w:rPr>
        <w:t>人、</w:t>
      </w:r>
      <w:r>
        <w:rPr>
          <w:rFonts w:hint="eastAsia" w:ascii="仿宋" w:hAnsi="仿宋" w:eastAsia="仿宋" w:cs="仿宋"/>
          <w:sz w:val="32"/>
          <w:szCs w:val="32"/>
          <w:highlight w:val="none"/>
          <w:lang w:val="en-US" w:eastAsia="zh-CN"/>
        </w:rPr>
        <w:t>离退休人员36人、劳动聘用人员</w:t>
      </w:r>
      <w:r>
        <w:rPr>
          <w:rFonts w:hint="eastAsia" w:ascii="仿宋" w:hAnsi="仿宋" w:eastAsia="仿宋" w:cs="仿宋"/>
          <w:color w:val="auto"/>
          <w:sz w:val="32"/>
          <w:szCs w:val="32"/>
          <w:highlight w:val="none"/>
          <w:lang w:val="en-US" w:eastAsia="zh-CN"/>
        </w:rPr>
        <w:t>330</w:t>
      </w:r>
      <w:r>
        <w:rPr>
          <w:rFonts w:hint="eastAsia" w:ascii="仿宋" w:hAnsi="仿宋" w:eastAsia="仿宋" w:cs="仿宋"/>
          <w:sz w:val="32"/>
          <w:szCs w:val="32"/>
          <w:highlight w:val="none"/>
        </w:rPr>
        <w:t>人</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其中涉军劳务派遣16人</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截至2023年底，我部门资产总计28596.68万元。</w:t>
      </w:r>
    </w:p>
    <w:p w14:paraId="17729E57">
      <w:pPr>
        <w:widowControl w:val="0"/>
        <w:numPr>
          <w:ilvl w:val="0"/>
          <w:numId w:val="1"/>
        </w:numPr>
        <w:wordWrap/>
        <w:adjustRightInd w:val="0"/>
        <w:snapToGrid w:val="0"/>
        <w:spacing w:line="560" w:lineRule="exact"/>
        <w:ind w:left="0" w:leftChars="0" w:right="0" w:firstLine="643" w:firstLineChars="200"/>
        <w:jc w:val="both"/>
        <w:textAlignment w:val="auto"/>
        <w:outlineLvl w:val="9"/>
        <w:rPr>
          <w:rFonts w:ascii="仿宋_GB2312" w:hAnsi="Times New Roman" w:eastAsia="仿宋_GB2312" w:cs="Times New Roman"/>
          <w:sz w:val="32"/>
          <w:szCs w:val="32"/>
        </w:rPr>
      </w:pPr>
      <w:r>
        <w:rPr>
          <w:rFonts w:hint="eastAsia" w:ascii="仿宋" w:hAnsi="仿宋" w:eastAsia="仿宋" w:cs="楷体_GB2312"/>
          <w:b/>
          <w:bCs/>
          <w:sz w:val="32"/>
          <w:szCs w:val="32"/>
          <w:lang w:eastAsia="zh-CN"/>
        </w:rPr>
        <w:t>部门收支预决算情况</w:t>
      </w:r>
    </w:p>
    <w:p w14:paraId="2B4D2E31">
      <w:pPr>
        <w:widowControl w:val="0"/>
        <w:numPr>
          <w:ilvl w:val="0"/>
          <w:numId w:val="0"/>
        </w:numPr>
        <w:wordWrap/>
        <w:adjustRightInd w:val="0"/>
        <w:snapToGrid w:val="0"/>
        <w:spacing w:line="560" w:lineRule="exact"/>
        <w:ind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收入</w:t>
      </w:r>
      <w:r>
        <w:rPr>
          <w:rFonts w:hint="eastAsia" w:ascii="仿宋" w:hAnsi="仿宋" w:eastAsia="仿宋" w:cs="仿宋"/>
          <w:sz w:val="32"/>
          <w:szCs w:val="32"/>
          <w:lang w:val="en-US" w:eastAsia="zh-CN"/>
        </w:rPr>
        <w:t>19270.49</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w:t>
      </w:r>
      <w:r>
        <w:rPr>
          <w:rFonts w:hint="eastAsia" w:ascii="仿宋" w:hAnsi="仿宋" w:eastAsia="仿宋" w:cs="仿宋"/>
          <w:sz w:val="32"/>
          <w:szCs w:val="32"/>
        </w:rPr>
        <w:t>增加</w:t>
      </w:r>
      <w:r>
        <w:rPr>
          <w:rFonts w:hint="eastAsia" w:ascii="仿宋" w:hAnsi="仿宋" w:eastAsia="仿宋" w:cs="仿宋"/>
          <w:sz w:val="32"/>
          <w:szCs w:val="32"/>
          <w:lang w:val="en-US" w:eastAsia="zh-CN"/>
        </w:rPr>
        <w:t>5660.31</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41.6</w:t>
      </w:r>
      <w:r>
        <w:rPr>
          <w:rFonts w:hint="eastAsia" w:ascii="仿宋" w:hAnsi="仿宋" w:eastAsia="仿宋" w:cs="仿宋"/>
          <w:sz w:val="32"/>
          <w:szCs w:val="32"/>
        </w:rPr>
        <w:t>%；</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支出</w:t>
      </w:r>
      <w:r>
        <w:rPr>
          <w:rFonts w:hint="eastAsia" w:ascii="仿宋" w:hAnsi="仿宋" w:eastAsia="仿宋" w:cs="仿宋"/>
          <w:sz w:val="32"/>
          <w:szCs w:val="32"/>
          <w:lang w:val="en-US" w:eastAsia="zh-CN"/>
        </w:rPr>
        <w:t>19238.05</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w:t>
      </w:r>
      <w:r>
        <w:rPr>
          <w:rFonts w:hint="eastAsia" w:ascii="仿宋" w:hAnsi="仿宋" w:eastAsia="仿宋" w:cs="仿宋"/>
          <w:sz w:val="32"/>
          <w:szCs w:val="32"/>
        </w:rPr>
        <w:t>增加</w:t>
      </w:r>
      <w:r>
        <w:rPr>
          <w:rFonts w:hint="eastAsia" w:ascii="仿宋" w:hAnsi="仿宋" w:eastAsia="仿宋" w:cs="仿宋"/>
          <w:sz w:val="32"/>
          <w:szCs w:val="32"/>
          <w:lang w:val="en-US" w:eastAsia="zh-CN"/>
        </w:rPr>
        <w:t>5627.87</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41.4</w:t>
      </w:r>
      <w:r>
        <w:rPr>
          <w:rFonts w:hint="eastAsia" w:ascii="仿宋" w:hAnsi="仿宋" w:eastAsia="仿宋" w:cs="仿宋"/>
          <w:sz w:val="32"/>
          <w:szCs w:val="32"/>
        </w:rPr>
        <w:t>%。具体情况如下：</w:t>
      </w:r>
    </w:p>
    <w:p w14:paraId="4711D116">
      <w:pPr>
        <w:numPr>
          <w:ilvl w:val="0"/>
          <w:numId w:val="0"/>
        </w:numPr>
        <w:adjustRightInd w:val="0"/>
        <w:snapToGrid w:val="0"/>
        <w:spacing w:line="58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一般公共预算财政拨款</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收入</w:t>
      </w:r>
      <w:r>
        <w:rPr>
          <w:rFonts w:hint="eastAsia" w:ascii="仿宋" w:hAnsi="仿宋" w:eastAsia="仿宋" w:cs="仿宋"/>
          <w:sz w:val="32"/>
          <w:szCs w:val="32"/>
          <w:lang w:val="en-US" w:eastAsia="zh-CN"/>
        </w:rPr>
        <w:t>10848.98</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较年初预算增加1376.74</w:t>
      </w:r>
      <w:r>
        <w:rPr>
          <w:rFonts w:hint="eastAsia" w:ascii="仿宋" w:hAnsi="仿宋" w:eastAsia="仿宋" w:cs="仿宋"/>
          <w:sz w:val="32"/>
          <w:szCs w:val="32"/>
        </w:rPr>
        <w:t>万元，</w:t>
      </w:r>
      <w:r>
        <w:rPr>
          <w:rFonts w:hint="eastAsia" w:ascii="仿宋" w:hAnsi="仿宋" w:eastAsia="仿宋" w:cs="仿宋"/>
          <w:sz w:val="32"/>
          <w:szCs w:val="32"/>
          <w:lang w:val="en-US" w:eastAsia="zh-CN"/>
        </w:rPr>
        <w:t>增长14.5</w:t>
      </w:r>
      <w:r>
        <w:rPr>
          <w:rFonts w:hint="eastAsia" w:ascii="仿宋" w:hAnsi="仿宋" w:eastAsia="仿宋" w:cs="仿宋"/>
          <w:sz w:val="32"/>
          <w:szCs w:val="32"/>
        </w:rPr>
        <w:t>%；</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支出</w:t>
      </w:r>
      <w:r>
        <w:rPr>
          <w:rFonts w:hint="eastAsia" w:ascii="仿宋" w:hAnsi="仿宋" w:eastAsia="仿宋" w:cs="仿宋"/>
          <w:sz w:val="32"/>
          <w:szCs w:val="32"/>
          <w:lang w:val="en-US" w:eastAsia="zh-CN"/>
        </w:rPr>
        <w:t>10848.98</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较年初预算增加1376.74</w:t>
      </w:r>
      <w:r>
        <w:rPr>
          <w:rFonts w:hint="eastAsia" w:ascii="仿宋" w:hAnsi="仿宋" w:eastAsia="仿宋" w:cs="仿宋"/>
          <w:sz w:val="32"/>
          <w:szCs w:val="32"/>
        </w:rPr>
        <w:t>万元，</w:t>
      </w:r>
      <w:r>
        <w:rPr>
          <w:rFonts w:hint="eastAsia" w:ascii="仿宋" w:hAnsi="仿宋" w:eastAsia="仿宋" w:cs="仿宋"/>
          <w:sz w:val="32"/>
          <w:szCs w:val="32"/>
          <w:lang w:val="en-US" w:eastAsia="zh-CN"/>
        </w:rPr>
        <w:t>增长14.5</w:t>
      </w:r>
      <w:r>
        <w:rPr>
          <w:rFonts w:hint="eastAsia" w:ascii="仿宋" w:hAnsi="仿宋" w:eastAsia="仿宋" w:cs="仿宋"/>
          <w:sz w:val="32"/>
          <w:szCs w:val="32"/>
        </w:rPr>
        <w:t>%。</w:t>
      </w:r>
    </w:p>
    <w:p w14:paraId="4BE8B4EB">
      <w:pPr>
        <w:numPr>
          <w:ilvl w:val="0"/>
          <w:numId w:val="0"/>
        </w:numPr>
        <w:adjustRightInd w:val="0"/>
        <w:snapToGrid w:val="0"/>
        <w:spacing w:line="58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政府性基金预算财政拨款</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收入</w:t>
      </w:r>
      <w:r>
        <w:rPr>
          <w:rFonts w:hint="eastAsia" w:ascii="仿宋" w:hAnsi="仿宋" w:eastAsia="仿宋" w:cs="仿宋"/>
          <w:sz w:val="32"/>
          <w:szCs w:val="32"/>
          <w:lang w:val="en-US" w:eastAsia="zh-CN"/>
        </w:rPr>
        <w:t>7085.77</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w:t>
      </w:r>
      <w:r>
        <w:rPr>
          <w:rFonts w:hint="eastAsia" w:ascii="仿宋" w:hAnsi="仿宋" w:eastAsia="仿宋" w:cs="仿宋"/>
          <w:sz w:val="32"/>
          <w:szCs w:val="32"/>
        </w:rPr>
        <w:t>增加</w:t>
      </w:r>
      <w:r>
        <w:rPr>
          <w:rFonts w:hint="eastAsia" w:ascii="仿宋" w:hAnsi="仿宋" w:eastAsia="仿宋" w:cs="仿宋"/>
          <w:sz w:val="32"/>
          <w:szCs w:val="32"/>
          <w:lang w:val="en-US" w:eastAsia="zh-CN"/>
        </w:rPr>
        <w:t>3057.83</w:t>
      </w:r>
      <w:r>
        <w:rPr>
          <w:rFonts w:hint="eastAsia" w:ascii="仿宋" w:hAnsi="仿宋" w:eastAsia="仿宋" w:cs="仿宋"/>
          <w:sz w:val="32"/>
          <w:szCs w:val="32"/>
        </w:rPr>
        <w:t>万元，增长</w:t>
      </w:r>
      <w:r>
        <w:rPr>
          <w:rFonts w:hint="eastAsia" w:ascii="仿宋" w:hAnsi="仿宋" w:eastAsia="仿宋" w:cs="仿宋"/>
          <w:sz w:val="32"/>
          <w:szCs w:val="32"/>
          <w:lang w:val="en-US" w:eastAsia="zh-CN"/>
        </w:rPr>
        <w:t>75.9</w:t>
      </w:r>
      <w:r>
        <w:rPr>
          <w:rFonts w:hint="eastAsia" w:ascii="仿宋" w:hAnsi="仿宋" w:eastAsia="仿宋" w:cs="仿宋"/>
          <w:sz w:val="32"/>
          <w:szCs w:val="32"/>
        </w:rPr>
        <w:t>%；</w:t>
      </w:r>
      <w:r>
        <w:rPr>
          <w:rFonts w:hint="eastAsia" w:ascii="仿宋" w:hAnsi="仿宋" w:eastAsia="仿宋" w:cs="仿宋"/>
          <w:sz w:val="32"/>
          <w:szCs w:val="32"/>
          <w:lang w:val="en-US" w:eastAsia="zh-CN"/>
        </w:rPr>
        <w:t>决算本年</w:t>
      </w:r>
      <w:r>
        <w:rPr>
          <w:rFonts w:hint="eastAsia" w:ascii="仿宋" w:hAnsi="仿宋" w:eastAsia="仿宋" w:cs="仿宋"/>
          <w:sz w:val="32"/>
          <w:szCs w:val="32"/>
        </w:rPr>
        <w:t>支出</w:t>
      </w:r>
      <w:r>
        <w:rPr>
          <w:rFonts w:hint="eastAsia" w:ascii="仿宋" w:hAnsi="仿宋" w:eastAsia="仿宋" w:cs="仿宋"/>
          <w:sz w:val="32"/>
          <w:szCs w:val="32"/>
          <w:lang w:val="en-US" w:eastAsia="zh-CN"/>
        </w:rPr>
        <w:t>7085.77</w:t>
      </w:r>
      <w:r>
        <w:rPr>
          <w:rFonts w:hint="eastAsia" w:ascii="仿宋" w:hAnsi="仿宋" w:eastAsia="仿宋" w:cs="仿宋"/>
          <w:sz w:val="32"/>
          <w:szCs w:val="32"/>
        </w:rPr>
        <w:t>万元，</w:t>
      </w:r>
      <w:r>
        <w:rPr>
          <w:rFonts w:hint="eastAsia" w:ascii="仿宋" w:hAnsi="仿宋" w:eastAsia="仿宋" w:cs="仿宋"/>
          <w:sz w:val="32"/>
          <w:szCs w:val="32"/>
          <w:lang w:val="en-US" w:eastAsia="zh-CN"/>
        </w:rPr>
        <w:t>较年初预算</w:t>
      </w:r>
      <w:r>
        <w:rPr>
          <w:rFonts w:hint="eastAsia" w:ascii="仿宋" w:hAnsi="仿宋" w:eastAsia="仿宋" w:cs="仿宋"/>
          <w:sz w:val="32"/>
          <w:szCs w:val="32"/>
        </w:rPr>
        <w:t>增加</w:t>
      </w:r>
      <w:r>
        <w:rPr>
          <w:rFonts w:hint="eastAsia" w:ascii="仿宋" w:hAnsi="仿宋" w:eastAsia="仿宋" w:cs="仿宋"/>
          <w:sz w:val="32"/>
          <w:szCs w:val="32"/>
          <w:lang w:val="en-US" w:eastAsia="zh-CN"/>
        </w:rPr>
        <w:t>3057.83</w:t>
      </w:r>
      <w:r>
        <w:rPr>
          <w:rFonts w:hint="eastAsia" w:ascii="仿宋" w:hAnsi="仿宋" w:eastAsia="仿宋" w:cs="仿宋"/>
          <w:sz w:val="32"/>
          <w:szCs w:val="32"/>
        </w:rPr>
        <w:t>万元，增长</w:t>
      </w:r>
      <w:r>
        <w:rPr>
          <w:rFonts w:hint="eastAsia" w:ascii="仿宋" w:hAnsi="仿宋" w:eastAsia="仿宋" w:cs="仿宋"/>
          <w:sz w:val="32"/>
          <w:szCs w:val="32"/>
          <w:lang w:val="en-US" w:eastAsia="zh-CN"/>
        </w:rPr>
        <w:t>75.9</w:t>
      </w:r>
      <w:r>
        <w:rPr>
          <w:rFonts w:hint="eastAsia" w:ascii="仿宋" w:hAnsi="仿宋" w:eastAsia="仿宋" w:cs="仿宋"/>
          <w:sz w:val="32"/>
          <w:szCs w:val="32"/>
        </w:rPr>
        <w:t>%。</w:t>
      </w:r>
    </w:p>
    <w:p w14:paraId="05836471">
      <w:pPr>
        <w:numPr>
          <w:ilvl w:val="0"/>
          <w:numId w:val="0"/>
        </w:numPr>
        <w:adjustRightInd w:val="0"/>
        <w:snapToGrid w:val="0"/>
        <w:spacing w:line="580" w:lineRule="exact"/>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3、经营收入决算本年收入99.85万元，年初预算收入110万元，较年初预算减少10.15万元，降低9.2％；本年决算经营支出67.4万元，年初预算支出110万元，较年初预算减少42.6万元，降低38.7％。</w:t>
      </w:r>
    </w:p>
    <w:p w14:paraId="28FA35FE">
      <w:pPr>
        <w:numPr>
          <w:ilvl w:val="0"/>
          <w:numId w:val="0"/>
        </w:numPr>
        <w:adjustRightInd w:val="0"/>
        <w:snapToGrid w:val="0"/>
        <w:spacing w:line="580" w:lineRule="exact"/>
        <w:ind w:firstLine="640" w:firstLineChars="200"/>
        <w:jc w:val="both"/>
        <w:rPr>
          <w:rFonts w:hint="default" w:ascii="仿宋_GB2312" w:hAnsi="Times New Roman" w:eastAsia="仿宋_GB2312" w:cs="仿宋_GB2312"/>
          <w:sz w:val="32"/>
          <w:szCs w:val="32"/>
          <w:lang w:val="en-US" w:eastAsia="zh-CN"/>
        </w:rPr>
      </w:pPr>
      <w:r>
        <w:rPr>
          <w:rFonts w:hint="eastAsia" w:ascii="仿宋" w:hAnsi="仿宋" w:eastAsia="仿宋" w:cs="仿宋"/>
          <w:sz w:val="32"/>
          <w:szCs w:val="32"/>
          <w:lang w:val="en-US" w:eastAsia="zh-CN"/>
        </w:rPr>
        <w:t>4、其他收入决算本年收入1210.4万元，本年支出1210.4万元。</w:t>
      </w:r>
    </w:p>
    <w:p w14:paraId="5F162617">
      <w:pPr>
        <w:widowControl w:val="0"/>
        <w:wordWrap/>
        <w:adjustRightInd w:val="0"/>
        <w:snapToGrid w:val="0"/>
        <w:spacing w:line="560" w:lineRule="exact"/>
        <w:ind w:left="0" w:leftChars="0" w:right="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7105207A">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围绕我区“经济强区、魅力鹿泉、生态宜居宜业宜游新城区”工作目标，全面贯彻新发展理念，坚持党建工作与业务工作同安排，紧紧围绕“六区同创”等重点工作部署，拉高标杆、积极作为，在环境卫生保洁、市容市貌管理、市场秩序规范等方面加强精细化管理，通过提升城区品质、实施城市精细化管理，为广大群众提供一个环境美丽、洁净舒适的城市生活环境，实现城市容貌治理效能和文明城市建设常态化的双提升。</w:t>
      </w:r>
      <w:r>
        <w:rPr>
          <w:rFonts w:hint="eastAsia" w:ascii="仿宋" w:hAnsi="仿宋" w:eastAsia="仿宋" w:cs="仿宋"/>
          <w:sz w:val="32"/>
          <w:szCs w:val="32"/>
          <w:lang w:eastAsia="zh-CN"/>
        </w:rPr>
        <w:t>在数量指标、成本指标、效率指标、社会效益、生态效益指标等方面进行绩效考量。</w:t>
      </w:r>
    </w:p>
    <w:p w14:paraId="6E1DDA67">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总目标：细化预算编制工作，认真做好预算编制；加强财务管理，严格审核制度，落实预算执行，确保资金使用的透明度和规范性；抓好“三公经费”控制管理，确保各项业务工作任务圆满完成。</w:t>
      </w:r>
    </w:p>
    <w:p w14:paraId="5D81619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预决算公开：2023年按照上级要求，我单位在政府网站进行了预决算公开。</w:t>
      </w:r>
    </w:p>
    <w:p w14:paraId="3C374E5B">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资产管理：我部门进一步加强资产的管理，制定了《资产管理内控制度》等制度，明确了具体责任人，完善了固定资产档案，严格报批、销审等手续，做好资产登记工作，单位无资产流失现象。</w:t>
      </w:r>
    </w:p>
    <w:p w14:paraId="159E6B58">
      <w:pPr>
        <w:adjustRightInd w:val="0"/>
        <w:snapToGrid w:val="0"/>
        <w:spacing w:line="58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三公经费控制情况：我部门贯彻落实上级有关精神，严格控制“三公经费”支出，取得了良好的效果。具体情况如下：</w:t>
      </w: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年度“三公”经费财政拨款支出预算为</w:t>
      </w:r>
      <w:r>
        <w:rPr>
          <w:rFonts w:hint="eastAsia" w:ascii="仿宋" w:hAnsi="仿宋" w:eastAsia="仿宋" w:cs="仿宋"/>
          <w:sz w:val="32"/>
          <w:szCs w:val="32"/>
          <w:lang w:val="en-US" w:eastAsia="zh-CN"/>
        </w:rPr>
        <w:t>30.5</w:t>
      </w:r>
      <w:r>
        <w:rPr>
          <w:rFonts w:hint="eastAsia" w:ascii="仿宋" w:hAnsi="仿宋" w:eastAsia="仿宋" w:cs="仿宋"/>
          <w:sz w:val="32"/>
          <w:szCs w:val="32"/>
        </w:rPr>
        <w:t>万元，支出决算为</w:t>
      </w:r>
      <w:r>
        <w:rPr>
          <w:rFonts w:hint="eastAsia" w:ascii="仿宋" w:hAnsi="仿宋" w:eastAsia="仿宋" w:cs="仿宋"/>
          <w:sz w:val="32"/>
          <w:szCs w:val="32"/>
          <w:lang w:val="en-US" w:eastAsia="zh-CN"/>
        </w:rPr>
        <w:t>29.7</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97.4</w:t>
      </w:r>
      <w:r>
        <w:rPr>
          <w:rFonts w:hint="eastAsia" w:ascii="仿宋" w:hAnsi="仿宋" w:eastAsia="仿宋" w:cs="仿宋"/>
          <w:sz w:val="32"/>
          <w:szCs w:val="32"/>
        </w:rPr>
        <w:t>%,较预算减少</w:t>
      </w:r>
      <w:r>
        <w:rPr>
          <w:rFonts w:hint="eastAsia" w:ascii="仿宋" w:hAnsi="仿宋" w:eastAsia="仿宋" w:cs="仿宋"/>
          <w:sz w:val="32"/>
          <w:szCs w:val="32"/>
          <w:lang w:val="en-US" w:eastAsia="zh-CN"/>
        </w:rPr>
        <w:t>0.8</w:t>
      </w:r>
      <w:r>
        <w:rPr>
          <w:rFonts w:hint="eastAsia" w:ascii="仿宋" w:hAnsi="仿宋" w:eastAsia="仿宋" w:cs="仿宋"/>
          <w:sz w:val="32"/>
          <w:szCs w:val="32"/>
        </w:rPr>
        <w:t>万元，降低</w:t>
      </w:r>
      <w:r>
        <w:rPr>
          <w:rFonts w:hint="eastAsia" w:ascii="仿宋" w:hAnsi="仿宋" w:eastAsia="仿宋" w:cs="仿宋"/>
          <w:sz w:val="32"/>
          <w:szCs w:val="32"/>
          <w:lang w:val="en-US" w:eastAsia="zh-CN"/>
        </w:rPr>
        <w:t>2.6</w:t>
      </w:r>
      <w:r>
        <w:rPr>
          <w:rFonts w:hint="eastAsia" w:ascii="仿宋" w:hAnsi="仿宋" w:eastAsia="仿宋" w:cs="仿宋"/>
          <w:sz w:val="32"/>
          <w:szCs w:val="32"/>
        </w:rPr>
        <w:t>%，主要是</w:t>
      </w:r>
      <w:r>
        <w:rPr>
          <w:rFonts w:hint="eastAsia" w:ascii="仿宋" w:hAnsi="仿宋" w:eastAsia="仿宋" w:cs="仿宋"/>
          <w:sz w:val="32"/>
          <w:szCs w:val="32"/>
          <w:lang w:val="en-US" w:eastAsia="zh-CN"/>
        </w:rPr>
        <w:t>严格按照预算执行，厉行勤俭节约</w:t>
      </w:r>
      <w:r>
        <w:rPr>
          <w:rFonts w:hint="eastAsia" w:ascii="仿宋" w:hAnsi="仿宋" w:eastAsia="仿宋" w:cs="仿宋"/>
          <w:sz w:val="32"/>
          <w:szCs w:val="32"/>
        </w:rPr>
        <w:t>；较202</w:t>
      </w:r>
      <w:r>
        <w:rPr>
          <w:rFonts w:hint="eastAsia" w:ascii="仿宋" w:hAnsi="仿宋" w:eastAsia="仿宋" w:cs="仿宋"/>
          <w:sz w:val="32"/>
          <w:szCs w:val="32"/>
          <w:lang w:val="en-US" w:eastAsia="zh-CN"/>
        </w:rPr>
        <w:t>2</w:t>
      </w:r>
      <w:r>
        <w:rPr>
          <w:rFonts w:hint="eastAsia" w:ascii="仿宋" w:hAnsi="仿宋" w:eastAsia="仿宋" w:cs="仿宋"/>
          <w:sz w:val="32"/>
          <w:szCs w:val="32"/>
        </w:rPr>
        <w:t>年度决算减少</w:t>
      </w:r>
      <w:r>
        <w:rPr>
          <w:rFonts w:hint="eastAsia" w:ascii="仿宋" w:hAnsi="仿宋" w:eastAsia="仿宋" w:cs="仿宋"/>
          <w:sz w:val="32"/>
          <w:szCs w:val="32"/>
          <w:lang w:val="en-US" w:eastAsia="zh-CN"/>
        </w:rPr>
        <w:t>1.61</w:t>
      </w:r>
      <w:r>
        <w:rPr>
          <w:rFonts w:hint="eastAsia" w:ascii="仿宋" w:hAnsi="仿宋" w:eastAsia="仿宋" w:cs="仿宋"/>
          <w:sz w:val="32"/>
          <w:szCs w:val="32"/>
        </w:rPr>
        <w:t>万元，降低</w:t>
      </w:r>
      <w:r>
        <w:rPr>
          <w:rFonts w:hint="eastAsia" w:ascii="仿宋" w:hAnsi="仿宋" w:eastAsia="仿宋" w:cs="仿宋"/>
          <w:sz w:val="32"/>
          <w:szCs w:val="32"/>
          <w:lang w:val="en-US" w:eastAsia="zh-CN"/>
        </w:rPr>
        <w:t>5.1</w:t>
      </w:r>
      <w:r>
        <w:rPr>
          <w:rFonts w:hint="eastAsia" w:ascii="仿宋" w:hAnsi="仿宋" w:eastAsia="仿宋" w:cs="仿宋"/>
          <w:sz w:val="32"/>
          <w:szCs w:val="32"/>
        </w:rPr>
        <w:t>%，主要是</w:t>
      </w:r>
      <w:r>
        <w:rPr>
          <w:rFonts w:hint="eastAsia" w:ascii="仿宋" w:hAnsi="仿宋" w:eastAsia="仿宋" w:cs="仿宋"/>
          <w:sz w:val="32"/>
          <w:szCs w:val="32"/>
          <w:lang w:val="en-US" w:eastAsia="zh-CN"/>
        </w:rPr>
        <w:t>厉行勤俭节约</w:t>
      </w:r>
      <w:r>
        <w:rPr>
          <w:rFonts w:hint="eastAsia" w:ascii="仿宋" w:hAnsi="仿宋" w:eastAsia="仿宋" w:cs="仿宋"/>
          <w:sz w:val="32"/>
          <w:szCs w:val="32"/>
        </w:rPr>
        <w:t>。</w:t>
      </w:r>
    </w:p>
    <w:p w14:paraId="1C36A00B">
      <w:pPr>
        <w:pStyle w:val="7"/>
        <w:pageBreakBefore w:val="0"/>
        <w:widowControl w:val="0"/>
        <w:kinsoku/>
        <w:wordWrap/>
        <w:overflowPunct/>
        <w:topLinePunct w:val="0"/>
        <w:autoSpaceDE/>
        <w:autoSpaceDN/>
        <w:bidi w:val="0"/>
        <w:spacing w:line="540" w:lineRule="exact"/>
        <w:ind w:left="0" w:leftChars="0" w:right="0" w:rightChars="0"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14:paraId="3832BFCA">
      <w:pPr>
        <w:pStyle w:val="7"/>
        <w:pageBreakBefore w:val="0"/>
        <w:widowControl w:val="0"/>
        <w:kinsoku/>
        <w:wordWrap/>
        <w:overflowPunct/>
        <w:topLinePunct w:val="0"/>
        <w:autoSpaceDE/>
        <w:autoSpaceDN/>
        <w:bidi w:val="0"/>
        <w:spacing w:line="540" w:lineRule="exact"/>
        <w:ind w:right="0" w:rightChars="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项目绩效总目标完成情况：2023年我部门完成各项工作任务。</w:t>
      </w:r>
    </w:p>
    <w:p w14:paraId="04EEC664">
      <w:pPr>
        <w:pStyle w:val="7"/>
        <w:pageBreakBefore w:val="0"/>
        <w:widowControl w:val="0"/>
        <w:kinsoku/>
        <w:wordWrap/>
        <w:overflowPunct/>
        <w:topLinePunct w:val="0"/>
        <w:autoSpaceDE/>
        <w:autoSpaceDN/>
        <w:bidi w:val="0"/>
        <w:spacing w:line="540" w:lineRule="exact"/>
        <w:ind w:right="0" w:rightChars="0"/>
        <w:jc w:val="both"/>
        <w:rPr>
          <w:rFonts w:hint="default"/>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14:paraId="014DFA9E">
      <w:pPr>
        <w:widowControl w:val="0"/>
        <w:wordWrap/>
        <w:adjustRightInd w:val="0"/>
        <w:snapToGrid w:val="0"/>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7163FAAE">
      <w:pPr>
        <w:widowControl w:val="0"/>
        <w:wordWrap/>
        <w:spacing w:line="560" w:lineRule="exact"/>
        <w:ind w:left="0" w:leftChars="0" w:right="0"/>
        <w:jc w:val="both"/>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2A2B3F03">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根据区财政局《关于开展2023年绩效自评工作的通知》相关要求，对2022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2022年区级预算项目进行自查自评，形成绩效评价报告。</w:t>
      </w:r>
    </w:p>
    <w:p w14:paraId="4F418BC2">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本次评价通过</w:t>
      </w:r>
      <w:r>
        <w:rPr>
          <w:rFonts w:hint="eastAsia" w:ascii="仿宋" w:hAnsi="仿宋" w:eastAsia="仿宋" w:cs="仿宋"/>
          <w:sz w:val="32"/>
          <w:szCs w:val="32"/>
          <w:lang w:val="en-US" w:eastAsia="zh-CN"/>
        </w:rPr>
        <w:t>全面、</w:t>
      </w:r>
      <w:r>
        <w:rPr>
          <w:rFonts w:hint="eastAsia" w:ascii="仿宋" w:hAnsi="仿宋" w:eastAsia="仿宋" w:cs="仿宋"/>
          <w:sz w:val="32"/>
          <w:szCs w:val="32"/>
        </w:rPr>
        <w:t>客观</w:t>
      </w:r>
      <w:r>
        <w:rPr>
          <w:rFonts w:hint="eastAsia" w:ascii="仿宋" w:hAnsi="仿宋" w:eastAsia="仿宋" w:cs="仿宋"/>
          <w:sz w:val="32"/>
          <w:szCs w:val="32"/>
          <w:lang w:eastAsia="zh-CN"/>
        </w:rPr>
        <w:t>、</w:t>
      </w:r>
      <w:r>
        <w:rPr>
          <w:rFonts w:hint="eastAsia" w:ascii="仿宋" w:hAnsi="仿宋" w:eastAsia="仿宋" w:cs="仿宋"/>
          <w:sz w:val="32"/>
          <w:szCs w:val="32"/>
        </w:rPr>
        <w:t>公正地核查项目经费使用情况及预期目标实现程度，考评资金支出效率和综合效果，</w:t>
      </w:r>
      <w:r>
        <w:rPr>
          <w:rFonts w:hint="eastAsia" w:ascii="仿宋" w:hAnsi="仿宋" w:eastAsia="仿宋" w:cs="仿宋"/>
          <w:kern w:val="2"/>
          <w:sz w:val="32"/>
          <w:szCs w:val="32"/>
          <w:lang w:val="en-US" w:eastAsia="zh-CN" w:bidi="ar-SA"/>
        </w:rPr>
        <w:t>整理分析形成绩效报告，确保评价结果的可信度和有效性，能够清晰明了地反映项目的整体绩效情况。同时，</w:t>
      </w:r>
      <w:r>
        <w:rPr>
          <w:rFonts w:hint="eastAsia" w:ascii="仿宋" w:hAnsi="仿宋" w:eastAsia="仿宋" w:cs="仿宋"/>
          <w:sz w:val="32"/>
          <w:szCs w:val="32"/>
        </w:rPr>
        <w:t>及时总结经验，分析存在的问题及原因，进一步推进财政资金科学化、精细化管理，不断提高财政专项资金管理水平和使用效率。</w:t>
      </w:r>
    </w:p>
    <w:p w14:paraId="1A13DA4D">
      <w:pPr>
        <w:widowControl w:val="0"/>
        <w:numPr>
          <w:ilvl w:val="0"/>
          <w:numId w:val="2"/>
        </w:numPr>
        <w:wordWrap/>
        <w:spacing w:line="560" w:lineRule="exact"/>
        <w:ind w:left="630" w:leftChars="0" w:right="0" w:firstLine="0" w:firstLineChars="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38507BAE">
      <w:pPr>
        <w:spacing w:line="600" w:lineRule="exact"/>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1、自评方法</w:t>
      </w:r>
    </w:p>
    <w:p w14:paraId="5A645816">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14:paraId="05061435">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14:paraId="16052F83">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14:paraId="3A9F2150">
      <w:pPr>
        <w:spacing w:line="600" w:lineRule="exact"/>
        <w:ind w:firstLine="643" w:firstLineChars="200"/>
        <w:jc w:val="both"/>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评价工作过程</w:t>
      </w:r>
    </w:p>
    <w:p w14:paraId="64328B84">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14:paraId="08BD5E63">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14:paraId="7F46D53A">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第二阶段：按照区财政局要求，进行自查。</w:t>
      </w:r>
    </w:p>
    <w:p w14:paraId="50C8D851">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w:t>
      </w:r>
    </w:p>
    <w:p w14:paraId="46F5D877">
      <w:pPr>
        <w:widowControl w:val="0"/>
        <w:wordWrap/>
        <w:spacing w:line="560" w:lineRule="exact"/>
        <w:ind w:left="0" w:leftChars="0" w:right="0"/>
        <w:jc w:val="both"/>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2DC7472E">
      <w:pPr>
        <w:widowControl w:val="0"/>
        <w:numPr>
          <w:ilvl w:val="0"/>
          <w:numId w:val="3"/>
        </w:numPr>
        <w:wordWrap/>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5A974D9D">
      <w:pPr>
        <w:pStyle w:val="14"/>
        <w:jc w:val="both"/>
        <w:rPr>
          <w:rFonts w:hint="eastAsia" w:ascii="仿宋" w:hAnsi="仿宋" w:eastAsia="仿宋" w:cs="仿宋"/>
          <w:color w:val="auto"/>
          <w:lang w:val="en-US" w:eastAsia="zh-CN"/>
        </w:rPr>
      </w:pPr>
      <w:r>
        <w:rPr>
          <w:rFonts w:hint="eastAsia" w:ascii="仿宋" w:hAnsi="仿宋" w:eastAsia="仿宋" w:cs="仿宋"/>
          <w:sz w:val="32"/>
          <w:szCs w:val="32"/>
          <w:lang w:val="en-US" w:eastAsia="zh-CN"/>
        </w:rPr>
        <w:t>2023年我单位实施项目100项，预算总金额14412.74万元，预算总支出13078.37万元，预算执行率为90.74%。</w:t>
      </w:r>
      <w:r>
        <w:rPr>
          <w:rFonts w:hint="eastAsia" w:ascii="仿宋" w:hAnsi="仿宋" w:eastAsia="仿宋" w:cs="仿宋"/>
          <w:kern w:val="2"/>
          <w:sz w:val="32"/>
          <w:szCs w:val="32"/>
          <w:lang w:val="en-US" w:eastAsia="zh-CN" w:bidi="ar-SA"/>
        </w:rPr>
        <w:t>在市容整治、环境提升、城管执法、垃圾分类等方面加强精细化管理，通过提升城区品质、实施城市精细化管理，为广大群众提供一个环境美丽、洁净舒适的城市生活环境，实现城市容貌治理效能和文明城市建设常态化的双提升。</w:t>
      </w:r>
    </w:p>
    <w:p w14:paraId="69CD985C">
      <w:pPr>
        <w:widowControl w:val="0"/>
        <w:wordWrap/>
        <w:spacing w:line="560" w:lineRule="exact"/>
        <w:ind w:left="0" w:leftChars="0" w:right="0"/>
        <w:jc w:val="both"/>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48236B20">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sz w:val="32"/>
          <w:szCs w:val="32"/>
          <w:highlight w:val="none"/>
          <w:lang w:val="en-US" w:eastAsia="zh-CN"/>
        </w:rPr>
        <w:t>城市管理继续常态化、精细化。</w:t>
      </w:r>
      <w:r>
        <w:rPr>
          <w:rFonts w:hint="eastAsia" w:ascii="仿宋" w:hAnsi="仿宋" w:eastAsia="仿宋" w:cs="仿宋"/>
          <w:b w:val="0"/>
          <w:bCs w:val="0"/>
          <w:color w:val="auto"/>
          <w:sz w:val="32"/>
          <w:szCs w:val="32"/>
          <w:lang w:val="en-US" w:eastAsia="zh-CN"/>
        </w:rPr>
        <w:t>我单位持续加强常态化、精细化管理工作，</w:t>
      </w:r>
      <w:r>
        <w:rPr>
          <w:rFonts w:hint="eastAsia" w:ascii="仿宋" w:hAnsi="仿宋" w:eastAsia="仿宋" w:cs="仿宋"/>
          <w:b w:val="0"/>
          <w:bCs w:val="0"/>
          <w:color w:val="auto"/>
          <w:sz w:val="32"/>
          <w:szCs w:val="32"/>
          <w:lang w:eastAsia="zh-CN"/>
        </w:rPr>
        <w:t>认真履行职能，以“七大专项整治行动”为抓手，围绕</w:t>
      </w:r>
      <w:r>
        <w:rPr>
          <w:rFonts w:hint="eastAsia" w:ascii="仿宋" w:hAnsi="仿宋" w:eastAsia="仿宋" w:cs="仿宋"/>
          <w:color w:val="auto"/>
          <w:sz w:val="32"/>
          <w:szCs w:val="32"/>
          <w:lang w:val="en-US" w:eastAsia="zh-CN"/>
        </w:rPr>
        <w:t>“三统筹三扩大四创建”</w:t>
      </w:r>
      <w:r>
        <w:rPr>
          <w:rFonts w:hint="eastAsia" w:ascii="仿宋" w:hAnsi="仿宋" w:eastAsia="仿宋" w:cs="仿宋"/>
          <w:b w:val="0"/>
          <w:bCs w:val="0"/>
          <w:color w:val="auto"/>
          <w:sz w:val="32"/>
          <w:szCs w:val="32"/>
          <w:lang w:val="en-US" w:eastAsia="zh-CN"/>
        </w:rPr>
        <w:t>工作，全面加强城市管理，开展专项整治，持续保持环境整治与创建工作的双提升。</w:t>
      </w:r>
    </w:p>
    <w:p w14:paraId="749F8142">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经费保障及时到位，保证人员开支，保障日常工作正常运转，及时高效治理相关违法行为，提升城乡环境容貌水平，提高群众满意度。对城市基础设施进行精细化管理，保障城市基础设施的正常运行和维修保养，提高城市基础设施的完好率和安全性，保障城管项目基础设施、软硬件正常运转，打造宜居生活环境，维护社会长久发展。</w:t>
      </w:r>
    </w:p>
    <w:p w14:paraId="058AD623">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b w:val="0"/>
          <w:bCs w:val="0"/>
          <w:color w:val="auto"/>
          <w:sz w:val="32"/>
          <w:szCs w:val="32"/>
          <w:lang w:val="en-US" w:eastAsia="zh-CN"/>
        </w:rPr>
        <w:t>绩效指标：</w:t>
      </w:r>
      <w:r>
        <w:rPr>
          <w:rFonts w:hint="eastAsia" w:ascii="仿宋" w:hAnsi="仿宋" w:eastAsia="仿宋" w:cs="仿宋"/>
          <w:sz w:val="32"/>
          <w:szCs w:val="32"/>
          <w:lang w:val="en-US" w:eastAsia="zh-CN"/>
        </w:rPr>
        <w:t>累计</w:t>
      </w:r>
      <w:r>
        <w:rPr>
          <w:rFonts w:hint="eastAsia" w:ascii="仿宋" w:hAnsi="仿宋" w:eastAsia="仿宋" w:cs="仿宋"/>
          <w:color w:val="auto"/>
          <w:sz w:val="32"/>
          <w:szCs w:val="32"/>
          <w:u w:val="none"/>
          <w:lang w:val="en-US" w:eastAsia="zh-CN"/>
        </w:rPr>
        <w:t>发放《规范非机动车停放秩序告知书》宣传页2000余份，增划、补划非机动车停车线2587米，</w:t>
      </w:r>
      <w:r>
        <w:rPr>
          <w:rFonts w:hint="eastAsia" w:ascii="仿宋" w:hAnsi="仿宋" w:eastAsia="仿宋" w:cs="仿宋"/>
          <w:b w:val="0"/>
          <w:bCs w:val="0"/>
          <w:color w:val="auto"/>
          <w:sz w:val="32"/>
          <w:szCs w:val="32"/>
          <w:lang w:val="en-US" w:eastAsia="zh-CN"/>
        </w:rPr>
        <w:t>发送违规停放非机动车提醒短信</w:t>
      </w:r>
      <w:r>
        <w:rPr>
          <w:rFonts w:hint="eastAsia" w:ascii="仿宋" w:hAnsi="仿宋" w:eastAsia="仿宋" w:cs="仿宋"/>
          <w:sz w:val="32"/>
          <w:szCs w:val="32"/>
          <w:lang w:val="en-US" w:eastAsia="zh-CN"/>
        </w:rPr>
        <w:t>573</w:t>
      </w:r>
      <w:r>
        <w:rPr>
          <w:rFonts w:hint="eastAsia" w:ascii="仿宋" w:hAnsi="仿宋" w:eastAsia="仿宋" w:cs="仿宋"/>
          <w:b w:val="0"/>
          <w:bCs w:val="0"/>
          <w:color w:val="auto"/>
          <w:sz w:val="32"/>
          <w:szCs w:val="32"/>
          <w:lang w:val="en-US" w:eastAsia="zh-CN"/>
        </w:rPr>
        <w:t>条，</w:t>
      </w:r>
      <w:r>
        <w:rPr>
          <w:rFonts w:hint="eastAsia" w:ascii="仿宋" w:hAnsi="仿宋" w:eastAsia="仿宋" w:cs="仿宋"/>
          <w:color w:val="auto"/>
          <w:sz w:val="32"/>
          <w:szCs w:val="32"/>
        </w:rPr>
        <w:t>清理占用公共资源</w:t>
      </w:r>
      <w:r>
        <w:rPr>
          <w:rFonts w:hint="eastAsia" w:ascii="仿宋" w:hAnsi="仿宋" w:eastAsia="仿宋" w:cs="仿宋"/>
          <w:color w:val="auto"/>
          <w:sz w:val="32"/>
          <w:szCs w:val="32"/>
          <w:lang w:val="en-US" w:eastAsia="zh-CN"/>
        </w:rPr>
        <w:t>的</w:t>
      </w:r>
      <w:r>
        <w:rPr>
          <w:rFonts w:hint="eastAsia" w:ascii="仿宋" w:hAnsi="仿宋" w:eastAsia="仿宋" w:cs="仿宋"/>
          <w:color w:val="auto"/>
          <w:sz w:val="32"/>
          <w:szCs w:val="32"/>
        </w:rPr>
        <w:t>废弃汽车共计</w:t>
      </w: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辆</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依托城市运行管理服务平台对全区13个乡镇（区）市容环境</w:t>
      </w:r>
      <w:r>
        <w:rPr>
          <w:rFonts w:hint="eastAsia" w:ascii="仿宋" w:hAnsi="仿宋" w:eastAsia="仿宋" w:cs="仿宋"/>
          <w:color w:val="auto"/>
          <w:sz w:val="32"/>
          <w:szCs w:val="32"/>
          <w:lang w:val="zh-CN" w:eastAsia="zh-CN"/>
        </w:rPr>
        <w:t>进行量化考评</w:t>
      </w:r>
      <w:r>
        <w:rPr>
          <w:rFonts w:hint="eastAsia" w:ascii="仿宋" w:hAnsi="仿宋" w:eastAsia="仿宋" w:cs="仿宋"/>
          <w:b w:val="0"/>
          <w:bCs w:val="0"/>
          <w:color w:val="auto"/>
          <w:sz w:val="32"/>
          <w:szCs w:val="32"/>
          <w:highlight w:val="none"/>
          <w:lang w:val="en-US" w:eastAsia="zh-CN"/>
        </w:rPr>
        <w:t>。</w:t>
      </w:r>
      <w:r>
        <w:rPr>
          <w:rFonts w:hint="eastAsia" w:ascii="仿宋" w:hAnsi="仿宋" w:eastAsia="仿宋" w:cs="仿宋"/>
          <w:color w:val="auto"/>
          <w:sz w:val="32"/>
          <w:szCs w:val="32"/>
          <w:lang w:val="en-US" w:eastAsia="zh-CN"/>
        </w:rPr>
        <w:t>截至目前，累计巡查265次，督导整改市容环境类问题共计4600余处，发放督办卡23张，促使全区环境容貌持续提升；</w:t>
      </w:r>
      <w:r>
        <w:rPr>
          <w:rFonts w:hint="eastAsia" w:ascii="仿宋" w:hAnsi="仿宋" w:eastAsia="仿宋" w:cs="仿宋"/>
          <w:i w:val="0"/>
          <w:iCs w:val="0"/>
          <w:caps w:val="0"/>
          <w:color w:val="auto"/>
          <w:spacing w:val="8"/>
          <w:sz w:val="32"/>
          <w:szCs w:val="32"/>
          <w:shd w:val="clear" w:fill="FFFFFF"/>
          <w:lang w:eastAsia="zh-CN"/>
        </w:rPr>
        <w:t>严厉查处我区范围内从事生活垃圾清运企业存在的各类违规行为，</w:t>
      </w:r>
      <w:r>
        <w:rPr>
          <w:rFonts w:hint="eastAsia" w:ascii="仿宋" w:hAnsi="仿宋" w:eastAsia="仿宋" w:cs="仿宋"/>
          <w:sz w:val="32"/>
          <w:szCs w:val="32"/>
          <w:lang w:val="en-US" w:eastAsia="zh-CN"/>
        </w:rPr>
        <w:t>对城区清运企业和198家物业小区及13个乡镇（区）进行了全面摸排，</w:t>
      </w:r>
      <w:r>
        <w:rPr>
          <w:rFonts w:hint="eastAsia" w:ascii="仿宋" w:hAnsi="仿宋" w:eastAsia="仿宋" w:cs="仿宋"/>
          <w:i w:val="0"/>
          <w:iCs w:val="0"/>
          <w:caps w:val="0"/>
          <w:color w:val="auto"/>
          <w:spacing w:val="0"/>
          <w:sz w:val="32"/>
          <w:szCs w:val="32"/>
          <w:shd w:val="clear" w:fill="FFFFFF"/>
          <w:lang w:val="en-US" w:eastAsia="zh-CN"/>
        </w:rPr>
        <w:t>并采取</w:t>
      </w:r>
      <w:r>
        <w:rPr>
          <w:rFonts w:hint="eastAsia" w:ascii="仿宋" w:hAnsi="仿宋" w:eastAsia="仿宋" w:cs="仿宋"/>
          <w:i w:val="0"/>
          <w:iCs w:val="0"/>
          <w:caps w:val="0"/>
          <w:color w:val="auto"/>
          <w:spacing w:val="8"/>
          <w:sz w:val="32"/>
          <w:szCs w:val="32"/>
          <w:shd w:val="clear" w:fill="FFFFFF"/>
        </w:rPr>
        <w:t>流动巡查和定点检查相结合</w:t>
      </w:r>
      <w:r>
        <w:rPr>
          <w:rFonts w:hint="eastAsia" w:ascii="仿宋" w:hAnsi="仿宋" w:eastAsia="仿宋" w:cs="仿宋"/>
          <w:i w:val="0"/>
          <w:iCs w:val="0"/>
          <w:caps w:val="0"/>
          <w:color w:val="auto"/>
          <w:spacing w:val="8"/>
          <w:sz w:val="32"/>
          <w:szCs w:val="32"/>
          <w:shd w:val="clear" w:fill="FFFFFF"/>
          <w:lang w:eastAsia="zh-CN"/>
        </w:rPr>
        <w:t>、</w:t>
      </w:r>
      <w:r>
        <w:rPr>
          <w:rFonts w:hint="eastAsia" w:ascii="仿宋" w:hAnsi="仿宋" w:eastAsia="仿宋" w:cs="仿宋"/>
          <w:i w:val="0"/>
          <w:iCs w:val="0"/>
          <w:caps w:val="0"/>
          <w:color w:val="auto"/>
          <w:spacing w:val="8"/>
          <w:sz w:val="32"/>
          <w:szCs w:val="32"/>
          <w:shd w:val="clear" w:fill="FFFFFF"/>
        </w:rPr>
        <w:t>突击检查</w:t>
      </w:r>
      <w:r>
        <w:rPr>
          <w:rFonts w:hint="eastAsia" w:ascii="仿宋" w:hAnsi="仿宋" w:eastAsia="仿宋" w:cs="仿宋"/>
          <w:i w:val="0"/>
          <w:iCs w:val="0"/>
          <w:caps w:val="0"/>
          <w:color w:val="auto"/>
          <w:spacing w:val="8"/>
          <w:sz w:val="32"/>
          <w:szCs w:val="32"/>
          <w:shd w:val="clear" w:fill="FFFFFF"/>
          <w:lang w:val="en-US" w:eastAsia="zh-CN"/>
        </w:rPr>
        <w:t>与日常督查相结合</w:t>
      </w:r>
      <w:r>
        <w:rPr>
          <w:rFonts w:hint="eastAsia" w:ascii="仿宋" w:hAnsi="仿宋" w:eastAsia="仿宋" w:cs="仿宋"/>
          <w:i w:val="0"/>
          <w:iCs w:val="0"/>
          <w:caps w:val="0"/>
          <w:color w:val="auto"/>
          <w:spacing w:val="0"/>
          <w:sz w:val="32"/>
          <w:szCs w:val="32"/>
          <w:shd w:val="clear" w:fill="FFFFFF"/>
        </w:rPr>
        <w:t>等方式进行，</w:t>
      </w:r>
      <w:r>
        <w:rPr>
          <w:rFonts w:hint="eastAsia" w:ascii="仿宋" w:hAnsi="仿宋" w:eastAsia="仿宋" w:cs="仿宋"/>
          <w:i w:val="0"/>
          <w:iCs w:val="0"/>
          <w:caps w:val="0"/>
          <w:color w:val="auto"/>
          <w:spacing w:val="0"/>
          <w:sz w:val="32"/>
          <w:szCs w:val="32"/>
          <w:shd w:val="clear" w:fill="FFFFFF"/>
          <w:lang w:val="en-US" w:eastAsia="zh-CN"/>
        </w:rPr>
        <w:t>共</w:t>
      </w:r>
      <w:r>
        <w:rPr>
          <w:rFonts w:hint="eastAsia" w:ascii="仿宋" w:hAnsi="仿宋" w:eastAsia="仿宋" w:cs="仿宋"/>
          <w:i w:val="0"/>
          <w:iCs w:val="0"/>
          <w:caps w:val="0"/>
          <w:color w:val="auto"/>
          <w:spacing w:val="0"/>
          <w:sz w:val="32"/>
          <w:szCs w:val="32"/>
          <w:shd w:val="clear" w:fill="FFFFFF"/>
        </w:rPr>
        <w:t>出动</w:t>
      </w:r>
      <w:r>
        <w:rPr>
          <w:rFonts w:hint="eastAsia" w:ascii="仿宋" w:hAnsi="仿宋" w:eastAsia="仿宋" w:cs="仿宋"/>
          <w:i w:val="0"/>
          <w:iCs w:val="0"/>
          <w:caps w:val="0"/>
          <w:color w:val="auto"/>
          <w:spacing w:val="0"/>
          <w:sz w:val="32"/>
          <w:szCs w:val="32"/>
          <w:shd w:val="clear" w:fill="FFFFFF"/>
          <w:lang w:val="en-US" w:eastAsia="zh-CN"/>
        </w:rPr>
        <w:t>人员</w:t>
      </w:r>
      <w:r>
        <w:rPr>
          <w:rFonts w:hint="eastAsia" w:ascii="仿宋" w:hAnsi="仿宋" w:eastAsia="仿宋" w:cs="仿宋"/>
          <w:i w:val="0"/>
          <w:iCs w:val="0"/>
          <w:caps w:val="0"/>
          <w:color w:val="auto"/>
          <w:spacing w:val="0"/>
          <w:sz w:val="32"/>
          <w:szCs w:val="32"/>
          <w:shd w:val="clear" w:fill="FFFFFF"/>
        </w:rPr>
        <w:t>10</w:t>
      </w:r>
      <w:r>
        <w:rPr>
          <w:rFonts w:hint="eastAsia" w:ascii="仿宋" w:hAnsi="仿宋" w:eastAsia="仿宋" w:cs="仿宋"/>
          <w:i w:val="0"/>
          <w:iCs w:val="0"/>
          <w:caps w:val="0"/>
          <w:color w:val="auto"/>
          <w:spacing w:val="0"/>
          <w:sz w:val="32"/>
          <w:szCs w:val="32"/>
          <w:shd w:val="clear" w:fill="FFFFFF"/>
          <w:lang w:val="en-US" w:eastAsia="zh-CN"/>
        </w:rPr>
        <w:t>0余</w:t>
      </w:r>
      <w:r>
        <w:rPr>
          <w:rFonts w:hint="eastAsia" w:ascii="仿宋" w:hAnsi="仿宋" w:eastAsia="仿宋" w:cs="仿宋"/>
          <w:i w:val="0"/>
          <w:iCs w:val="0"/>
          <w:caps w:val="0"/>
          <w:color w:val="auto"/>
          <w:spacing w:val="0"/>
          <w:sz w:val="32"/>
          <w:szCs w:val="32"/>
          <w:shd w:val="clear" w:fill="FFFFFF"/>
        </w:rPr>
        <w:t>人</w:t>
      </w:r>
      <w:r>
        <w:rPr>
          <w:rFonts w:hint="eastAsia" w:ascii="仿宋" w:hAnsi="仿宋" w:eastAsia="仿宋" w:cs="仿宋"/>
          <w:i w:val="0"/>
          <w:iCs w:val="0"/>
          <w:caps w:val="0"/>
          <w:color w:val="auto"/>
          <w:spacing w:val="0"/>
          <w:sz w:val="32"/>
          <w:szCs w:val="32"/>
          <w:shd w:val="clear" w:fill="FFFFFF"/>
          <w:lang w:val="en-US" w:eastAsia="zh-CN"/>
        </w:rPr>
        <w:t>次</w:t>
      </w:r>
      <w:r>
        <w:rPr>
          <w:rFonts w:hint="eastAsia" w:ascii="仿宋" w:hAnsi="仿宋" w:eastAsia="仿宋" w:cs="仿宋"/>
          <w:i w:val="0"/>
          <w:iCs w:val="0"/>
          <w:caps w:val="0"/>
          <w:color w:val="auto"/>
          <w:spacing w:val="0"/>
          <w:sz w:val="32"/>
          <w:szCs w:val="32"/>
          <w:shd w:val="clear" w:fill="FFFFFF"/>
        </w:rPr>
        <w:t>，</w:t>
      </w:r>
      <w:r>
        <w:rPr>
          <w:rFonts w:hint="eastAsia" w:ascii="仿宋" w:hAnsi="仿宋" w:eastAsia="仿宋" w:cs="仿宋"/>
          <w:i w:val="0"/>
          <w:iCs w:val="0"/>
          <w:caps w:val="0"/>
          <w:color w:val="auto"/>
          <w:spacing w:val="0"/>
          <w:sz w:val="32"/>
          <w:szCs w:val="32"/>
          <w:shd w:val="clear" w:fill="FFFFFF"/>
          <w:lang w:val="en-US" w:eastAsia="zh-CN"/>
        </w:rPr>
        <w:t>车辆</w:t>
      </w:r>
      <w:r>
        <w:rPr>
          <w:rFonts w:hint="eastAsia" w:ascii="仿宋" w:hAnsi="仿宋" w:eastAsia="仿宋" w:cs="仿宋"/>
          <w:i w:val="0"/>
          <w:iCs w:val="0"/>
          <w:caps w:val="0"/>
          <w:color w:val="auto"/>
          <w:spacing w:val="0"/>
          <w:sz w:val="32"/>
          <w:szCs w:val="32"/>
          <w:shd w:val="clear" w:fill="FFFFFF"/>
        </w:rPr>
        <w:t>50</w:t>
      </w:r>
      <w:r>
        <w:rPr>
          <w:rFonts w:hint="eastAsia" w:ascii="仿宋" w:hAnsi="仿宋" w:eastAsia="仿宋" w:cs="仿宋"/>
          <w:i w:val="0"/>
          <w:iCs w:val="0"/>
          <w:caps w:val="0"/>
          <w:color w:val="auto"/>
          <w:spacing w:val="0"/>
          <w:sz w:val="32"/>
          <w:szCs w:val="32"/>
          <w:shd w:val="clear" w:fill="FFFFFF"/>
          <w:lang w:val="en-US" w:eastAsia="zh-CN"/>
        </w:rPr>
        <w:t>余</w:t>
      </w:r>
      <w:r>
        <w:rPr>
          <w:rFonts w:hint="eastAsia" w:ascii="仿宋" w:hAnsi="仿宋" w:eastAsia="仿宋" w:cs="仿宋"/>
          <w:i w:val="0"/>
          <w:iCs w:val="0"/>
          <w:caps w:val="0"/>
          <w:color w:val="auto"/>
          <w:spacing w:val="0"/>
          <w:sz w:val="32"/>
          <w:szCs w:val="32"/>
          <w:shd w:val="clear" w:fill="FFFFFF"/>
        </w:rPr>
        <w:t>车次，发现问题</w:t>
      </w:r>
      <w:r>
        <w:rPr>
          <w:rFonts w:hint="eastAsia" w:ascii="仿宋" w:hAnsi="仿宋" w:eastAsia="仿宋" w:cs="仿宋"/>
          <w:i w:val="0"/>
          <w:iCs w:val="0"/>
          <w:caps w:val="0"/>
          <w:color w:val="auto"/>
          <w:spacing w:val="0"/>
          <w:sz w:val="32"/>
          <w:szCs w:val="32"/>
          <w:shd w:val="clear" w:fill="FFFFFF"/>
          <w:lang w:val="en-US" w:eastAsia="zh-CN"/>
        </w:rPr>
        <w:t>70</w:t>
      </w:r>
      <w:r>
        <w:rPr>
          <w:rFonts w:hint="eastAsia" w:ascii="仿宋" w:hAnsi="仿宋" w:eastAsia="仿宋" w:cs="仿宋"/>
          <w:i w:val="0"/>
          <w:iCs w:val="0"/>
          <w:caps w:val="0"/>
          <w:color w:val="auto"/>
          <w:spacing w:val="0"/>
          <w:sz w:val="32"/>
          <w:szCs w:val="32"/>
          <w:shd w:val="clear" w:fill="FFFFFF"/>
        </w:rPr>
        <w:t>处，现场整改</w:t>
      </w:r>
      <w:r>
        <w:rPr>
          <w:rFonts w:hint="eastAsia" w:ascii="仿宋" w:hAnsi="仿宋" w:eastAsia="仿宋" w:cs="仿宋"/>
          <w:i w:val="0"/>
          <w:iCs w:val="0"/>
          <w:caps w:val="0"/>
          <w:color w:val="auto"/>
          <w:spacing w:val="0"/>
          <w:sz w:val="32"/>
          <w:szCs w:val="32"/>
          <w:shd w:val="clear" w:fill="FFFFFF"/>
          <w:lang w:val="en-US" w:eastAsia="zh-CN"/>
        </w:rPr>
        <w:t>60余</w:t>
      </w:r>
      <w:r>
        <w:rPr>
          <w:rFonts w:hint="eastAsia" w:ascii="仿宋" w:hAnsi="仿宋" w:eastAsia="仿宋" w:cs="仿宋"/>
          <w:i w:val="0"/>
          <w:iCs w:val="0"/>
          <w:caps w:val="0"/>
          <w:color w:val="auto"/>
          <w:spacing w:val="0"/>
          <w:sz w:val="32"/>
          <w:szCs w:val="32"/>
          <w:shd w:val="clear" w:fill="FFFFFF"/>
        </w:rPr>
        <w:t>处，约谈企业负责人15起，</w:t>
      </w:r>
      <w:r>
        <w:rPr>
          <w:rFonts w:hint="eastAsia" w:ascii="仿宋" w:hAnsi="仿宋" w:eastAsia="仿宋" w:cs="仿宋"/>
          <w:color w:val="auto"/>
          <w:sz w:val="32"/>
          <w:szCs w:val="32"/>
        </w:rPr>
        <w:t>并依据相关法规条例进行登记处罚</w:t>
      </w:r>
      <w:r>
        <w:rPr>
          <w:rFonts w:hint="eastAsia" w:ascii="仿宋" w:hAnsi="仿宋" w:eastAsia="仿宋" w:cs="仿宋"/>
          <w:i w:val="0"/>
          <w:iCs w:val="0"/>
          <w:caps w:val="0"/>
          <w:color w:val="auto"/>
          <w:spacing w:val="0"/>
          <w:sz w:val="32"/>
          <w:szCs w:val="32"/>
          <w:shd w:val="clear" w:fill="FFFFFF"/>
          <w:lang w:val="en-US" w:eastAsia="zh-CN"/>
        </w:rPr>
        <w:t>6</w:t>
      </w:r>
      <w:r>
        <w:rPr>
          <w:rFonts w:hint="eastAsia" w:ascii="仿宋" w:hAnsi="仿宋" w:eastAsia="仿宋" w:cs="仿宋"/>
          <w:i w:val="0"/>
          <w:iCs w:val="0"/>
          <w:caps w:val="0"/>
          <w:color w:val="auto"/>
          <w:spacing w:val="0"/>
          <w:sz w:val="32"/>
          <w:szCs w:val="32"/>
          <w:shd w:val="clear" w:fill="FFFFFF"/>
        </w:rPr>
        <w:t>起</w:t>
      </w:r>
      <w:r>
        <w:rPr>
          <w:rFonts w:hint="eastAsia" w:ascii="仿宋" w:hAnsi="仿宋" w:eastAsia="仿宋" w:cs="仿宋"/>
          <w:spacing w:val="20"/>
          <w:sz w:val="32"/>
          <w:szCs w:val="32"/>
          <w:lang w:eastAsia="zh-CN"/>
        </w:rPr>
        <w:t>。</w:t>
      </w:r>
    </w:p>
    <w:p w14:paraId="1AD1DDE4">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sz w:val="32"/>
          <w:szCs w:val="32"/>
          <w:lang w:val="en-US" w:eastAsia="zh-CN"/>
        </w:rPr>
        <w:t>城市</w:t>
      </w:r>
      <w:r>
        <w:rPr>
          <w:rFonts w:hint="eastAsia" w:ascii="仿宋" w:hAnsi="仿宋" w:eastAsia="仿宋" w:cs="仿宋"/>
          <w:sz w:val="32"/>
          <w:szCs w:val="32"/>
        </w:rPr>
        <w:t>基础设施建设不断加快</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为了</w:t>
      </w:r>
      <w:r>
        <w:rPr>
          <w:rFonts w:hint="eastAsia" w:ascii="仿宋" w:hAnsi="仿宋" w:eastAsia="仿宋" w:cs="仿宋"/>
          <w:b w:val="0"/>
          <w:bCs w:val="0"/>
          <w:color w:val="auto"/>
          <w:sz w:val="32"/>
          <w:szCs w:val="32"/>
          <w:lang w:val="en-US" w:eastAsia="zh-CN"/>
        </w:rPr>
        <w:t>提升居民的生活质量，使市民更好地融入城市生活，助力城市经济发展，促进城市经济的增长和提升城市竞争力，我部门不断加快城市基础设施建设，为实现城市可持续发展和建设现代化城市提供有力保障。</w:t>
      </w:r>
    </w:p>
    <w:p w14:paraId="3A04DB85">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满足城市居民的基本生活需求，提高城市居民的生活质量，创造良好的城市环境；提高城市基础设施的供应效率和质量，降低城市基础设施的供应成本，优化城市基础设施的配置和布局；加强城市基础设施的维护和保养，提高城市基础设施的使用寿命和安全性，减少城市基础设施的故障率和损坏率；推进城市基础设施建设领域的信息化、数字化、智能化建设，实现基础设施建设的数字化管理和智慧化运行，提高城市基础设施的运行效率和服务水平。</w:t>
      </w:r>
    </w:p>
    <w:p w14:paraId="4A507E85">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w:t>
      </w:r>
      <w:r>
        <w:rPr>
          <w:rFonts w:hint="eastAsia" w:ascii="仿宋" w:hAnsi="仿宋" w:eastAsia="仿宋" w:cs="仿宋"/>
          <w:color w:val="auto"/>
          <w:kern w:val="2"/>
          <w:sz w:val="32"/>
          <w:szCs w:val="32"/>
          <w:lang w:val="en-US" w:eastAsia="zh-CN" w:bidi="ar-SA"/>
        </w:rPr>
        <w:t>在城区新建五座一类公厕，满足了市民基本生活需求；</w:t>
      </w:r>
      <w:r>
        <w:rPr>
          <w:rFonts w:hint="eastAsia" w:ascii="仿宋" w:hAnsi="仿宋" w:eastAsia="仿宋" w:cs="仿宋"/>
          <w:color w:val="auto"/>
          <w:sz w:val="32"/>
          <w:szCs w:val="32"/>
          <w:lang w:val="en-US" w:eastAsia="zh-CN"/>
        </w:rPr>
        <w:t>打造</w:t>
      </w:r>
      <w:r>
        <w:rPr>
          <w:rFonts w:hint="eastAsia" w:ascii="仿宋" w:hAnsi="仿宋" w:eastAsia="仿宋" w:cs="仿宋"/>
          <w:b w:val="0"/>
          <w:bCs w:val="0"/>
          <w:color w:val="auto"/>
          <w:sz w:val="32"/>
          <w:szCs w:val="32"/>
          <w:lang w:val="en-US" w:eastAsia="zh-CN"/>
        </w:rPr>
        <w:t>5条精品街巷（石邑街、新北路、曹东路、翠屏大街、玉石路）；</w:t>
      </w:r>
      <w:r>
        <w:rPr>
          <w:rFonts w:hint="eastAsia" w:ascii="仿宋" w:hAnsi="仿宋" w:eastAsia="仿宋" w:cs="仿宋"/>
          <w:b w:val="0"/>
          <w:bCs w:val="0"/>
          <w:kern w:val="2"/>
          <w:sz w:val="32"/>
          <w:szCs w:val="32"/>
          <w:lang w:val="en-US" w:eastAsia="zh-CN" w:bidi="ar-SA"/>
        </w:rPr>
        <w:t>设置34处便民服务点，9处便民夜市点；</w:t>
      </w:r>
      <w:r>
        <w:rPr>
          <w:rFonts w:hint="eastAsia" w:ascii="仿宋" w:hAnsi="仿宋" w:eastAsia="仿宋" w:cs="仿宋"/>
          <w:b w:val="0"/>
          <w:bCs w:val="0"/>
          <w:sz w:val="32"/>
          <w:szCs w:val="32"/>
        </w:rPr>
        <w:t>建成日处理能力20吨的厨余垃圾处理站</w:t>
      </w:r>
      <w:r>
        <w:rPr>
          <w:rFonts w:hint="eastAsia" w:ascii="仿宋" w:hAnsi="仿宋" w:eastAsia="仿宋" w:cs="仿宋"/>
          <w:b w:val="0"/>
          <w:bCs w:val="0"/>
          <w:sz w:val="32"/>
          <w:szCs w:val="32"/>
          <w:lang w:eastAsia="zh-CN"/>
        </w:rPr>
        <w:t>，</w:t>
      </w:r>
      <w:r>
        <w:rPr>
          <w:rFonts w:hint="eastAsia" w:ascii="仿宋" w:hAnsi="仿宋" w:eastAsia="仿宋" w:cs="仿宋"/>
          <w:sz w:val="32"/>
          <w:szCs w:val="32"/>
        </w:rPr>
        <w:t>提升改造125个居民小区集中投放点，安装智能回收箱、厨余智能设备，进一步提升了生活垃圾资源回收利用率</w:t>
      </w:r>
      <w:r>
        <w:rPr>
          <w:rFonts w:hint="eastAsia" w:ascii="仿宋" w:hAnsi="仿宋" w:eastAsia="仿宋" w:cs="仿宋"/>
          <w:sz w:val="32"/>
          <w:szCs w:val="32"/>
          <w:lang w:eastAsia="zh-CN"/>
        </w:rPr>
        <w:t>。</w:t>
      </w:r>
    </w:p>
    <w:p w14:paraId="6F46747F">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环境卫生管护持续强化提升。为了创造清洁、美丽、卫生的城市环境，改善环境卫生设施，增强市民环保意识和参与度，我部门继续加强环境卫生管理，助力</w:t>
      </w:r>
      <w:r>
        <w:rPr>
          <w:rFonts w:hint="eastAsia" w:ascii="仿宋" w:hAnsi="仿宋" w:eastAsia="仿宋" w:cs="仿宋"/>
          <w:kern w:val="2"/>
          <w:sz w:val="32"/>
          <w:szCs w:val="32"/>
          <w:lang w:val="en-US" w:eastAsia="zh-CN" w:bidi="ar-SA"/>
        </w:rPr>
        <w:t>生态宜居宜业宜游新城区</w:t>
      </w:r>
      <w:r>
        <w:rPr>
          <w:rFonts w:hint="eastAsia" w:ascii="仿宋" w:hAnsi="仿宋" w:eastAsia="仿宋" w:cs="仿宋"/>
          <w:b w:val="0"/>
          <w:bCs w:val="0"/>
          <w:color w:val="auto"/>
          <w:sz w:val="32"/>
          <w:szCs w:val="32"/>
          <w:lang w:val="en-US" w:eastAsia="zh-CN"/>
        </w:rPr>
        <w:t>。</w:t>
      </w:r>
    </w:p>
    <w:p w14:paraId="6A8C577F">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提高环境卫生质量和标准，通过加强环境卫生的日常管理和监督，提高城市公共场所、社区、工业区的环境卫生质量和标准，创造更加清洁、美丽、卫生的城市环境；减少环境污染和垃圾废弃物，通过推广垃圾分类、回收、再利用等措施，减少环境污染和垃圾废弃物的产生，实现城市环境的可持续发展；改善环境卫生设施，通过加强环境卫生设施的建设和维护，提高城市公共厕所、垃圾箱、垃圾处理厂等设施的质量和数量，提供更加便捷、舒适、安全的环境卫生设施。</w:t>
      </w:r>
    </w:p>
    <w:p w14:paraId="7EBB67AC">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保障6座垃圾压缩站的设备车辆正常运转，64名工作人员工资社保及补贴按时发放，保证发放无遗漏；保障人员开支、设备维修维护、水电等开支，重点对各乡镇主镇区厨余垃圾进行无害化处理，实现厨余垃圾的资源化利用，实现农村干湿垃圾初级分类；确保生活垃圾及时收集清运无害化处理，提高群众居住环境；保障农村生活垃圾清理范围全覆盖。达到各个乡镇村垃圾桶表面无污垢、垃圾桶四周无散落垃圾。对鹿泉13个乡镇208个村的街道清扫保洁并对产生的垃圾及时清理，日产日清，达到生活垃圾无积存。</w:t>
      </w:r>
    </w:p>
    <w:p w14:paraId="5224F9FC">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6F119EF3">
      <w:pPr>
        <w:widowControl w:val="0"/>
        <w:wordWrap/>
        <w:spacing w:line="560" w:lineRule="exact"/>
        <w:ind w:left="0" w:leftChars="0" w:right="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val="en-US" w:eastAsia="zh-CN"/>
        </w:rPr>
        <w:t>我</w:t>
      </w:r>
      <w:r>
        <w:rPr>
          <w:rFonts w:hint="eastAsia" w:ascii="仿宋" w:hAnsi="仿宋" w:eastAsia="仿宋" w:cs="仿宋"/>
          <w:sz w:val="32"/>
          <w:szCs w:val="32"/>
          <w:lang w:eastAsia="zh-CN"/>
        </w:rPr>
        <w:t>部门职责定位和各项工作履职情况进行</w:t>
      </w:r>
      <w:r>
        <w:rPr>
          <w:rFonts w:hint="eastAsia" w:ascii="仿宋" w:hAnsi="仿宋" w:eastAsia="仿宋" w:cs="仿宋"/>
          <w:sz w:val="32"/>
          <w:szCs w:val="32"/>
          <w:lang w:val="en-US" w:eastAsia="zh-CN"/>
        </w:rPr>
        <w:t>了</w:t>
      </w:r>
      <w:r>
        <w:rPr>
          <w:rFonts w:hint="eastAsia" w:ascii="仿宋" w:hAnsi="仿宋" w:eastAsia="仿宋" w:cs="仿宋"/>
          <w:sz w:val="32"/>
          <w:szCs w:val="32"/>
          <w:lang w:eastAsia="zh-CN"/>
        </w:rPr>
        <w:t>综合评价</w:t>
      </w:r>
      <w:r>
        <w:rPr>
          <w:rFonts w:hint="eastAsia" w:ascii="仿宋" w:hAnsi="仿宋" w:eastAsia="仿宋" w:cs="仿宋"/>
          <w:sz w:val="32"/>
          <w:szCs w:val="32"/>
        </w:rPr>
        <w:t>，得出综合绩效评价等级。满分100分，</w:t>
      </w:r>
      <w:r>
        <w:rPr>
          <w:rFonts w:hint="eastAsia" w:ascii="仿宋" w:hAnsi="仿宋" w:eastAsia="仿宋" w:cs="仿宋"/>
          <w:sz w:val="32"/>
          <w:szCs w:val="32"/>
          <w:lang w:eastAsia="zh-CN"/>
        </w:rPr>
        <w:t>部门整体支出</w:t>
      </w:r>
      <w:r>
        <w:rPr>
          <w:rFonts w:hint="eastAsia" w:ascii="仿宋" w:hAnsi="仿宋" w:eastAsia="仿宋" w:cs="仿宋"/>
          <w:sz w:val="32"/>
          <w:szCs w:val="32"/>
        </w:rPr>
        <w:t>综合绩效评价分为4个等级：得分≥85分为优秀；75≤得分＜85分为良好；60≤得分＜75分为一般；得分＜60分为较差。</w:t>
      </w:r>
    </w:p>
    <w:p w14:paraId="285E839A">
      <w:pPr>
        <w:spacing w:line="60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rPr>
        <w:t>本部门在今年部门决算公开中反映</w:t>
      </w:r>
      <w:r>
        <w:rPr>
          <w:rFonts w:hint="eastAsia" w:ascii="仿宋" w:hAnsi="仿宋" w:eastAsia="仿宋" w:cs="仿宋"/>
          <w:sz w:val="32"/>
          <w:szCs w:val="32"/>
          <w:highlight w:val="none"/>
          <w:lang w:eastAsia="zh-CN"/>
        </w:rPr>
        <w:t>202</w:t>
      </w:r>
      <w:r>
        <w:rPr>
          <w:rFonts w:hint="eastAsia" w:ascii="仿宋" w:hAnsi="仿宋" w:eastAsia="仿宋" w:cs="仿宋"/>
          <w:sz w:val="32"/>
          <w:szCs w:val="32"/>
          <w:highlight w:val="none"/>
          <w:lang w:val="en-US" w:eastAsia="zh-CN"/>
        </w:rPr>
        <w:t>3</w:t>
      </w:r>
      <w:r>
        <w:rPr>
          <w:rFonts w:hint="eastAsia" w:ascii="仿宋" w:hAnsi="仿宋" w:eastAsia="仿宋" w:cs="仿宋"/>
          <w:sz w:val="32"/>
          <w:szCs w:val="32"/>
          <w:highlight w:val="none"/>
          <w:lang w:eastAsia="zh-CN"/>
        </w:rPr>
        <w:t>年鹿泉区北部振兴-李村镇镇前大街基础设施改造项目（一般债券）、</w:t>
      </w:r>
      <w:r>
        <w:rPr>
          <w:rFonts w:hint="eastAsia" w:ascii="仿宋" w:hAnsi="仿宋" w:eastAsia="仿宋" w:cs="仿宋"/>
          <w:sz w:val="32"/>
          <w:szCs w:val="32"/>
          <w:highlight w:val="none"/>
        </w:rPr>
        <w:t>体育场地下停车场建设项目（专项债券）等</w:t>
      </w:r>
      <w:r>
        <w:rPr>
          <w:rFonts w:hint="eastAsia" w:ascii="仿宋" w:hAnsi="仿宋" w:eastAsia="仿宋" w:cs="仿宋"/>
          <w:sz w:val="32"/>
          <w:szCs w:val="32"/>
          <w:highlight w:val="none"/>
          <w:lang w:val="en-US" w:eastAsia="zh-CN"/>
        </w:rPr>
        <w:t>100</w:t>
      </w:r>
      <w:r>
        <w:rPr>
          <w:rFonts w:hint="eastAsia" w:ascii="仿宋" w:hAnsi="仿宋" w:eastAsia="仿宋" w:cs="仿宋"/>
          <w:sz w:val="32"/>
          <w:szCs w:val="32"/>
          <w:highlight w:val="none"/>
        </w:rPr>
        <w:t>个项目绩效自评结果。</w:t>
      </w:r>
      <w:r>
        <w:rPr>
          <w:rFonts w:hint="eastAsia" w:ascii="仿宋" w:hAnsi="仿宋" w:eastAsia="仿宋" w:cs="仿宋"/>
          <w:sz w:val="32"/>
          <w:szCs w:val="32"/>
          <w:highlight w:val="none"/>
          <w:lang w:val="en-US" w:eastAsia="zh-CN"/>
        </w:rPr>
        <w:t>其</w:t>
      </w:r>
      <w:r>
        <w:rPr>
          <w:rFonts w:hint="eastAsia" w:ascii="仿宋" w:hAnsi="仿宋" w:eastAsia="仿宋" w:cs="仿宋"/>
          <w:sz w:val="32"/>
          <w:szCs w:val="32"/>
          <w:highlight w:val="none"/>
        </w:rPr>
        <w:t>中评价等级为“优</w:t>
      </w:r>
      <w:r>
        <w:rPr>
          <w:rFonts w:hint="eastAsia" w:ascii="仿宋" w:hAnsi="仿宋" w:eastAsia="仿宋" w:cs="仿宋"/>
          <w:sz w:val="32"/>
          <w:szCs w:val="32"/>
          <w:highlight w:val="none"/>
          <w:lang w:val="en-US" w:eastAsia="zh-CN"/>
        </w:rPr>
        <w:t>秀</w:t>
      </w:r>
      <w:r>
        <w:rPr>
          <w:rFonts w:hint="eastAsia" w:ascii="仿宋" w:hAnsi="仿宋" w:eastAsia="仿宋" w:cs="仿宋"/>
          <w:sz w:val="32"/>
          <w:szCs w:val="32"/>
          <w:highlight w:val="none"/>
        </w:rPr>
        <w:t>”项</w:t>
      </w:r>
      <w:r>
        <w:rPr>
          <w:rFonts w:hint="eastAsia" w:ascii="仿宋" w:hAnsi="仿宋" w:eastAsia="仿宋" w:cs="仿宋"/>
          <w:sz w:val="32"/>
          <w:szCs w:val="32"/>
          <w:highlight w:val="none"/>
          <w:lang w:val="en-US" w:eastAsia="zh-CN"/>
        </w:rPr>
        <w:t>96</w:t>
      </w:r>
      <w:r>
        <w:rPr>
          <w:rFonts w:hint="eastAsia" w:ascii="仿宋" w:hAnsi="仿宋" w:eastAsia="仿宋" w:cs="仿宋"/>
          <w:sz w:val="32"/>
          <w:szCs w:val="32"/>
          <w:highlight w:val="none"/>
        </w:rPr>
        <w:t>个，评优率为</w:t>
      </w:r>
      <w:r>
        <w:rPr>
          <w:rFonts w:hint="eastAsia" w:ascii="仿宋" w:hAnsi="仿宋" w:eastAsia="仿宋" w:cs="仿宋"/>
          <w:sz w:val="32"/>
          <w:szCs w:val="32"/>
          <w:highlight w:val="none"/>
          <w:lang w:val="en-US" w:eastAsia="zh-CN"/>
        </w:rPr>
        <w:t>96</w:t>
      </w:r>
      <w:r>
        <w:rPr>
          <w:rFonts w:hint="eastAsia" w:ascii="仿宋" w:hAnsi="仿宋" w:eastAsia="仿宋" w:cs="仿宋"/>
          <w:sz w:val="32"/>
          <w:szCs w:val="32"/>
          <w:highlight w:val="none"/>
        </w:rPr>
        <w:t>%。评价等级为“</w:t>
      </w:r>
      <w:r>
        <w:rPr>
          <w:rFonts w:hint="eastAsia" w:ascii="仿宋" w:hAnsi="仿宋" w:eastAsia="仿宋" w:cs="仿宋"/>
          <w:sz w:val="32"/>
          <w:szCs w:val="32"/>
          <w:highlight w:val="none"/>
          <w:lang w:val="en-US" w:eastAsia="zh-CN"/>
        </w:rPr>
        <w:t>良好</w:t>
      </w:r>
      <w:r>
        <w:rPr>
          <w:rFonts w:hint="eastAsia" w:ascii="仿宋" w:hAnsi="仿宋" w:eastAsia="仿宋" w:cs="仿宋"/>
          <w:sz w:val="32"/>
          <w:szCs w:val="32"/>
          <w:highlight w:val="none"/>
        </w:rPr>
        <w:t>”项目</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个，评</w:t>
      </w:r>
      <w:r>
        <w:rPr>
          <w:rFonts w:hint="eastAsia" w:ascii="仿宋" w:hAnsi="仿宋" w:eastAsia="仿宋" w:cs="仿宋"/>
          <w:sz w:val="32"/>
          <w:szCs w:val="32"/>
          <w:highlight w:val="none"/>
          <w:lang w:val="en-US" w:eastAsia="zh-CN"/>
        </w:rPr>
        <w:t>良</w:t>
      </w:r>
      <w:r>
        <w:rPr>
          <w:rFonts w:hint="eastAsia" w:ascii="仿宋" w:hAnsi="仿宋" w:eastAsia="仿宋" w:cs="仿宋"/>
          <w:sz w:val="32"/>
          <w:szCs w:val="32"/>
          <w:highlight w:val="none"/>
        </w:rPr>
        <w:t>率为</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%。评价等级为“</w:t>
      </w:r>
      <w:r>
        <w:rPr>
          <w:rFonts w:hint="eastAsia" w:ascii="仿宋" w:hAnsi="仿宋" w:eastAsia="仿宋" w:cs="仿宋"/>
          <w:sz w:val="32"/>
          <w:szCs w:val="32"/>
          <w:highlight w:val="none"/>
          <w:lang w:val="en-US" w:eastAsia="zh-CN"/>
        </w:rPr>
        <w:t>一般</w:t>
      </w:r>
      <w:r>
        <w:rPr>
          <w:rFonts w:hint="eastAsia" w:ascii="仿宋" w:hAnsi="仿宋" w:eastAsia="仿宋" w:cs="仿宋"/>
          <w:sz w:val="32"/>
          <w:szCs w:val="32"/>
          <w:highlight w:val="none"/>
        </w:rPr>
        <w:t>”项目</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个，评</w:t>
      </w:r>
      <w:r>
        <w:rPr>
          <w:rFonts w:hint="eastAsia" w:ascii="仿宋" w:hAnsi="仿宋" w:eastAsia="仿宋" w:cs="仿宋"/>
          <w:sz w:val="32"/>
          <w:szCs w:val="32"/>
          <w:highlight w:val="none"/>
          <w:lang w:val="en-US" w:eastAsia="zh-CN"/>
        </w:rPr>
        <w:t>价</w:t>
      </w:r>
      <w:r>
        <w:rPr>
          <w:rFonts w:hint="eastAsia" w:ascii="仿宋" w:hAnsi="仿宋" w:eastAsia="仿宋" w:cs="仿宋"/>
          <w:sz w:val="32"/>
          <w:szCs w:val="32"/>
          <w:highlight w:val="none"/>
        </w:rPr>
        <w:t>率为</w:t>
      </w: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rPr>
        <w:t>%。评价等级为“</w:t>
      </w:r>
      <w:r>
        <w:rPr>
          <w:rFonts w:hint="eastAsia" w:ascii="仿宋" w:hAnsi="仿宋" w:eastAsia="仿宋" w:cs="仿宋"/>
          <w:sz w:val="32"/>
          <w:szCs w:val="32"/>
          <w:highlight w:val="none"/>
          <w:lang w:val="en-US" w:eastAsia="zh-CN"/>
        </w:rPr>
        <w:t>较差</w:t>
      </w:r>
      <w:r>
        <w:rPr>
          <w:rFonts w:hint="eastAsia" w:ascii="仿宋" w:hAnsi="仿宋" w:eastAsia="仿宋" w:cs="仿宋"/>
          <w:sz w:val="32"/>
          <w:szCs w:val="32"/>
          <w:highlight w:val="none"/>
        </w:rPr>
        <w:t>”项目</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个，评</w:t>
      </w:r>
      <w:r>
        <w:rPr>
          <w:rFonts w:hint="eastAsia" w:ascii="仿宋" w:hAnsi="仿宋" w:eastAsia="仿宋" w:cs="仿宋"/>
          <w:sz w:val="32"/>
          <w:szCs w:val="32"/>
          <w:highlight w:val="none"/>
          <w:lang w:val="en-US" w:eastAsia="zh-CN"/>
        </w:rPr>
        <w:t>价</w:t>
      </w:r>
      <w:r>
        <w:rPr>
          <w:rFonts w:hint="eastAsia" w:ascii="仿宋" w:hAnsi="仿宋" w:eastAsia="仿宋" w:cs="仿宋"/>
          <w:sz w:val="32"/>
          <w:szCs w:val="32"/>
          <w:highlight w:val="none"/>
        </w:rPr>
        <w:t>率为</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总</w:t>
      </w:r>
      <w:r>
        <w:rPr>
          <w:rFonts w:hint="eastAsia" w:ascii="仿宋" w:hAnsi="仿宋" w:eastAsia="仿宋" w:cs="仿宋"/>
          <w:kern w:val="0"/>
          <w:sz w:val="32"/>
          <w:szCs w:val="32"/>
          <w:highlight w:val="none"/>
          <w:lang w:eastAsia="zh-CN"/>
        </w:rPr>
        <w:t>体来说，</w:t>
      </w:r>
      <w:r>
        <w:rPr>
          <w:rFonts w:hint="eastAsia" w:ascii="仿宋" w:hAnsi="仿宋" w:eastAsia="仿宋" w:cs="仿宋"/>
          <w:kern w:val="0"/>
          <w:sz w:val="32"/>
          <w:szCs w:val="32"/>
          <w:highlight w:val="none"/>
          <w:lang w:val="en-US" w:eastAsia="zh-CN"/>
        </w:rPr>
        <w:t>我单位</w:t>
      </w:r>
      <w:r>
        <w:rPr>
          <w:rFonts w:hint="eastAsia" w:ascii="仿宋" w:hAnsi="仿宋" w:eastAsia="仿宋" w:cs="仿宋"/>
          <w:kern w:val="0"/>
          <w:sz w:val="32"/>
          <w:szCs w:val="32"/>
          <w:highlight w:val="none"/>
        </w:rPr>
        <w:t>资金到位，使用合规。资金</w:t>
      </w:r>
      <w:r>
        <w:rPr>
          <w:rFonts w:hint="eastAsia" w:ascii="仿宋" w:hAnsi="仿宋" w:eastAsia="仿宋" w:cs="仿宋"/>
          <w:kern w:val="0"/>
          <w:sz w:val="32"/>
          <w:szCs w:val="32"/>
          <w:highlight w:val="none"/>
          <w:lang w:val="en-US" w:eastAsia="zh-CN"/>
        </w:rPr>
        <w:t>支付</w:t>
      </w:r>
      <w:r>
        <w:rPr>
          <w:rFonts w:hint="eastAsia" w:ascii="仿宋" w:hAnsi="仿宋" w:eastAsia="仿宋" w:cs="仿宋"/>
          <w:kern w:val="0"/>
          <w:sz w:val="32"/>
          <w:szCs w:val="32"/>
          <w:highlight w:val="none"/>
        </w:rPr>
        <w:t>从申请、审核、审查、审批到最后</w:t>
      </w:r>
      <w:r>
        <w:rPr>
          <w:rFonts w:hint="eastAsia" w:ascii="仿宋" w:hAnsi="仿宋" w:eastAsia="仿宋" w:cs="仿宋"/>
          <w:kern w:val="0"/>
          <w:sz w:val="32"/>
          <w:szCs w:val="32"/>
          <w:highlight w:val="none"/>
          <w:lang w:val="en-US" w:eastAsia="zh-CN"/>
        </w:rPr>
        <w:t>支出</w:t>
      </w:r>
      <w:r>
        <w:rPr>
          <w:rFonts w:hint="eastAsia" w:ascii="仿宋" w:hAnsi="仿宋" w:eastAsia="仿宋" w:cs="仿宋"/>
          <w:kern w:val="0"/>
          <w:sz w:val="32"/>
          <w:szCs w:val="32"/>
          <w:highlight w:val="none"/>
        </w:rPr>
        <w:t>都</w:t>
      </w:r>
      <w:r>
        <w:rPr>
          <w:rFonts w:hint="eastAsia" w:ascii="仿宋" w:hAnsi="仿宋" w:eastAsia="仿宋" w:cs="仿宋"/>
          <w:kern w:val="0"/>
          <w:sz w:val="32"/>
          <w:szCs w:val="32"/>
          <w:highlight w:val="none"/>
          <w:lang w:val="en-US" w:eastAsia="zh-CN"/>
        </w:rPr>
        <w:t>按照</w:t>
      </w:r>
      <w:r>
        <w:rPr>
          <w:rFonts w:hint="eastAsia" w:ascii="仿宋" w:hAnsi="仿宋" w:eastAsia="仿宋" w:cs="仿宋"/>
          <w:kern w:val="0"/>
          <w:sz w:val="32"/>
          <w:szCs w:val="32"/>
          <w:highlight w:val="none"/>
        </w:rPr>
        <w:t>相关财政政策实施，使用符合财务管理规定。</w:t>
      </w:r>
      <w:r>
        <w:rPr>
          <w:rFonts w:hint="eastAsia" w:ascii="仿宋" w:hAnsi="仿宋" w:eastAsia="仿宋" w:cs="仿宋"/>
          <w:sz w:val="32"/>
          <w:szCs w:val="32"/>
          <w:highlight w:val="none"/>
        </w:rPr>
        <w:t>我</w:t>
      </w:r>
      <w:r>
        <w:rPr>
          <w:rFonts w:hint="eastAsia" w:ascii="仿宋" w:hAnsi="仿宋" w:eastAsia="仿宋" w:cs="仿宋"/>
          <w:sz w:val="32"/>
          <w:szCs w:val="32"/>
          <w:highlight w:val="none"/>
          <w:lang w:val="en-US" w:eastAsia="zh-CN"/>
        </w:rPr>
        <w:t>部门</w:t>
      </w:r>
      <w:r>
        <w:rPr>
          <w:rFonts w:hint="eastAsia" w:ascii="仿宋" w:hAnsi="仿宋" w:eastAsia="仿宋" w:cs="仿宋"/>
          <w:sz w:val="32"/>
          <w:szCs w:val="32"/>
          <w:highlight w:val="none"/>
        </w:rPr>
        <w:t>综合绩效评价</w:t>
      </w:r>
      <w:r>
        <w:rPr>
          <w:rFonts w:hint="eastAsia" w:ascii="仿宋" w:hAnsi="仿宋" w:eastAsia="仿宋" w:cs="仿宋"/>
          <w:sz w:val="32"/>
          <w:szCs w:val="32"/>
          <w:highlight w:val="none"/>
          <w:lang w:val="en-US" w:eastAsia="zh-CN"/>
        </w:rPr>
        <w:t>得分</w:t>
      </w:r>
      <w:r>
        <w:rPr>
          <w:rFonts w:hint="eastAsia" w:ascii="仿宋" w:hAnsi="仿宋" w:eastAsia="仿宋" w:cs="仿宋"/>
          <w:kern w:val="0"/>
          <w:sz w:val="32"/>
          <w:szCs w:val="32"/>
          <w:highlight w:val="none"/>
          <w:lang w:val="en-US" w:eastAsia="zh-CN"/>
        </w:rPr>
        <w:t>96，</w:t>
      </w:r>
      <w:r>
        <w:rPr>
          <w:rFonts w:hint="eastAsia" w:ascii="仿宋" w:hAnsi="仿宋" w:eastAsia="仿宋" w:cs="仿宋"/>
          <w:sz w:val="32"/>
          <w:szCs w:val="32"/>
          <w:highlight w:val="none"/>
        </w:rPr>
        <w:t>为优秀等次。</w:t>
      </w:r>
    </w:p>
    <w:p w14:paraId="0842E46A">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6C59AD86">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0BFC31A1">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jc w:val="both"/>
        <w:textAlignment w:val="baseline"/>
        <w:rPr>
          <w:rFonts w:hint="eastAsia" w:ascii="仿宋" w:hAnsi="仿宋" w:eastAsia="仿宋"/>
          <w:b/>
          <w:bCs/>
          <w:sz w:val="32"/>
          <w:szCs w:val="32"/>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14:paraId="6D7FA25A">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5EFB6B92">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bookmarkStart w:id="0" w:name="_GoBack"/>
      <w:bookmarkEnd w:id="0"/>
    </w:p>
    <w:p w14:paraId="79CCDCA8">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7EA3E20E">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0D96E6A0">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58741154">
      <w:pPr>
        <w:pStyle w:val="15"/>
        <w:jc w:val="both"/>
        <w:rPr>
          <w:rFonts w:hint="eastAsia" w:ascii="仿宋" w:hAnsi="仿宋" w:eastAsia="仿宋"/>
          <w:b/>
          <w:bCs/>
          <w:sz w:val="32"/>
          <w:szCs w:val="32"/>
        </w:rPr>
      </w:pPr>
      <w:r>
        <w:rPr>
          <w:rFonts w:hint="eastAsia" w:ascii="仿宋" w:hAnsi="仿宋" w:eastAsia="仿宋" w:cs="黑体"/>
          <w:kern w:val="2"/>
          <w:sz w:val="32"/>
          <w:szCs w:val="32"/>
          <w:lang w:val="en-US" w:eastAsia="zh-CN" w:bidi="ar-SA"/>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597C1A20">
      <w:pPr>
        <w:widowControl w:val="0"/>
        <w:wordWrap/>
        <w:adjustRightInd w:val="0"/>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w:t>
      </w:r>
    </w:p>
    <w:p w14:paraId="60B0BE64">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p>
    <w:p w14:paraId="327382AB">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p w14:paraId="2A61A9F8">
      <w:pPr>
        <w:widowControl w:val="0"/>
        <w:wordWrap/>
        <w:spacing w:line="560" w:lineRule="exact"/>
        <w:ind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卢火青  区城市管理综合执法大队大队长 </w:t>
      </w:r>
    </w:p>
    <w:p w14:paraId="641F17F3">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王显扬  区城市管理综合执法大队办公室负责人</w:t>
      </w:r>
    </w:p>
    <w:p w14:paraId="6EF52978">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封艳霞  区城市管理综合执法大队计财股负责人</w:t>
      </w:r>
    </w:p>
    <w:p w14:paraId="08F86E06">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白日明  区城市管理综合执法大队渣土股负责人</w:t>
      </w:r>
    </w:p>
    <w:p w14:paraId="4C7A7D8E">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杜子维  区城市管理综合执法大队考评办负责人</w:t>
      </w:r>
    </w:p>
    <w:p w14:paraId="5FF03578">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刘  峰  区城市管理综合执法大队数字城管负责人</w:t>
      </w:r>
    </w:p>
    <w:p w14:paraId="107DB8DD">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张少春  区市容监察中队负责人</w:t>
      </w:r>
    </w:p>
    <w:p w14:paraId="49FAB47F">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杜晓玲  区城镇服务管理中心负责人</w:t>
      </w:r>
    </w:p>
    <w:p w14:paraId="39843A8D">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王志伟  区环境卫生管护中心负责人</w:t>
      </w:r>
    </w:p>
    <w:p w14:paraId="15011D6F">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曹玉宏  区城乡卫生管护中心负责人</w:t>
      </w:r>
    </w:p>
    <w:p w14:paraId="5C4A13AE">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苗亚斌  区市场服务中心负责人</w:t>
      </w:r>
    </w:p>
    <w:p w14:paraId="01969E42">
      <w:pPr>
        <w:bidi w:val="0"/>
        <w:rPr>
          <w:rFonts w:hint="eastAsia" w:ascii="Calibri" w:hAnsi="Calibri" w:eastAsia="宋体" w:cs="黑体"/>
          <w:kern w:val="2"/>
          <w:sz w:val="21"/>
          <w:szCs w:val="22"/>
          <w:lang w:val="en-US" w:eastAsia="zh-CN" w:bidi="ar-SA"/>
        </w:rPr>
      </w:pPr>
    </w:p>
    <w:p w14:paraId="34B65A89">
      <w:pPr>
        <w:bidi w:val="0"/>
        <w:rPr>
          <w:rFonts w:hint="eastAsia"/>
          <w:lang w:val="en-US" w:eastAsia="zh-CN"/>
        </w:rPr>
      </w:pPr>
    </w:p>
    <w:p w14:paraId="2747D6F6">
      <w:pPr>
        <w:bidi w:val="0"/>
        <w:rPr>
          <w:rFonts w:hint="eastAsia"/>
          <w:lang w:val="en-US" w:eastAsia="zh-CN"/>
        </w:rPr>
      </w:pPr>
    </w:p>
    <w:p w14:paraId="7D8F570E">
      <w:pPr>
        <w:bidi w:val="0"/>
        <w:rPr>
          <w:rFonts w:hint="eastAsia"/>
          <w:lang w:val="en-US" w:eastAsia="zh-CN"/>
        </w:rPr>
      </w:pPr>
    </w:p>
    <w:p w14:paraId="2562DC01">
      <w:pPr>
        <w:bidi w:val="0"/>
        <w:rPr>
          <w:rFonts w:hint="eastAsia"/>
          <w:lang w:val="en-US" w:eastAsia="zh-CN"/>
        </w:rPr>
      </w:pPr>
    </w:p>
    <w:p w14:paraId="0B71B4A0">
      <w:pPr>
        <w:bidi w:val="0"/>
        <w:rPr>
          <w:rFonts w:hint="eastAsia"/>
          <w:lang w:val="en-US" w:eastAsia="zh-CN"/>
        </w:rPr>
      </w:pPr>
    </w:p>
    <w:p w14:paraId="16C11CFB">
      <w:pPr>
        <w:bidi w:val="0"/>
        <w:rPr>
          <w:rFonts w:hint="eastAsia"/>
          <w:lang w:val="en-US" w:eastAsia="zh-CN"/>
        </w:rPr>
      </w:pPr>
    </w:p>
    <w:p w14:paraId="7DFFFCA4">
      <w:pPr>
        <w:bidi w:val="0"/>
        <w:rPr>
          <w:rFonts w:hint="default"/>
          <w:lang w:val="en-US" w:eastAsia="zh-CN"/>
        </w:rPr>
      </w:pPr>
      <w:r>
        <w:rPr>
          <w:rFonts w:hint="eastAsia"/>
          <w:lang w:val="en-US" w:eastAsia="zh-CN"/>
        </w:rPr>
        <w:t xml:space="preserve"> </w:t>
      </w:r>
    </w:p>
    <w:p w14:paraId="18B5E48E">
      <w:pPr>
        <w:bidi w:val="0"/>
        <w:rPr>
          <w:rFonts w:hint="eastAsia"/>
          <w:lang w:val="en-US" w:eastAsia="zh-CN"/>
        </w:rPr>
      </w:pPr>
    </w:p>
    <w:p w14:paraId="4D055784">
      <w:pPr>
        <w:bidi w:val="0"/>
        <w:rPr>
          <w:rFonts w:hint="eastAsia"/>
          <w:lang w:val="en-US" w:eastAsia="zh-CN"/>
        </w:rPr>
      </w:pPr>
    </w:p>
    <w:p w14:paraId="307DCA3E">
      <w:pPr>
        <w:widowControl w:val="0"/>
        <w:wordWrap/>
        <w:spacing w:line="560" w:lineRule="exact"/>
        <w:ind w:left="0" w:leftChars="0"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2024年4月18日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BE963">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0CE6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E0CE6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30"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7E4B8A6"/>
    <w:multiLevelType w:val="singleLevel"/>
    <w:tmpl w:val="77E4B8A6"/>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EBD2122"/>
    <w:rsid w:val="002A1AF8"/>
    <w:rsid w:val="00327C15"/>
    <w:rsid w:val="007E6C1F"/>
    <w:rsid w:val="008E0C60"/>
    <w:rsid w:val="00AF566A"/>
    <w:rsid w:val="00B6553A"/>
    <w:rsid w:val="00D8661A"/>
    <w:rsid w:val="015B7D34"/>
    <w:rsid w:val="01B104CA"/>
    <w:rsid w:val="02015179"/>
    <w:rsid w:val="02084511"/>
    <w:rsid w:val="02106AB0"/>
    <w:rsid w:val="02B43A28"/>
    <w:rsid w:val="0405748B"/>
    <w:rsid w:val="04090D29"/>
    <w:rsid w:val="046F331E"/>
    <w:rsid w:val="052D4EEB"/>
    <w:rsid w:val="05504736"/>
    <w:rsid w:val="05D8304A"/>
    <w:rsid w:val="061B7444"/>
    <w:rsid w:val="06487227"/>
    <w:rsid w:val="06ED64DB"/>
    <w:rsid w:val="07060306"/>
    <w:rsid w:val="07956271"/>
    <w:rsid w:val="07990616"/>
    <w:rsid w:val="0875181E"/>
    <w:rsid w:val="08B651F8"/>
    <w:rsid w:val="08C47915"/>
    <w:rsid w:val="091C484F"/>
    <w:rsid w:val="097035F9"/>
    <w:rsid w:val="09721397"/>
    <w:rsid w:val="097F55EA"/>
    <w:rsid w:val="09D65B51"/>
    <w:rsid w:val="0A5F5B47"/>
    <w:rsid w:val="0A8E01DA"/>
    <w:rsid w:val="0AD55E09"/>
    <w:rsid w:val="0AE75B3C"/>
    <w:rsid w:val="0AF049F1"/>
    <w:rsid w:val="0B3D575C"/>
    <w:rsid w:val="0B4F3FBF"/>
    <w:rsid w:val="0B762CFB"/>
    <w:rsid w:val="0B9D6DBB"/>
    <w:rsid w:val="0BB63BED"/>
    <w:rsid w:val="0CBF0B1F"/>
    <w:rsid w:val="0CCD48BE"/>
    <w:rsid w:val="0D240982"/>
    <w:rsid w:val="0D862767"/>
    <w:rsid w:val="0EB97A43"/>
    <w:rsid w:val="0EBD2122"/>
    <w:rsid w:val="0EFD592E"/>
    <w:rsid w:val="0F214EAE"/>
    <w:rsid w:val="0F39623B"/>
    <w:rsid w:val="0F484C3C"/>
    <w:rsid w:val="0F621C35"/>
    <w:rsid w:val="0F9A13CF"/>
    <w:rsid w:val="0FE952E2"/>
    <w:rsid w:val="10EC7A09"/>
    <w:rsid w:val="11B71E6A"/>
    <w:rsid w:val="13482EF0"/>
    <w:rsid w:val="135B70C7"/>
    <w:rsid w:val="140519A8"/>
    <w:rsid w:val="14213E6D"/>
    <w:rsid w:val="14EB7FD7"/>
    <w:rsid w:val="150B04AE"/>
    <w:rsid w:val="165F2A2B"/>
    <w:rsid w:val="16647159"/>
    <w:rsid w:val="167C182F"/>
    <w:rsid w:val="16DE4297"/>
    <w:rsid w:val="175B1444"/>
    <w:rsid w:val="17D80170"/>
    <w:rsid w:val="17DB2585"/>
    <w:rsid w:val="18611220"/>
    <w:rsid w:val="189310B2"/>
    <w:rsid w:val="194242C9"/>
    <w:rsid w:val="19B906A4"/>
    <w:rsid w:val="1A367BC4"/>
    <w:rsid w:val="1A69031C"/>
    <w:rsid w:val="1AAF0063"/>
    <w:rsid w:val="1BAB226E"/>
    <w:rsid w:val="1BE140DE"/>
    <w:rsid w:val="1E2403A5"/>
    <w:rsid w:val="1E5519DC"/>
    <w:rsid w:val="1EDB6610"/>
    <w:rsid w:val="1EDF1969"/>
    <w:rsid w:val="1FC009DE"/>
    <w:rsid w:val="1FF97A4C"/>
    <w:rsid w:val="208E4638"/>
    <w:rsid w:val="20E57935"/>
    <w:rsid w:val="212E7BC9"/>
    <w:rsid w:val="21374CD0"/>
    <w:rsid w:val="2197751D"/>
    <w:rsid w:val="22350AE4"/>
    <w:rsid w:val="22E627AE"/>
    <w:rsid w:val="23160915"/>
    <w:rsid w:val="23256DAA"/>
    <w:rsid w:val="23356FED"/>
    <w:rsid w:val="235D4796"/>
    <w:rsid w:val="2369111C"/>
    <w:rsid w:val="237A0EA4"/>
    <w:rsid w:val="238B17CB"/>
    <w:rsid w:val="238F3497"/>
    <w:rsid w:val="24596D0B"/>
    <w:rsid w:val="248C197D"/>
    <w:rsid w:val="252959AF"/>
    <w:rsid w:val="254774AC"/>
    <w:rsid w:val="25DC4098"/>
    <w:rsid w:val="25E568FD"/>
    <w:rsid w:val="277A6671"/>
    <w:rsid w:val="27C668CE"/>
    <w:rsid w:val="292D35B7"/>
    <w:rsid w:val="2A594280"/>
    <w:rsid w:val="2BD80E5D"/>
    <w:rsid w:val="2C547BE2"/>
    <w:rsid w:val="2CA945A8"/>
    <w:rsid w:val="2CEE05BC"/>
    <w:rsid w:val="2D8527AF"/>
    <w:rsid w:val="2E60513A"/>
    <w:rsid w:val="2E840E29"/>
    <w:rsid w:val="2EAC037F"/>
    <w:rsid w:val="303E4D2C"/>
    <w:rsid w:val="31386792"/>
    <w:rsid w:val="31650ED2"/>
    <w:rsid w:val="31797E91"/>
    <w:rsid w:val="31AD0696"/>
    <w:rsid w:val="323D7C6C"/>
    <w:rsid w:val="326254CD"/>
    <w:rsid w:val="32D73DD4"/>
    <w:rsid w:val="32ED3FF6"/>
    <w:rsid w:val="33830D44"/>
    <w:rsid w:val="33B4169A"/>
    <w:rsid w:val="33EB6CFF"/>
    <w:rsid w:val="34060532"/>
    <w:rsid w:val="359B1A8F"/>
    <w:rsid w:val="35A12947"/>
    <w:rsid w:val="35D73F34"/>
    <w:rsid w:val="360B1E2F"/>
    <w:rsid w:val="368A71F8"/>
    <w:rsid w:val="36AA789A"/>
    <w:rsid w:val="371B6954"/>
    <w:rsid w:val="37387040"/>
    <w:rsid w:val="38290817"/>
    <w:rsid w:val="38712BDA"/>
    <w:rsid w:val="39091573"/>
    <w:rsid w:val="39C649EB"/>
    <w:rsid w:val="3A304D85"/>
    <w:rsid w:val="3A9248CD"/>
    <w:rsid w:val="3ACA4067"/>
    <w:rsid w:val="3ADB5F75"/>
    <w:rsid w:val="3B625C0A"/>
    <w:rsid w:val="3B7F4E52"/>
    <w:rsid w:val="3BD72D16"/>
    <w:rsid w:val="3BDD7DCA"/>
    <w:rsid w:val="3BF82E56"/>
    <w:rsid w:val="3C6329C5"/>
    <w:rsid w:val="3CEE1963"/>
    <w:rsid w:val="3CF14896"/>
    <w:rsid w:val="3D255ECD"/>
    <w:rsid w:val="3D2A34E3"/>
    <w:rsid w:val="3D3341E9"/>
    <w:rsid w:val="3D453E79"/>
    <w:rsid w:val="3D7326BC"/>
    <w:rsid w:val="3EF43DA9"/>
    <w:rsid w:val="408C61C9"/>
    <w:rsid w:val="40907B01"/>
    <w:rsid w:val="40B76E3C"/>
    <w:rsid w:val="41794E5C"/>
    <w:rsid w:val="42562684"/>
    <w:rsid w:val="425E25A2"/>
    <w:rsid w:val="42AD6748"/>
    <w:rsid w:val="42F8373B"/>
    <w:rsid w:val="430A50D7"/>
    <w:rsid w:val="4348021F"/>
    <w:rsid w:val="444255B6"/>
    <w:rsid w:val="44A1408B"/>
    <w:rsid w:val="45F91CA4"/>
    <w:rsid w:val="46F3302B"/>
    <w:rsid w:val="47940AD4"/>
    <w:rsid w:val="48875B82"/>
    <w:rsid w:val="49802A68"/>
    <w:rsid w:val="49F41101"/>
    <w:rsid w:val="4A5945B0"/>
    <w:rsid w:val="4B6226D4"/>
    <w:rsid w:val="4B6776B0"/>
    <w:rsid w:val="4BF47196"/>
    <w:rsid w:val="4C577725"/>
    <w:rsid w:val="4C7E4CB1"/>
    <w:rsid w:val="4C83051A"/>
    <w:rsid w:val="4C854292"/>
    <w:rsid w:val="4C9C27FE"/>
    <w:rsid w:val="4D0618B7"/>
    <w:rsid w:val="4DAC04FB"/>
    <w:rsid w:val="4DC4528E"/>
    <w:rsid w:val="4E1753BE"/>
    <w:rsid w:val="4E597784"/>
    <w:rsid w:val="4EAB5A92"/>
    <w:rsid w:val="4F012458"/>
    <w:rsid w:val="4F1F09CE"/>
    <w:rsid w:val="4F2F6737"/>
    <w:rsid w:val="4F4A63AC"/>
    <w:rsid w:val="4F754A92"/>
    <w:rsid w:val="4F8B5CB3"/>
    <w:rsid w:val="4F932C30"/>
    <w:rsid w:val="4FE85264"/>
    <w:rsid w:val="50B43398"/>
    <w:rsid w:val="512260B4"/>
    <w:rsid w:val="526F57C8"/>
    <w:rsid w:val="527032EE"/>
    <w:rsid w:val="52BD6ACB"/>
    <w:rsid w:val="52DD71A3"/>
    <w:rsid w:val="536307AB"/>
    <w:rsid w:val="538434F5"/>
    <w:rsid w:val="53D22211"/>
    <w:rsid w:val="54C97AC2"/>
    <w:rsid w:val="55537534"/>
    <w:rsid w:val="555F106D"/>
    <w:rsid w:val="556A671B"/>
    <w:rsid w:val="56024BA5"/>
    <w:rsid w:val="561A74F1"/>
    <w:rsid w:val="56660C3A"/>
    <w:rsid w:val="571A2823"/>
    <w:rsid w:val="57666F12"/>
    <w:rsid w:val="57DD10CD"/>
    <w:rsid w:val="58156E12"/>
    <w:rsid w:val="58584F50"/>
    <w:rsid w:val="58A957AC"/>
    <w:rsid w:val="58D77C23"/>
    <w:rsid w:val="597244E8"/>
    <w:rsid w:val="59743C4A"/>
    <w:rsid w:val="5987789B"/>
    <w:rsid w:val="59A6630F"/>
    <w:rsid w:val="59E412A7"/>
    <w:rsid w:val="5A0E009E"/>
    <w:rsid w:val="5A2A2324"/>
    <w:rsid w:val="5B37709F"/>
    <w:rsid w:val="5BB035BF"/>
    <w:rsid w:val="5BB2049C"/>
    <w:rsid w:val="5C007491"/>
    <w:rsid w:val="5D0C00B7"/>
    <w:rsid w:val="5D7E59E4"/>
    <w:rsid w:val="5DE40447"/>
    <w:rsid w:val="5EA52305"/>
    <w:rsid w:val="5EB71C30"/>
    <w:rsid w:val="5F230066"/>
    <w:rsid w:val="5F393A8D"/>
    <w:rsid w:val="5F3A53B0"/>
    <w:rsid w:val="5FF4730D"/>
    <w:rsid w:val="600A4D82"/>
    <w:rsid w:val="606244F2"/>
    <w:rsid w:val="61C63C89"/>
    <w:rsid w:val="62B1691A"/>
    <w:rsid w:val="62DD22DA"/>
    <w:rsid w:val="6300246C"/>
    <w:rsid w:val="63901A42"/>
    <w:rsid w:val="64022AFF"/>
    <w:rsid w:val="64CD26C7"/>
    <w:rsid w:val="654C1999"/>
    <w:rsid w:val="65895139"/>
    <w:rsid w:val="65F20792"/>
    <w:rsid w:val="66067D9A"/>
    <w:rsid w:val="66A03D4A"/>
    <w:rsid w:val="66AF0CE5"/>
    <w:rsid w:val="671D183F"/>
    <w:rsid w:val="67AB272A"/>
    <w:rsid w:val="67EC1211"/>
    <w:rsid w:val="683F7593"/>
    <w:rsid w:val="685C0145"/>
    <w:rsid w:val="68EB7ABC"/>
    <w:rsid w:val="699102C2"/>
    <w:rsid w:val="699403F0"/>
    <w:rsid w:val="6A470981"/>
    <w:rsid w:val="6A837C0B"/>
    <w:rsid w:val="6AC537CF"/>
    <w:rsid w:val="6AD229EA"/>
    <w:rsid w:val="6C2E004A"/>
    <w:rsid w:val="6C9854C4"/>
    <w:rsid w:val="6D57712D"/>
    <w:rsid w:val="6E42258C"/>
    <w:rsid w:val="6E5B14A6"/>
    <w:rsid w:val="6E7D2BC3"/>
    <w:rsid w:val="6EA757C4"/>
    <w:rsid w:val="6F4D6275"/>
    <w:rsid w:val="6F5778B8"/>
    <w:rsid w:val="711B255E"/>
    <w:rsid w:val="71557E27"/>
    <w:rsid w:val="71BD2F0F"/>
    <w:rsid w:val="71D60F68"/>
    <w:rsid w:val="72061263"/>
    <w:rsid w:val="72255A4C"/>
    <w:rsid w:val="7317199D"/>
    <w:rsid w:val="74406B6D"/>
    <w:rsid w:val="749E58B9"/>
    <w:rsid w:val="74E24654"/>
    <w:rsid w:val="7722255A"/>
    <w:rsid w:val="77CE3C71"/>
    <w:rsid w:val="78AA0A59"/>
    <w:rsid w:val="790068CB"/>
    <w:rsid w:val="7A106FE1"/>
    <w:rsid w:val="7A2621AB"/>
    <w:rsid w:val="7B60375F"/>
    <w:rsid w:val="7BA67BFD"/>
    <w:rsid w:val="7BB51E06"/>
    <w:rsid w:val="7C387F7C"/>
    <w:rsid w:val="7C471499"/>
    <w:rsid w:val="7CC320E9"/>
    <w:rsid w:val="7DE91C72"/>
    <w:rsid w:val="7E9A50CB"/>
    <w:rsid w:val="7EA45F4A"/>
    <w:rsid w:val="7FD36AE7"/>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autoRedefine/>
    <w:unhideWhenUsed/>
    <w:qFormat/>
    <w:uiPriority w:val="1"/>
  </w:style>
  <w:style w:type="table" w:default="1" w:styleId="8">
    <w:name w:val="Normal Table"/>
    <w:autoRedefine/>
    <w:unhideWhenUsed/>
    <w:qFormat/>
    <w:uiPriority w:val="99"/>
    <w:tblPr>
      <w:tblCellMar>
        <w:top w:w="0" w:type="dxa"/>
        <w:left w:w="108" w:type="dxa"/>
        <w:bottom w:w="0" w:type="dxa"/>
        <w:right w:w="108" w:type="dxa"/>
      </w:tblCellMar>
    </w:tblPr>
  </w:style>
  <w:style w:type="paragraph" w:styleId="2">
    <w:name w:val="Body Text"/>
    <w:basedOn w:val="1"/>
    <w:next w:val="1"/>
    <w:autoRedefine/>
    <w:qFormat/>
    <w:uiPriority w:val="99"/>
    <w:pPr>
      <w:spacing w:line="400" w:lineRule="exact"/>
      <w:jc w:val="center"/>
    </w:pPr>
    <w:rPr>
      <w:sz w:val="24"/>
    </w:rPr>
  </w:style>
  <w:style w:type="paragraph" w:styleId="3">
    <w:name w:val="Body Text Indent"/>
    <w:basedOn w:val="1"/>
    <w:autoRedefine/>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3"/>
    <w:autoRedefine/>
    <w:qFormat/>
    <w:uiPriority w:val="0"/>
    <w:pPr>
      <w:ind w:firstLine="420"/>
    </w:pPr>
    <w:rPr>
      <w:rFonts w:ascii="Times New Roman" w:hAnsi="Times New Roman" w:eastAsia="宋体" w:cs="Times New Roman"/>
    </w:rPr>
  </w:style>
  <w:style w:type="table" w:styleId="9">
    <w:name w:val="Table Grid"/>
    <w:basedOn w:val="8"/>
    <w:autoRedefine/>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无间隔1"/>
    <w:basedOn w:val="1"/>
    <w:autoRedefine/>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6553</Words>
  <Characters>6845</Characters>
  <Lines>7</Lines>
  <Paragraphs>2</Paragraphs>
  <TotalTime>46</TotalTime>
  <ScaleCrop>false</ScaleCrop>
  <LinksUpToDate>false</LinksUpToDate>
  <CharactersWithSpaces>6922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2024-04-24T09:33:00Z</cp:lastPrinted>
  <dcterms:modified xsi:type="dcterms:W3CDTF">2025-05-08T05:59:18Z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A0F2695490CD4B16A991011DB805B6B4_12</vt:lpwstr>
  </property>
  <property fmtid="{D5CDD505-2E9C-101B-9397-08002B2CF9AE}" pid="4" name="KSOTemplateDocerSaveRecord">
    <vt:lpwstr>eyJoZGlkIjoiMmJhMTE1ZTM4ODA0YTUyYWY5NmQ2ZTY0NTExYWU5MmUifQ==</vt:lpwstr>
  </property>
</Properties>
</file>