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AA9FE2">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28FA46BE">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2ABE337A">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53312B5B">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5DBAC64F">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77079196">
      <w:pPr>
        <w:pStyle w:val="2"/>
        <w:keepNext w:val="0"/>
        <w:keepLines w:val="0"/>
        <w:pageBreakBefore w:val="0"/>
        <w:kinsoku/>
        <w:wordWrap/>
        <w:overflowPunct/>
        <w:topLinePunct w:val="0"/>
        <w:bidi w:val="0"/>
        <w:spacing w:line="244" w:lineRule="auto"/>
        <w:rPr>
          <w:rFonts w:hint="default" w:ascii="Times New Roman" w:hAnsi="Times New Roman" w:cs="Times New Roman"/>
          <w:color w:val="auto"/>
          <w:highlight w:val="none"/>
        </w:rPr>
      </w:pPr>
    </w:p>
    <w:p w14:paraId="35D54209">
      <w:pPr>
        <w:keepNext w:val="0"/>
        <w:keepLines w:val="0"/>
        <w:pageBreakBefore w:val="0"/>
        <w:widowControl/>
        <w:kinsoku/>
        <w:wordWrap/>
        <w:overflowPunct/>
        <w:topLinePunct w:val="0"/>
        <w:autoSpaceDE w:val="0"/>
        <w:autoSpaceDN w:val="0"/>
        <w:bidi w:val="0"/>
        <w:adjustRightInd w:val="0"/>
        <w:snapToGrid w:val="0"/>
        <w:spacing w:before="253" w:line="176" w:lineRule="auto"/>
        <w:jc w:val="center"/>
        <w:textAlignment w:val="baseline"/>
        <w:outlineLvl w:val="9"/>
        <w:rPr>
          <w:rFonts w:hint="default" w:ascii="Times New Roman" w:hAnsi="Times New Roman" w:eastAsia="方正小标宋_GBK" w:cs="Times New Roman"/>
          <w:b w:val="0"/>
          <w:bCs w:val="0"/>
          <w:color w:val="auto"/>
          <w:spacing w:val="60"/>
          <w:sz w:val="52"/>
          <w:szCs w:val="52"/>
          <w:highlight w:val="none"/>
          <w:lang w:val="en-US" w:eastAsia="zh-CN"/>
        </w:rPr>
      </w:pPr>
      <w:bookmarkStart w:id="0" w:name="_Toc14711"/>
      <w:bookmarkStart w:id="1" w:name="_Toc3888"/>
      <w:r>
        <w:rPr>
          <w:rFonts w:hint="default" w:ascii="Times New Roman" w:hAnsi="Times New Roman" w:eastAsia="方正小标宋_GBK" w:cs="Times New Roman"/>
          <w:b w:val="0"/>
          <w:bCs w:val="0"/>
          <w:color w:val="auto"/>
          <w:spacing w:val="60"/>
          <w:sz w:val="52"/>
          <w:szCs w:val="52"/>
          <w:highlight w:val="none"/>
          <w:lang w:val="en-US" w:eastAsia="zh-CN"/>
        </w:rPr>
        <w:t>石家庄市鹿泉区</w:t>
      </w:r>
    </w:p>
    <w:p w14:paraId="36259DCB">
      <w:pPr>
        <w:keepNext w:val="0"/>
        <w:keepLines w:val="0"/>
        <w:pageBreakBefore w:val="0"/>
        <w:widowControl/>
        <w:kinsoku/>
        <w:wordWrap/>
        <w:overflowPunct/>
        <w:topLinePunct w:val="0"/>
        <w:autoSpaceDE w:val="0"/>
        <w:autoSpaceDN w:val="0"/>
        <w:bidi w:val="0"/>
        <w:adjustRightInd w:val="0"/>
        <w:snapToGrid w:val="0"/>
        <w:spacing w:before="253" w:line="176" w:lineRule="auto"/>
        <w:jc w:val="center"/>
        <w:textAlignment w:val="baseline"/>
        <w:outlineLvl w:val="9"/>
        <w:rPr>
          <w:rFonts w:hint="default" w:ascii="Times New Roman" w:hAnsi="Times New Roman" w:eastAsia="方正小标宋_GBK" w:cs="Times New Roman"/>
          <w:color w:val="auto"/>
          <w:sz w:val="52"/>
          <w:szCs w:val="52"/>
          <w:highlight w:val="none"/>
        </w:rPr>
      </w:pPr>
      <w:r>
        <w:rPr>
          <w:rFonts w:hint="default" w:ascii="Times New Roman" w:hAnsi="Times New Roman" w:eastAsia="方正小标宋_GBK" w:cs="Times New Roman"/>
          <w:color w:val="auto"/>
          <w:spacing w:val="60"/>
          <w:sz w:val="52"/>
          <w:szCs w:val="52"/>
          <w:highlight w:val="none"/>
        </w:rPr>
        <w:t>非煤矿山综合治理规划</w:t>
      </w:r>
      <w:bookmarkEnd w:id="0"/>
      <w:bookmarkEnd w:id="1"/>
    </w:p>
    <w:p w14:paraId="7105E8A0">
      <w:pPr>
        <w:keepNext w:val="0"/>
        <w:keepLines w:val="0"/>
        <w:pageBreakBefore w:val="0"/>
        <w:widowControl/>
        <w:kinsoku/>
        <w:wordWrap/>
        <w:overflowPunct/>
        <w:topLinePunct w:val="0"/>
        <w:autoSpaceDE w:val="0"/>
        <w:autoSpaceDN w:val="0"/>
        <w:bidi w:val="0"/>
        <w:adjustRightInd w:val="0"/>
        <w:snapToGrid w:val="0"/>
        <w:spacing w:before="2" w:line="224" w:lineRule="auto"/>
        <w:jc w:val="center"/>
        <w:textAlignment w:val="baseline"/>
        <w:outlineLvl w:val="9"/>
        <w:rPr>
          <w:rFonts w:hint="default" w:ascii="Times New Roman" w:hAnsi="Times New Roman" w:eastAsia="方正小标宋_GBK" w:cs="Times New Roman"/>
          <w:color w:val="auto"/>
          <w:sz w:val="48"/>
          <w:szCs w:val="48"/>
          <w:highlight w:val="none"/>
          <w:lang w:val="en-US" w:eastAsia="zh-CN"/>
        </w:rPr>
      </w:pPr>
      <w:r>
        <w:rPr>
          <w:rFonts w:hint="default" w:ascii="Times New Roman" w:hAnsi="Times New Roman" w:eastAsia="方正小标宋_GBK" w:cs="Times New Roman"/>
          <w:color w:val="auto"/>
          <w:spacing w:val="-4"/>
          <w:sz w:val="48"/>
          <w:szCs w:val="48"/>
          <w:highlight w:val="none"/>
        </w:rPr>
        <w:t>（2023-2030年）</w:t>
      </w:r>
    </w:p>
    <w:p w14:paraId="5D94439A">
      <w:pPr>
        <w:pStyle w:val="2"/>
        <w:keepNext w:val="0"/>
        <w:keepLines w:val="0"/>
        <w:pageBreakBefore w:val="0"/>
        <w:kinsoku/>
        <w:wordWrap/>
        <w:overflowPunct/>
        <w:topLinePunct w:val="0"/>
        <w:bidi w:val="0"/>
        <w:spacing w:line="242" w:lineRule="auto"/>
        <w:rPr>
          <w:rFonts w:hint="default" w:ascii="Times New Roman" w:hAnsi="Times New Roman" w:cs="Times New Roman"/>
          <w:color w:val="auto"/>
          <w:highlight w:val="none"/>
        </w:rPr>
      </w:pPr>
    </w:p>
    <w:p w14:paraId="478EB99B">
      <w:pPr>
        <w:pStyle w:val="2"/>
        <w:keepNext w:val="0"/>
        <w:keepLines w:val="0"/>
        <w:pageBreakBefore w:val="0"/>
        <w:kinsoku/>
        <w:wordWrap/>
        <w:overflowPunct/>
        <w:topLinePunct w:val="0"/>
        <w:bidi w:val="0"/>
        <w:spacing w:line="242" w:lineRule="auto"/>
        <w:rPr>
          <w:rFonts w:hint="default" w:ascii="Times New Roman" w:hAnsi="Times New Roman" w:cs="Times New Roman"/>
          <w:color w:val="auto"/>
          <w:highlight w:val="none"/>
        </w:rPr>
      </w:pPr>
    </w:p>
    <w:p w14:paraId="27675FFD">
      <w:pPr>
        <w:pStyle w:val="2"/>
        <w:keepNext w:val="0"/>
        <w:keepLines w:val="0"/>
        <w:pageBreakBefore w:val="0"/>
        <w:kinsoku/>
        <w:wordWrap/>
        <w:overflowPunct/>
        <w:topLinePunct w:val="0"/>
        <w:bidi w:val="0"/>
        <w:spacing w:line="242" w:lineRule="auto"/>
        <w:rPr>
          <w:rFonts w:hint="default" w:ascii="Times New Roman" w:hAnsi="Times New Roman" w:cs="Times New Roman"/>
          <w:color w:val="auto"/>
          <w:highlight w:val="none"/>
        </w:rPr>
      </w:pPr>
    </w:p>
    <w:p w14:paraId="61FFF222">
      <w:pPr>
        <w:pStyle w:val="2"/>
        <w:keepNext w:val="0"/>
        <w:keepLines w:val="0"/>
        <w:pageBreakBefore w:val="0"/>
        <w:kinsoku/>
        <w:wordWrap/>
        <w:overflowPunct/>
        <w:topLinePunct w:val="0"/>
        <w:bidi w:val="0"/>
        <w:spacing w:line="242" w:lineRule="auto"/>
        <w:rPr>
          <w:rFonts w:hint="default" w:ascii="Times New Roman" w:hAnsi="Times New Roman" w:cs="Times New Roman"/>
          <w:color w:val="auto"/>
          <w:highlight w:val="none"/>
        </w:rPr>
      </w:pPr>
    </w:p>
    <w:p w14:paraId="7E7EA31B">
      <w:pPr>
        <w:pStyle w:val="2"/>
        <w:keepNext w:val="0"/>
        <w:keepLines w:val="0"/>
        <w:pageBreakBefore w:val="0"/>
        <w:kinsoku/>
        <w:wordWrap/>
        <w:overflowPunct/>
        <w:topLinePunct w:val="0"/>
        <w:bidi w:val="0"/>
        <w:spacing w:line="242" w:lineRule="auto"/>
        <w:rPr>
          <w:rFonts w:hint="default" w:ascii="Times New Roman" w:hAnsi="Times New Roman" w:cs="Times New Roman"/>
          <w:color w:val="auto"/>
          <w:highlight w:val="none"/>
        </w:rPr>
      </w:pPr>
    </w:p>
    <w:p w14:paraId="6D36D97E">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0AD52167">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3A83C5A1">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33C05A81">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36590440">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6A273BCB">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4422AFD1">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095DAA08">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0EE256B9">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665A484C">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7FA73B5B">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21FF8C4F">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2713B729">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5836CD51">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35B380BC">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49EC1870">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1D35DA35">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67EC278A">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773B2E41">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217762BA">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6E89A680">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74F9FF92">
      <w:pPr>
        <w:pStyle w:val="2"/>
        <w:keepNext w:val="0"/>
        <w:keepLines w:val="0"/>
        <w:pageBreakBefore w:val="0"/>
        <w:kinsoku/>
        <w:wordWrap/>
        <w:overflowPunct/>
        <w:topLinePunct w:val="0"/>
        <w:bidi w:val="0"/>
        <w:spacing w:line="243" w:lineRule="auto"/>
        <w:rPr>
          <w:rFonts w:hint="default" w:ascii="Times New Roman" w:hAnsi="Times New Roman" w:cs="Times New Roman"/>
          <w:color w:val="auto"/>
          <w:highlight w:val="none"/>
        </w:rPr>
      </w:pPr>
    </w:p>
    <w:p w14:paraId="2B4AB2A4">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outlineLvl w:val="9"/>
        <w:rPr>
          <w:rFonts w:hint="default" w:ascii="Times New Roman" w:hAnsi="Times New Roman" w:eastAsia="楷体" w:cs="Times New Roman"/>
          <w:color w:val="auto"/>
          <w:sz w:val="36"/>
          <w:szCs w:val="36"/>
          <w:highlight w:val="none"/>
          <w:lang w:val="en-US" w:eastAsia="zh-CN"/>
        </w:rPr>
      </w:pPr>
      <w:r>
        <w:rPr>
          <w:rFonts w:hint="default" w:ascii="Times New Roman" w:hAnsi="Times New Roman" w:eastAsia="楷体" w:cs="Times New Roman"/>
          <w:color w:val="auto"/>
          <w:spacing w:val="5"/>
          <w:position w:val="20"/>
          <w:sz w:val="36"/>
          <w:szCs w:val="36"/>
          <w:highlight w:val="none"/>
          <w:lang w:val="en-US" w:eastAsia="zh-CN"/>
        </w:rPr>
        <w:t>石家庄市鹿泉区人民政府</w:t>
      </w:r>
    </w:p>
    <w:p w14:paraId="71846894">
      <w:pPr>
        <w:keepNext w:val="0"/>
        <w:keepLines w:val="0"/>
        <w:pageBreakBefore w:val="0"/>
        <w:widowControl/>
        <w:kinsoku/>
        <w:wordWrap/>
        <w:overflowPunct/>
        <w:topLinePunct w:val="0"/>
        <w:autoSpaceDE w:val="0"/>
        <w:autoSpaceDN w:val="0"/>
        <w:bidi w:val="0"/>
        <w:adjustRightInd w:val="0"/>
        <w:snapToGrid w:val="0"/>
        <w:spacing w:line="360" w:lineRule="auto"/>
        <w:ind w:left="0"/>
        <w:jc w:val="center"/>
        <w:textAlignment w:val="baseline"/>
        <w:rPr>
          <w:rFonts w:hint="default" w:ascii="Times New Roman" w:hAnsi="Times New Roman" w:eastAsia="楷体" w:cs="Times New Roman"/>
          <w:color w:val="auto"/>
          <w:spacing w:val="-3"/>
          <w:sz w:val="36"/>
          <w:szCs w:val="36"/>
          <w:highlight w:val="none"/>
        </w:rPr>
      </w:pPr>
      <w:r>
        <w:rPr>
          <w:rFonts w:hint="eastAsia" w:ascii="Times New Roman" w:hAnsi="Times New Roman" w:eastAsia="楷体" w:cs="Times New Roman"/>
          <w:color w:val="auto"/>
          <w:spacing w:val="-3"/>
          <w:sz w:val="36"/>
          <w:szCs w:val="36"/>
          <w:highlight w:val="none"/>
          <w:lang w:val="en-US" w:eastAsia="zh-CN"/>
        </w:rPr>
        <w:t>2024</w:t>
      </w:r>
      <w:r>
        <w:rPr>
          <w:rFonts w:hint="default" w:ascii="Times New Roman" w:hAnsi="Times New Roman" w:eastAsia="楷体" w:cs="Times New Roman"/>
          <w:color w:val="auto"/>
          <w:spacing w:val="-3"/>
          <w:sz w:val="36"/>
          <w:szCs w:val="36"/>
          <w:highlight w:val="none"/>
        </w:rPr>
        <w:t>年</w:t>
      </w:r>
      <w:r>
        <w:rPr>
          <w:rFonts w:hint="eastAsia" w:ascii="Times New Roman" w:hAnsi="Times New Roman" w:eastAsia="楷体" w:cs="Times New Roman"/>
          <w:color w:val="auto"/>
          <w:spacing w:val="-3"/>
          <w:sz w:val="36"/>
          <w:szCs w:val="36"/>
          <w:highlight w:val="none"/>
          <w:lang w:val="en-US" w:eastAsia="zh-CN"/>
        </w:rPr>
        <w:t>12</w:t>
      </w:r>
      <w:r>
        <w:rPr>
          <w:rFonts w:hint="default" w:ascii="Times New Roman" w:hAnsi="Times New Roman" w:eastAsia="楷体" w:cs="Times New Roman"/>
          <w:color w:val="auto"/>
          <w:spacing w:val="-3"/>
          <w:sz w:val="36"/>
          <w:szCs w:val="36"/>
          <w:highlight w:val="none"/>
        </w:rPr>
        <w:t>月</w:t>
      </w:r>
    </w:p>
    <w:p w14:paraId="45F794B3">
      <w:pPr>
        <w:keepNext w:val="0"/>
        <w:keepLines w:val="0"/>
        <w:pageBreakBefore w:val="0"/>
        <w:widowControl/>
        <w:kinsoku/>
        <w:wordWrap/>
        <w:overflowPunct/>
        <w:topLinePunct w:val="0"/>
        <w:autoSpaceDE w:val="0"/>
        <w:autoSpaceDN w:val="0"/>
        <w:bidi w:val="0"/>
        <w:adjustRightInd w:val="0"/>
        <w:snapToGrid w:val="0"/>
        <w:spacing w:line="360" w:lineRule="auto"/>
        <w:ind w:left="3379"/>
        <w:jc w:val="center"/>
        <w:textAlignment w:val="baseline"/>
        <w:rPr>
          <w:rFonts w:hint="default" w:ascii="Times New Roman" w:hAnsi="Times New Roman" w:eastAsia="楷体" w:cs="Times New Roman"/>
          <w:color w:val="auto"/>
          <w:spacing w:val="-3"/>
          <w:sz w:val="36"/>
          <w:szCs w:val="36"/>
          <w:highlight w:val="none"/>
        </w:rPr>
      </w:pPr>
    </w:p>
    <w:p w14:paraId="6982567F">
      <w:pPr>
        <w:keepNext w:val="0"/>
        <w:keepLines w:val="0"/>
        <w:pageBreakBefore w:val="0"/>
        <w:widowControl/>
        <w:kinsoku/>
        <w:wordWrap/>
        <w:overflowPunct/>
        <w:topLinePunct w:val="0"/>
        <w:autoSpaceDE w:val="0"/>
        <w:autoSpaceDN w:val="0"/>
        <w:bidi w:val="0"/>
        <w:adjustRightInd w:val="0"/>
        <w:snapToGrid w:val="0"/>
        <w:spacing w:line="360" w:lineRule="auto"/>
        <w:ind w:left="3379"/>
        <w:jc w:val="center"/>
        <w:textAlignment w:val="baseline"/>
        <w:rPr>
          <w:rFonts w:hint="default" w:ascii="Times New Roman" w:hAnsi="Times New Roman" w:eastAsia="楷体" w:cs="Times New Roman"/>
          <w:color w:val="auto"/>
          <w:spacing w:val="-3"/>
          <w:sz w:val="36"/>
          <w:szCs w:val="36"/>
          <w:highlight w:val="none"/>
        </w:rPr>
        <w:sectPr>
          <w:headerReference r:id="rId5" w:type="default"/>
          <w:footerReference r:id="rId6" w:type="default"/>
          <w:pgSz w:w="11906" w:h="16839"/>
          <w:pgMar w:top="1431" w:right="1691" w:bottom="0" w:left="1753" w:header="0" w:footer="0" w:gutter="0"/>
          <w:pgNumType w:fmt="decimal"/>
          <w:cols w:space="720" w:num="1"/>
        </w:sectPr>
      </w:pPr>
    </w:p>
    <w:p w14:paraId="3CEEB58D">
      <w:pPr>
        <w:keepNext w:val="0"/>
        <w:keepLines w:val="0"/>
        <w:pageBreakBefore w:val="0"/>
        <w:kinsoku/>
        <w:wordWrap/>
        <w:overflowPunct/>
        <w:topLinePunct w:val="0"/>
        <w:bidi w:val="0"/>
        <w:spacing w:line="187" w:lineRule="auto"/>
        <w:rPr>
          <w:rFonts w:hint="default" w:ascii="Times New Roman" w:hAnsi="Times New Roman" w:eastAsia="楷体" w:cs="Times New Roman"/>
          <w:color w:val="auto"/>
          <w:spacing w:val="-3"/>
          <w:sz w:val="36"/>
          <w:szCs w:val="36"/>
          <w:highlight w:val="none"/>
          <w:lang w:val="en-US" w:eastAsia="zh-CN"/>
        </w:rPr>
        <w:sectPr>
          <w:pgSz w:w="11906" w:h="16839"/>
          <w:pgMar w:top="1431" w:right="1691" w:bottom="0" w:left="1753" w:header="0" w:footer="0" w:gutter="0"/>
          <w:pgNumType w:fmt="decimal"/>
          <w:cols w:space="720" w:num="1"/>
        </w:sectPr>
      </w:pP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r>
        <w:rPr>
          <w:rFonts w:hint="eastAsia" w:ascii="Times New Roman" w:hAnsi="Times New Roman" w:eastAsia="楷体" w:cs="Times New Roman"/>
          <w:color w:val="auto"/>
          <w:spacing w:val="-3"/>
          <w:sz w:val="36"/>
          <w:szCs w:val="36"/>
          <w:highlight w:val="none"/>
          <w:lang w:val="en-US" w:eastAsia="zh-CN"/>
        </w:rPr>
        <w:t xml:space="preserve">                                                                                                                                                                                                                                                                                                                                                                                                                                                                                                                                                                                                                                                                                                                                                                                                                                                                                                                                                                                                                                                                                                                                                                                                                                                                                                                                                                                                                                                                                                                                                                                                                                                                                                                                                                                                                                                                                                                                                                                                                                                                                                                                                                                                                                                                                                                                                                                                                                                                                                                                                                                                                                                                                                                                                                                                                                                                                                                                                                                                                                                                                                                                                                                                                                                                                                                                                                                                                                                                                                                                                                                                                                                                                                                                                                                                                                                                                                                                             </w:t>
      </w:r>
    </w:p>
    <w:p w14:paraId="577223F9">
      <w:pPr>
        <w:pStyle w:val="2"/>
        <w:keepNext w:val="0"/>
        <w:keepLines w:val="0"/>
        <w:pageBreakBefore w:val="0"/>
        <w:kinsoku/>
        <w:wordWrap/>
        <w:overflowPunct/>
        <w:topLinePunct w:val="0"/>
        <w:bidi w:val="0"/>
        <w:spacing w:line="296" w:lineRule="auto"/>
        <w:rPr>
          <w:rFonts w:hint="default" w:ascii="Times New Roman" w:hAnsi="Times New Roman" w:cs="Times New Roman"/>
          <w:color w:val="auto"/>
          <w:highlight w:val="none"/>
        </w:rPr>
      </w:pPr>
    </w:p>
    <w:sdt>
      <w:sdtPr>
        <w:rPr>
          <w:rFonts w:hint="default" w:ascii="Times New Roman" w:hAnsi="Times New Roman" w:eastAsia="宋体" w:cs="Times New Roman"/>
          <w:snapToGrid w:val="0"/>
          <w:color w:val="auto"/>
          <w:kern w:val="0"/>
          <w:sz w:val="21"/>
          <w:szCs w:val="21"/>
          <w:highlight w:val="none"/>
          <w:lang w:val="en-US" w:eastAsia="en-US" w:bidi="ar-SA"/>
        </w:rPr>
        <w:id w:val="147472956"/>
        <w15:color w:val="DBDBDB"/>
        <w:docPartObj>
          <w:docPartGallery w:val="Table of Contents"/>
          <w:docPartUnique/>
        </w:docPartObj>
      </w:sdtPr>
      <w:sdtEndPr>
        <w:rPr>
          <w:rFonts w:hint="default" w:ascii="Times New Roman" w:hAnsi="Times New Roman" w:eastAsia="仿宋" w:cs="Times New Roman"/>
          <w:snapToGrid w:val="0"/>
          <w:color w:val="auto"/>
          <w:kern w:val="0"/>
          <w:sz w:val="32"/>
          <w:szCs w:val="32"/>
          <w:highlight w:val="none"/>
          <w:lang w:val="en-US" w:eastAsia="en-US" w:bidi="ar-SA"/>
        </w:rPr>
      </w:sdtEndPr>
      <w:sdtContent>
        <w:p w14:paraId="583B2F7B">
          <w:pPr>
            <w:keepNext w:val="0"/>
            <w:keepLines w:val="0"/>
            <w:pageBreakBefore w:val="0"/>
            <w:kinsoku/>
            <w:wordWrap/>
            <w:overflowPunct/>
            <w:topLinePunct w:val="0"/>
            <w:bidi w:val="0"/>
            <w:spacing w:before="0" w:beforeLines="0" w:after="0" w:afterLines="0" w:line="360" w:lineRule="auto"/>
            <w:ind w:left="0" w:leftChars="0" w:right="0" w:rightChars="0" w:firstLine="0" w:firstLineChars="0"/>
            <w:jc w:val="center"/>
            <w:rPr>
              <w:rFonts w:hint="default" w:ascii="Times New Roman" w:hAnsi="Times New Roman" w:eastAsia="仿宋" w:cs="Times New Roman"/>
              <w:color w:val="auto"/>
              <w:sz w:val="48"/>
              <w:szCs w:val="48"/>
              <w:highlight w:val="none"/>
            </w:rPr>
          </w:pPr>
          <w:r>
            <w:rPr>
              <w:rFonts w:hint="default" w:ascii="Times New Roman" w:hAnsi="Times New Roman" w:eastAsia="仿宋" w:cs="Times New Roman"/>
              <w:color w:val="auto"/>
              <w:sz w:val="44"/>
              <w:szCs w:val="44"/>
              <w:highlight w:val="none"/>
            </w:rPr>
            <w:t>目</w:t>
          </w:r>
          <w:r>
            <w:rPr>
              <w:rFonts w:hint="eastAsia" w:ascii="Times New Roman" w:hAnsi="Times New Roman" w:eastAsia="仿宋" w:cs="Times New Roman"/>
              <w:color w:val="auto"/>
              <w:sz w:val="44"/>
              <w:szCs w:val="44"/>
              <w:highlight w:val="none"/>
              <w:lang w:val="en-US" w:eastAsia="zh-CN"/>
            </w:rPr>
            <w:t xml:space="preserve">  </w:t>
          </w:r>
          <w:r>
            <w:rPr>
              <w:rFonts w:hint="default" w:ascii="Times New Roman" w:hAnsi="Times New Roman" w:eastAsia="仿宋" w:cs="Times New Roman"/>
              <w:color w:val="auto"/>
              <w:sz w:val="44"/>
              <w:szCs w:val="44"/>
              <w:highlight w:val="none"/>
            </w:rPr>
            <w:t>录</w:t>
          </w:r>
        </w:p>
        <w:p w14:paraId="1737272E">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TOC \o "1-3" \h \u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_Toc26176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 xml:space="preserve">前  </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言</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_Toc26176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1</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2E732BBC">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_Toc23202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第一章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现状与形势</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_Toc23202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2</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1B305B91">
          <w:pPr>
            <w:pStyle w:val="7"/>
            <w:tabs>
              <w:tab w:val="right" w:leader="dot" w:pos="8649"/>
            </w:tabs>
            <w:spacing w:line="360" w:lineRule="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_Toc14952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矿山</w:t>
          </w:r>
          <w:r>
            <w:rPr>
              <w:rFonts w:hint="default" w:ascii="Times New Roman" w:hAnsi="Times New Roman" w:eastAsia="黑体" w:cs="Times New Roman"/>
              <w:color w:val="auto"/>
              <w:spacing w:val="4"/>
              <w:sz w:val="32"/>
              <w:szCs w:val="32"/>
              <w:highlight w:val="none"/>
              <w:lang w:eastAsia="zh-CN"/>
            </w:rPr>
            <w:t>现状</w:t>
          </w:r>
          <w:r>
            <w:rPr>
              <w:rFonts w:hint="default" w:ascii="Times New Roman" w:hAnsi="Times New Roman" w:eastAsia="黑体" w:cs="Times New Roman"/>
              <w:color w:val="auto"/>
              <w:sz w:val="32"/>
              <w:szCs w:val="32"/>
              <w:highlight w:val="none"/>
            </w:rPr>
            <w:tab/>
          </w:r>
          <w:r>
            <w:rPr>
              <w:rFonts w:hint="default" w:ascii="Times New Roman" w:hAnsi="Times New Roman" w:eastAsia="黑体" w:cs="Times New Roman"/>
              <w:color w:val="auto"/>
              <w:sz w:val="32"/>
              <w:szCs w:val="32"/>
              <w:highlight w:val="none"/>
            </w:rPr>
            <w:fldChar w:fldCharType="begin"/>
          </w:r>
          <w:r>
            <w:rPr>
              <w:rFonts w:hint="default" w:ascii="Times New Roman" w:hAnsi="Times New Roman" w:eastAsia="黑体" w:cs="Times New Roman"/>
              <w:color w:val="auto"/>
              <w:sz w:val="32"/>
              <w:szCs w:val="32"/>
              <w:highlight w:val="none"/>
            </w:rPr>
            <w:instrText xml:space="preserve"> PAGEREF _Toc14952 \h </w:instrText>
          </w:r>
          <w:r>
            <w:rPr>
              <w:rFonts w:hint="default" w:ascii="Times New Roman" w:hAnsi="Times New Roman" w:eastAsia="黑体" w:cs="Times New Roman"/>
              <w:color w:val="auto"/>
              <w:sz w:val="32"/>
              <w:szCs w:val="32"/>
              <w:highlight w:val="none"/>
            </w:rPr>
            <w:fldChar w:fldCharType="separate"/>
          </w:r>
          <w:r>
            <w:rPr>
              <w:rFonts w:hint="default" w:ascii="Times New Roman" w:hAnsi="Times New Roman" w:eastAsia="黑体" w:cs="Times New Roman"/>
              <w:color w:val="auto"/>
              <w:sz w:val="32"/>
              <w:szCs w:val="32"/>
              <w:highlight w:val="none"/>
            </w:rPr>
            <w:t>2</w:t>
          </w:r>
          <w:r>
            <w:rPr>
              <w:rFonts w:hint="default" w:ascii="Times New Roman" w:hAnsi="Times New Roman" w:eastAsia="黑体" w:cs="Times New Roman"/>
              <w:color w:val="auto"/>
              <w:sz w:val="32"/>
              <w:szCs w:val="32"/>
              <w:highlight w:val="none"/>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635B03F1">
          <w:pPr>
            <w:pStyle w:val="7"/>
            <w:tabs>
              <w:tab w:val="right" w:leader="dot" w:pos="8649"/>
            </w:tabs>
            <w:spacing w:line="360" w:lineRule="auto"/>
            <w:rPr>
              <w:rFonts w:hint="default" w:ascii="Times New Roman" w:hAnsi="Times New Roman" w:eastAsia="黑体" w:cs="Times New Roman"/>
              <w:color w:val="auto"/>
              <w:sz w:val="32"/>
              <w:szCs w:val="32"/>
              <w:highlight w:val="none"/>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_Toc16578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工作成效</w:t>
          </w:r>
          <w:r>
            <w:rPr>
              <w:rFonts w:hint="default" w:ascii="Times New Roman" w:hAnsi="Times New Roman" w:eastAsia="黑体" w:cs="Times New Roman"/>
              <w:color w:val="auto"/>
              <w:spacing w:val="4"/>
              <w:sz w:val="32"/>
              <w:szCs w:val="32"/>
              <w:highlight w:val="none"/>
              <w:lang w:val="en-US" w:eastAsia="zh-CN"/>
            </w:rPr>
            <w:t>及存在问题</w:t>
          </w:r>
          <w:r>
            <w:rPr>
              <w:rFonts w:hint="default" w:ascii="Times New Roman" w:hAnsi="Times New Roman" w:eastAsia="黑体" w:cs="Times New Roman"/>
              <w:color w:val="auto"/>
              <w:sz w:val="32"/>
              <w:szCs w:val="32"/>
              <w:highlight w:val="none"/>
            </w:rPr>
            <w:tab/>
          </w:r>
          <w:r>
            <w:rPr>
              <w:rFonts w:hint="default" w:ascii="Times New Roman" w:hAnsi="Times New Roman" w:eastAsia="黑体" w:cs="Times New Roman"/>
              <w:color w:val="auto"/>
              <w:sz w:val="32"/>
              <w:szCs w:val="32"/>
              <w:highlight w:val="none"/>
            </w:rPr>
            <w:fldChar w:fldCharType="begin"/>
          </w:r>
          <w:r>
            <w:rPr>
              <w:rFonts w:hint="default" w:ascii="Times New Roman" w:hAnsi="Times New Roman" w:eastAsia="黑体" w:cs="Times New Roman"/>
              <w:color w:val="auto"/>
              <w:sz w:val="32"/>
              <w:szCs w:val="32"/>
              <w:highlight w:val="none"/>
            </w:rPr>
            <w:instrText xml:space="preserve"> PAGEREF _Toc16578 \h </w:instrText>
          </w:r>
          <w:r>
            <w:rPr>
              <w:rFonts w:hint="default" w:ascii="Times New Roman" w:hAnsi="Times New Roman" w:eastAsia="黑体" w:cs="Times New Roman"/>
              <w:color w:val="auto"/>
              <w:sz w:val="32"/>
              <w:szCs w:val="32"/>
              <w:highlight w:val="none"/>
            </w:rPr>
            <w:fldChar w:fldCharType="separate"/>
          </w:r>
          <w:r>
            <w:rPr>
              <w:rFonts w:hint="default" w:ascii="Times New Roman" w:hAnsi="Times New Roman" w:eastAsia="黑体" w:cs="Times New Roman"/>
              <w:color w:val="auto"/>
              <w:sz w:val="32"/>
              <w:szCs w:val="32"/>
              <w:highlight w:val="none"/>
            </w:rPr>
            <w:t>3</w:t>
          </w:r>
          <w:r>
            <w:rPr>
              <w:rFonts w:hint="default" w:ascii="Times New Roman" w:hAnsi="Times New Roman" w:eastAsia="黑体" w:cs="Times New Roman"/>
              <w:color w:val="auto"/>
              <w:sz w:val="32"/>
              <w:szCs w:val="32"/>
              <w:highlight w:val="none"/>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69F61D85">
          <w:pPr>
            <w:pStyle w:val="7"/>
            <w:tabs>
              <w:tab w:val="right" w:leader="dot" w:pos="8649"/>
            </w:tabs>
            <w:spacing w:line="360" w:lineRule="auto"/>
            <w:rPr>
              <w:rFonts w:hint="default" w:ascii="Times New Roman" w:hAnsi="Times New Roman" w:eastAsia="宋体" w:cs="Times New Roman"/>
              <w:color w:val="auto"/>
              <w:sz w:val="32"/>
              <w:szCs w:val="32"/>
              <w:highlight w:val="none"/>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_Toc26468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color w:val="auto"/>
              <w:spacing w:val="4"/>
              <w:sz w:val="32"/>
              <w:szCs w:val="32"/>
              <w:highlight w:val="none"/>
            </w:rPr>
            <w:t>第</w:t>
          </w:r>
          <w:r>
            <w:rPr>
              <w:rFonts w:hint="default" w:ascii="Times New Roman" w:hAnsi="Times New Roman" w:eastAsia="黑体" w:cs="Times New Roman"/>
              <w:color w:val="auto"/>
              <w:spacing w:val="4"/>
              <w:sz w:val="32"/>
              <w:szCs w:val="32"/>
              <w:highlight w:val="none"/>
              <w:lang w:val="en-US" w:eastAsia="zh-CN"/>
            </w:rPr>
            <w:t>三</w:t>
          </w:r>
          <w:r>
            <w:rPr>
              <w:rFonts w:hint="default" w:ascii="Times New Roman" w:hAnsi="Times New Roman" w:eastAsia="黑体" w:cs="Times New Roman"/>
              <w:color w:val="auto"/>
              <w:spacing w:val="4"/>
              <w:sz w:val="32"/>
              <w:szCs w:val="32"/>
              <w:highlight w:val="none"/>
            </w:rPr>
            <w:t>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面临形势</w:t>
          </w:r>
          <w:r>
            <w:rPr>
              <w:rFonts w:hint="default" w:ascii="Times New Roman" w:hAnsi="Times New Roman" w:eastAsia="黑体" w:cs="Times New Roman"/>
              <w:color w:val="auto"/>
              <w:sz w:val="32"/>
              <w:szCs w:val="32"/>
              <w:highlight w:val="none"/>
            </w:rPr>
            <w:tab/>
          </w:r>
          <w:r>
            <w:rPr>
              <w:rFonts w:hint="default" w:ascii="Times New Roman" w:hAnsi="Times New Roman" w:eastAsia="黑体" w:cs="Times New Roman"/>
              <w:color w:val="auto"/>
              <w:sz w:val="32"/>
              <w:szCs w:val="32"/>
              <w:highlight w:val="none"/>
            </w:rPr>
            <w:fldChar w:fldCharType="begin"/>
          </w:r>
          <w:r>
            <w:rPr>
              <w:rFonts w:hint="default" w:ascii="Times New Roman" w:hAnsi="Times New Roman" w:eastAsia="黑体" w:cs="Times New Roman"/>
              <w:color w:val="auto"/>
              <w:sz w:val="32"/>
              <w:szCs w:val="32"/>
              <w:highlight w:val="none"/>
            </w:rPr>
            <w:instrText xml:space="preserve"> PAGEREF _Toc26468 \h </w:instrText>
          </w:r>
          <w:r>
            <w:rPr>
              <w:rFonts w:hint="default" w:ascii="Times New Roman" w:hAnsi="Times New Roman" w:eastAsia="黑体" w:cs="Times New Roman"/>
              <w:color w:val="auto"/>
              <w:sz w:val="32"/>
              <w:szCs w:val="32"/>
              <w:highlight w:val="none"/>
            </w:rPr>
            <w:fldChar w:fldCharType="separate"/>
          </w:r>
          <w:r>
            <w:rPr>
              <w:rFonts w:hint="default" w:ascii="Times New Roman" w:hAnsi="Times New Roman" w:eastAsia="黑体" w:cs="Times New Roman"/>
              <w:color w:val="auto"/>
              <w:sz w:val="32"/>
              <w:szCs w:val="32"/>
              <w:highlight w:val="none"/>
            </w:rPr>
            <w:t>4</w:t>
          </w:r>
          <w:r>
            <w:rPr>
              <w:rFonts w:hint="default" w:ascii="Times New Roman" w:hAnsi="Times New Roman" w:eastAsia="黑体" w:cs="Times New Roman"/>
              <w:color w:val="auto"/>
              <w:sz w:val="32"/>
              <w:szCs w:val="32"/>
              <w:highlight w:val="none"/>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28DB9C7C">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_Toc1632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第二章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总体要求</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_Toc1632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6</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1CDC349F">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_Toc28915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第一节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指导思想</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_Toc28915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271AEB9B">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_Toc6671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第二节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基本原则</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_Toc6671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02290792">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_Toc26094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第三节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规划目标</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_Toc26094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8</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3B218ADF">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_Toc26540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第三章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构建非煤矿山综合治理格局</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_Toc26540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9</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0DFEC9CC">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_Toc16787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zh-CN" w:bidi="ar-SA"/>
            </w:rPr>
            <w:t>第一节  总体格局</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_Toc16787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9</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5619403">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_Toc10472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zh-CN" w:bidi="ar-SA"/>
            </w:rPr>
            <w:t>第二节  治理分区</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_Toc10472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10</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4A06D37">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_Toc7289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第四章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加强矿山</w:t>
          </w:r>
          <w:r>
            <w:rPr>
              <w:rFonts w:hint="default" w:ascii="Times New Roman" w:hAnsi="Times New Roman" w:eastAsia="方正小标宋_GBK" w:cs="Times New Roman"/>
              <w:bCs w:val="0"/>
              <w:color w:val="auto"/>
              <w:spacing w:val="5"/>
              <w:sz w:val="32"/>
              <w:szCs w:val="32"/>
              <w:highlight w:val="none"/>
              <w:lang w:val="en-US" w:eastAsia="zh-CN"/>
            </w:rPr>
            <w:t>地质</w:t>
          </w:r>
          <w:r>
            <w:rPr>
              <w:rFonts w:hint="default" w:ascii="Times New Roman" w:hAnsi="Times New Roman" w:eastAsia="方正小标宋_GBK" w:cs="Times New Roman"/>
              <w:bCs w:val="0"/>
              <w:color w:val="auto"/>
              <w:spacing w:val="5"/>
              <w:sz w:val="32"/>
              <w:szCs w:val="32"/>
              <w:highlight w:val="none"/>
            </w:rPr>
            <w:t>环境修复与保护</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_Toc7289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12</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6A1714DA">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_Toc27397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第一节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深入推进历史遗留矿山修复</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_Toc27397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12</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03405F24">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_Toc20953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第二节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着力加强</w:t>
          </w:r>
          <w:r>
            <w:rPr>
              <w:rFonts w:hint="default" w:ascii="Times New Roman" w:hAnsi="Times New Roman" w:eastAsia="黑体" w:cs="Times New Roman"/>
              <w:snapToGrid w:val="0"/>
              <w:color w:val="auto"/>
              <w:spacing w:val="5"/>
              <w:kern w:val="0"/>
              <w:sz w:val="32"/>
              <w:szCs w:val="32"/>
              <w:highlight w:val="none"/>
              <w:lang w:val="en-US" w:eastAsia="zh-CN" w:bidi="ar-SA"/>
            </w:rPr>
            <w:t>持证非煤</w:t>
          </w:r>
          <w:r>
            <w:rPr>
              <w:rFonts w:hint="default" w:ascii="Times New Roman" w:hAnsi="Times New Roman" w:eastAsia="黑体" w:cs="Times New Roman"/>
              <w:snapToGrid w:val="0"/>
              <w:color w:val="auto"/>
              <w:spacing w:val="5"/>
              <w:kern w:val="0"/>
              <w:sz w:val="32"/>
              <w:szCs w:val="32"/>
              <w:highlight w:val="none"/>
              <w:lang w:val="en-US" w:eastAsia="en-US" w:bidi="ar-SA"/>
            </w:rPr>
            <w:t>矿山环境保护</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_Toc20953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13</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4C21DFD">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_Toc31593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zh-CN" w:bidi="ar-SA"/>
            </w:rPr>
            <w:t>第三节 扎实推进关闭矿山修复治理</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_Toc31593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15</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5847807F">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_Toc9283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w:t>
          </w:r>
          <w:r>
            <w:rPr>
              <w:rFonts w:hint="default" w:ascii="Times New Roman" w:hAnsi="Times New Roman" w:eastAsia="黑体" w:cs="Times New Roman"/>
              <w:snapToGrid w:val="0"/>
              <w:color w:val="auto"/>
              <w:spacing w:val="5"/>
              <w:kern w:val="0"/>
              <w:sz w:val="32"/>
              <w:szCs w:val="32"/>
              <w:highlight w:val="none"/>
              <w:lang w:val="en-US" w:eastAsia="zh-CN" w:bidi="ar-SA"/>
            </w:rPr>
            <w:t>四</w:t>
          </w:r>
          <w:r>
            <w:rPr>
              <w:rFonts w:hint="default" w:ascii="Times New Roman" w:hAnsi="Times New Roman" w:eastAsia="黑体" w:cs="Times New Roman"/>
              <w:snapToGrid w:val="0"/>
              <w:color w:val="auto"/>
              <w:spacing w:val="5"/>
              <w:kern w:val="0"/>
              <w:sz w:val="32"/>
              <w:szCs w:val="32"/>
              <w:highlight w:val="none"/>
              <w:lang w:val="en-US" w:eastAsia="en-US" w:bidi="ar-SA"/>
            </w:rPr>
            <w:t>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研究推广适用矿山治理模式</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_Toc9283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6E17BCCA">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_Toc14851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第五章</w:t>
          </w:r>
          <w:r>
            <w:rPr>
              <w:rFonts w:hint="default" w:ascii="Times New Roman" w:hAnsi="Times New Roman" w:eastAsia="方正小标宋_GBK" w:cs="Times New Roman"/>
              <w:bCs w:val="0"/>
              <w:color w:val="auto"/>
              <w:spacing w:val="5"/>
              <w:sz w:val="32"/>
              <w:szCs w:val="32"/>
              <w:highlight w:val="none"/>
              <w:lang w:val="en-US" w:eastAsia="zh-CN"/>
            </w:rPr>
            <w:t xml:space="preserve">  提升</w:t>
          </w:r>
          <w:r>
            <w:rPr>
              <w:rFonts w:hint="default" w:ascii="Times New Roman" w:hAnsi="Times New Roman" w:eastAsia="方正小标宋_GBK" w:cs="Times New Roman"/>
              <w:bCs w:val="0"/>
              <w:color w:val="auto"/>
              <w:spacing w:val="5"/>
              <w:sz w:val="32"/>
              <w:szCs w:val="32"/>
              <w:highlight w:val="none"/>
            </w:rPr>
            <w:t>非煤矿山开发</w:t>
          </w:r>
          <w:r>
            <w:rPr>
              <w:rFonts w:hint="default" w:ascii="Times New Roman" w:hAnsi="Times New Roman" w:eastAsia="方正小标宋_GBK" w:cs="Times New Roman"/>
              <w:bCs w:val="0"/>
              <w:color w:val="auto"/>
              <w:spacing w:val="5"/>
              <w:sz w:val="32"/>
              <w:szCs w:val="32"/>
              <w:highlight w:val="none"/>
              <w:lang w:val="en-US" w:eastAsia="zh-CN"/>
            </w:rPr>
            <w:t>质量和水平</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_Toc14851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17</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60FA2228">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_Toc1290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第一节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优化开发布局结构</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_Toc1290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17</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05F575C6">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sectPr>
              <w:footerReference r:id="rId7" w:type="default"/>
              <w:pgSz w:w="11906" w:h="16839"/>
              <w:pgMar w:top="1431" w:right="1472" w:bottom="1553" w:left="1785" w:header="0" w:footer="1303" w:gutter="0"/>
              <w:pgNumType w:fmt="decimal"/>
              <w:cols w:space="720" w:num="1"/>
            </w:sectPr>
          </w:pPr>
        </w:p>
        <w:p w14:paraId="0270D8DF">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_Toc1936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第二节  </w:t>
          </w:r>
          <w:r>
            <w:rPr>
              <w:rFonts w:hint="default" w:ascii="Times New Roman" w:hAnsi="Times New Roman" w:eastAsia="黑体" w:cs="Times New Roman"/>
              <w:snapToGrid w:val="0"/>
              <w:color w:val="auto"/>
              <w:spacing w:val="5"/>
              <w:kern w:val="0"/>
              <w:sz w:val="32"/>
              <w:szCs w:val="32"/>
              <w:highlight w:val="none"/>
              <w:lang w:val="en-US" w:eastAsia="en-US" w:bidi="ar-SA"/>
            </w:rPr>
            <w:t>提</w:t>
          </w:r>
          <w:r>
            <w:rPr>
              <w:rFonts w:hint="default" w:ascii="Times New Roman" w:hAnsi="Times New Roman" w:eastAsia="黑体" w:cs="Times New Roman"/>
              <w:snapToGrid w:val="0"/>
              <w:color w:val="auto"/>
              <w:spacing w:val="5"/>
              <w:kern w:val="0"/>
              <w:sz w:val="32"/>
              <w:szCs w:val="32"/>
              <w:highlight w:val="none"/>
              <w:lang w:val="en-US" w:eastAsia="zh-CN" w:bidi="ar-SA"/>
            </w:rPr>
            <w:t>高</w:t>
          </w:r>
          <w:r>
            <w:rPr>
              <w:rFonts w:hint="default" w:ascii="Times New Roman" w:hAnsi="Times New Roman" w:eastAsia="黑体" w:cs="Times New Roman"/>
              <w:snapToGrid w:val="0"/>
              <w:color w:val="auto"/>
              <w:spacing w:val="5"/>
              <w:kern w:val="0"/>
              <w:sz w:val="32"/>
              <w:szCs w:val="32"/>
              <w:highlight w:val="none"/>
              <w:lang w:val="en-US" w:eastAsia="en-US" w:bidi="ar-SA"/>
            </w:rPr>
            <w:t>资源利用效率</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_Toc1936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17</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40BD9090">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_Toc31710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第三节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提</w:t>
          </w:r>
          <w:r>
            <w:rPr>
              <w:rFonts w:hint="default" w:ascii="Times New Roman" w:hAnsi="Times New Roman" w:eastAsia="黑体" w:cs="Times New Roman"/>
              <w:snapToGrid w:val="0"/>
              <w:color w:val="auto"/>
              <w:spacing w:val="5"/>
              <w:kern w:val="0"/>
              <w:sz w:val="32"/>
              <w:szCs w:val="32"/>
              <w:highlight w:val="none"/>
              <w:lang w:val="en-US" w:eastAsia="zh-CN" w:bidi="ar-SA"/>
            </w:rPr>
            <w:t>升本质安全</w:t>
          </w:r>
          <w:r>
            <w:rPr>
              <w:rFonts w:hint="default" w:ascii="Times New Roman" w:hAnsi="Times New Roman" w:eastAsia="黑体" w:cs="Times New Roman"/>
              <w:snapToGrid w:val="0"/>
              <w:color w:val="auto"/>
              <w:spacing w:val="5"/>
              <w:kern w:val="0"/>
              <w:sz w:val="32"/>
              <w:szCs w:val="32"/>
              <w:highlight w:val="none"/>
              <w:lang w:val="en-US" w:eastAsia="en-US" w:bidi="ar-SA"/>
            </w:rPr>
            <w:t>水平</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_Toc31710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18</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BFB490F">
          <w:pPr>
            <w:pStyle w:val="7"/>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_Toc30526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第四节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推进矿山绿色</w:t>
          </w:r>
          <w:r>
            <w:rPr>
              <w:rFonts w:hint="default" w:ascii="Times New Roman" w:hAnsi="Times New Roman" w:eastAsia="黑体" w:cs="Times New Roman"/>
              <w:snapToGrid w:val="0"/>
              <w:color w:val="auto"/>
              <w:spacing w:val="5"/>
              <w:kern w:val="0"/>
              <w:sz w:val="32"/>
              <w:szCs w:val="32"/>
              <w:highlight w:val="none"/>
              <w:lang w:val="en-US" w:eastAsia="zh-CN" w:bidi="ar-SA"/>
            </w:rPr>
            <w:t>建设</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_Toc30526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19</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4A34907">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_Toc22644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第六章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推进非煤矿山治理能力建设</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_Toc22644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21</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6DEC5A33">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_Toc26180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第一节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加强</w:t>
          </w:r>
          <w:r>
            <w:rPr>
              <w:rFonts w:hint="default" w:ascii="Times New Roman" w:hAnsi="Times New Roman" w:eastAsia="黑体" w:cs="Times New Roman"/>
              <w:snapToGrid w:val="0"/>
              <w:color w:val="auto"/>
              <w:spacing w:val="5"/>
              <w:kern w:val="0"/>
              <w:sz w:val="32"/>
              <w:szCs w:val="32"/>
              <w:highlight w:val="none"/>
              <w:lang w:val="en-US" w:eastAsia="en-US" w:bidi="ar-SA"/>
            </w:rPr>
            <w:t>管理制度</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_Toc26180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21</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6744D55F">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_Toc26153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第二节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强化监督</w:t>
          </w:r>
          <w:r>
            <w:rPr>
              <w:rFonts w:hint="default" w:ascii="Times New Roman" w:hAnsi="Times New Roman" w:eastAsia="黑体" w:cs="Times New Roman"/>
              <w:snapToGrid w:val="0"/>
              <w:color w:val="auto"/>
              <w:spacing w:val="5"/>
              <w:kern w:val="0"/>
              <w:sz w:val="32"/>
              <w:szCs w:val="32"/>
              <w:highlight w:val="none"/>
              <w:lang w:val="en-US" w:eastAsia="en-US" w:bidi="ar-SA"/>
            </w:rPr>
            <w:t>管理效能</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_Toc26153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22</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7AD6F75">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_Toc29035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第三节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提升</w:t>
          </w:r>
          <w:r>
            <w:rPr>
              <w:rFonts w:hint="default" w:ascii="Times New Roman" w:hAnsi="Times New Roman" w:eastAsia="黑体" w:cs="Times New Roman"/>
              <w:snapToGrid w:val="0"/>
              <w:color w:val="auto"/>
              <w:spacing w:val="5"/>
              <w:kern w:val="0"/>
              <w:sz w:val="32"/>
              <w:szCs w:val="32"/>
              <w:highlight w:val="none"/>
              <w:lang w:val="en-US" w:eastAsia="en-US" w:bidi="ar-SA"/>
            </w:rPr>
            <w:t>科技</w:t>
          </w:r>
          <w:r>
            <w:rPr>
              <w:rFonts w:hint="default" w:ascii="Times New Roman" w:hAnsi="Times New Roman" w:eastAsia="黑体" w:cs="Times New Roman"/>
              <w:snapToGrid w:val="0"/>
              <w:color w:val="auto"/>
              <w:spacing w:val="5"/>
              <w:kern w:val="0"/>
              <w:sz w:val="32"/>
              <w:szCs w:val="32"/>
              <w:highlight w:val="none"/>
              <w:lang w:val="en-US" w:eastAsia="zh-CN" w:bidi="ar-SA"/>
            </w:rPr>
            <w:t>创新</w:t>
          </w:r>
          <w:r>
            <w:rPr>
              <w:rFonts w:hint="default" w:ascii="Times New Roman" w:hAnsi="Times New Roman" w:eastAsia="黑体" w:cs="Times New Roman"/>
              <w:snapToGrid w:val="0"/>
              <w:color w:val="auto"/>
              <w:spacing w:val="5"/>
              <w:kern w:val="0"/>
              <w:sz w:val="32"/>
              <w:szCs w:val="32"/>
              <w:highlight w:val="none"/>
              <w:lang w:val="en-US" w:eastAsia="en-US" w:bidi="ar-SA"/>
            </w:rPr>
            <w:t>力度</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_Toc29035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24</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25738C35">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_Toc23042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第七章</w:t>
          </w:r>
          <w:r>
            <w:rPr>
              <w:rFonts w:hint="default" w:ascii="Times New Roman" w:hAnsi="Times New Roman" w:eastAsia="方正小标宋_GBK" w:cs="Times New Roman"/>
              <w:bCs w:val="0"/>
              <w:color w:val="auto"/>
              <w:spacing w:val="5"/>
              <w:sz w:val="32"/>
              <w:szCs w:val="32"/>
              <w:highlight w:val="none"/>
              <w:lang w:val="en-US" w:eastAsia="zh-CN"/>
            </w:rPr>
            <w:t xml:space="preserve">  </w:t>
          </w:r>
          <w:r>
            <w:rPr>
              <w:rFonts w:hint="default" w:ascii="Times New Roman" w:hAnsi="Times New Roman" w:eastAsia="方正小标宋_GBK" w:cs="Times New Roman"/>
              <w:bCs w:val="0"/>
              <w:color w:val="auto"/>
              <w:spacing w:val="5"/>
              <w:sz w:val="32"/>
              <w:szCs w:val="32"/>
              <w:highlight w:val="none"/>
            </w:rPr>
            <w:t>强化规划实施保障</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_Toc23042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26</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1D4DC924">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_Toc16278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第一节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加强组织领导</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_Toc16278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55D54F13">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_Toc13695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第二节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强化监督评估</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_Toc13695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0DEBF4C4">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_Toc4552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第三节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加大</w:t>
          </w:r>
          <w:r>
            <w:rPr>
              <w:rFonts w:hint="default" w:ascii="Times New Roman" w:hAnsi="Times New Roman" w:eastAsia="黑体" w:cs="Times New Roman"/>
              <w:snapToGrid w:val="0"/>
              <w:color w:val="auto"/>
              <w:spacing w:val="5"/>
              <w:kern w:val="0"/>
              <w:sz w:val="32"/>
              <w:szCs w:val="32"/>
              <w:highlight w:val="none"/>
              <w:lang w:val="en-US" w:eastAsia="zh-CN" w:bidi="ar-SA"/>
            </w:rPr>
            <w:t>资金</w:t>
          </w:r>
          <w:r>
            <w:rPr>
              <w:rFonts w:hint="default" w:ascii="Times New Roman" w:hAnsi="Times New Roman" w:eastAsia="黑体" w:cs="Times New Roman"/>
              <w:snapToGrid w:val="0"/>
              <w:color w:val="auto"/>
              <w:spacing w:val="5"/>
              <w:kern w:val="0"/>
              <w:sz w:val="32"/>
              <w:szCs w:val="32"/>
              <w:highlight w:val="none"/>
              <w:lang w:val="en-US" w:eastAsia="en-US" w:bidi="ar-SA"/>
            </w:rPr>
            <w:t>保障</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_Toc4552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26</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139C63CE">
          <w:pPr>
            <w:pStyle w:val="7"/>
            <w:tabs>
              <w:tab w:val="right" w:leader="dot" w:pos="8649"/>
            </w:tabs>
            <w:spacing w:line="360" w:lineRule="auto"/>
            <w:rPr>
              <w:rFonts w:hint="default" w:ascii="Times New Roman" w:hAnsi="Times New Roman" w:eastAsia="黑体" w:cs="Times New Roman"/>
              <w:snapToGrid w:val="0"/>
              <w:color w:val="auto"/>
              <w:spacing w:val="5"/>
              <w:kern w:val="0"/>
              <w:sz w:val="32"/>
              <w:szCs w:val="32"/>
              <w:highlight w:val="none"/>
              <w:lang w:val="en-US" w:eastAsia="en-US" w:bidi="ar-SA"/>
            </w:rPr>
          </w:pP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HYPERLINK \l _Toc27919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第四节</w:t>
          </w:r>
          <w:r>
            <w:rPr>
              <w:rFonts w:hint="default" w:ascii="Times New Roman" w:hAnsi="Times New Roman" w:eastAsia="黑体" w:cs="Times New Roman"/>
              <w:snapToGrid w:val="0"/>
              <w:color w:val="auto"/>
              <w:spacing w:val="5"/>
              <w:kern w:val="0"/>
              <w:sz w:val="32"/>
              <w:szCs w:val="32"/>
              <w:highlight w:val="none"/>
              <w:lang w:val="en-US" w:eastAsia="zh-CN" w:bidi="ar-SA"/>
            </w:rPr>
            <w:t xml:space="preserve">  </w:t>
          </w:r>
          <w:r>
            <w:rPr>
              <w:rFonts w:hint="default" w:ascii="Times New Roman" w:hAnsi="Times New Roman" w:eastAsia="黑体" w:cs="Times New Roman"/>
              <w:snapToGrid w:val="0"/>
              <w:color w:val="auto"/>
              <w:spacing w:val="5"/>
              <w:kern w:val="0"/>
              <w:sz w:val="32"/>
              <w:szCs w:val="32"/>
              <w:highlight w:val="none"/>
              <w:lang w:val="en-US" w:eastAsia="en-US" w:bidi="ar-SA"/>
            </w:rPr>
            <w:t>注重宣传引导</w:t>
          </w:r>
          <w:r>
            <w:rPr>
              <w:rFonts w:hint="default" w:ascii="Times New Roman" w:hAnsi="Times New Roman" w:eastAsia="黑体" w:cs="Times New Roman"/>
              <w:snapToGrid w:val="0"/>
              <w:color w:val="auto"/>
              <w:spacing w:val="5"/>
              <w:kern w:val="0"/>
              <w:sz w:val="32"/>
              <w:szCs w:val="32"/>
              <w:highlight w:val="none"/>
              <w:lang w:val="en-US" w:eastAsia="en-US" w:bidi="ar-SA"/>
            </w:rPr>
            <w:tab/>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黑体" w:cs="Times New Roman"/>
              <w:snapToGrid w:val="0"/>
              <w:color w:val="auto"/>
              <w:spacing w:val="5"/>
              <w:kern w:val="0"/>
              <w:sz w:val="32"/>
              <w:szCs w:val="32"/>
              <w:highlight w:val="none"/>
              <w:lang w:val="en-US" w:eastAsia="en-US" w:bidi="ar-SA"/>
            </w:rPr>
            <w:instrText xml:space="preserve"> PAGEREF _Toc27919 \h </w:instrTex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黑体" w:cs="Times New Roman"/>
              <w:snapToGrid w:val="0"/>
              <w:color w:val="auto"/>
              <w:spacing w:val="5"/>
              <w:kern w:val="0"/>
              <w:sz w:val="32"/>
              <w:szCs w:val="32"/>
              <w:highlight w:val="none"/>
              <w:lang w:val="en-US" w:eastAsia="en-US" w:bidi="ar-SA"/>
            </w:rPr>
            <w:t>27</w:t>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r>
            <w:rPr>
              <w:rFonts w:hint="default" w:ascii="Times New Roman" w:hAnsi="Times New Roman" w:eastAsia="黑体" w:cs="Times New Roman"/>
              <w:snapToGrid w:val="0"/>
              <w:color w:val="auto"/>
              <w:spacing w:val="5"/>
              <w:kern w:val="0"/>
              <w:sz w:val="32"/>
              <w:szCs w:val="32"/>
              <w:highlight w:val="none"/>
              <w:lang w:val="en-US" w:eastAsia="en-US" w:bidi="ar-SA"/>
            </w:rPr>
            <w:fldChar w:fldCharType="end"/>
          </w:r>
        </w:p>
        <w:p w14:paraId="27ABFAE2">
          <w:pPr>
            <w:pStyle w:val="6"/>
            <w:tabs>
              <w:tab w:val="right" w:leader="dot" w:pos="8649"/>
            </w:tabs>
            <w:spacing w:line="360" w:lineRule="auto"/>
            <w:rPr>
              <w:rFonts w:hint="default" w:ascii="Times New Roman" w:hAnsi="Times New Roman" w:eastAsia="方正小标宋_GBK" w:cs="Times New Roman"/>
              <w:color w:val="auto"/>
              <w:sz w:val="32"/>
              <w:szCs w:val="32"/>
              <w:highlight w:val="none"/>
            </w:r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begin"/>
          </w:r>
          <w:r>
            <w:rPr>
              <w:rFonts w:hint="default" w:ascii="Times New Roman" w:hAnsi="Times New Roman" w:eastAsia="方正小标宋_GBK" w:cs="Times New Roman"/>
              <w:snapToGrid w:val="0"/>
              <w:color w:val="auto"/>
              <w:spacing w:val="5"/>
              <w:kern w:val="0"/>
              <w:sz w:val="32"/>
              <w:szCs w:val="32"/>
              <w:highlight w:val="none"/>
              <w:lang w:val="en-US" w:eastAsia="en-US" w:bidi="ar-SA"/>
            </w:rPr>
            <w:instrText xml:space="preserve"> HYPERLINK \l _Toc19526 </w:instrText>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separate"/>
          </w:r>
          <w:r>
            <w:rPr>
              <w:rFonts w:hint="default" w:ascii="Times New Roman" w:hAnsi="Times New Roman" w:eastAsia="方正小标宋_GBK" w:cs="Times New Roman"/>
              <w:bCs w:val="0"/>
              <w:color w:val="auto"/>
              <w:spacing w:val="5"/>
              <w:sz w:val="32"/>
              <w:szCs w:val="32"/>
              <w:highlight w:val="none"/>
            </w:rPr>
            <w:t>附    则</w:t>
          </w:r>
          <w:r>
            <w:rPr>
              <w:rFonts w:hint="default" w:ascii="Times New Roman" w:hAnsi="Times New Roman" w:eastAsia="方正小标宋_GBK" w:cs="Times New Roman"/>
              <w:color w:val="auto"/>
              <w:sz w:val="32"/>
              <w:szCs w:val="32"/>
              <w:highlight w:val="none"/>
            </w:rPr>
            <w:tab/>
          </w:r>
          <w:r>
            <w:rPr>
              <w:rFonts w:hint="default" w:ascii="Times New Roman" w:hAnsi="Times New Roman" w:eastAsia="方正小标宋_GBK" w:cs="Times New Roman"/>
              <w:color w:val="auto"/>
              <w:sz w:val="32"/>
              <w:szCs w:val="32"/>
              <w:highlight w:val="none"/>
            </w:rPr>
            <w:fldChar w:fldCharType="begin"/>
          </w:r>
          <w:r>
            <w:rPr>
              <w:rFonts w:hint="default" w:ascii="Times New Roman" w:hAnsi="Times New Roman" w:eastAsia="方正小标宋_GBK" w:cs="Times New Roman"/>
              <w:color w:val="auto"/>
              <w:sz w:val="32"/>
              <w:szCs w:val="32"/>
              <w:highlight w:val="none"/>
            </w:rPr>
            <w:instrText xml:space="preserve"> PAGEREF _Toc19526 \h </w:instrText>
          </w:r>
          <w:r>
            <w:rPr>
              <w:rFonts w:hint="default" w:ascii="Times New Roman" w:hAnsi="Times New Roman" w:eastAsia="方正小标宋_GBK" w:cs="Times New Roman"/>
              <w:color w:val="auto"/>
              <w:sz w:val="32"/>
              <w:szCs w:val="32"/>
              <w:highlight w:val="none"/>
            </w:rPr>
            <w:fldChar w:fldCharType="separate"/>
          </w:r>
          <w:r>
            <w:rPr>
              <w:rFonts w:hint="default" w:ascii="Times New Roman" w:hAnsi="Times New Roman" w:eastAsia="方正小标宋_GBK" w:cs="Times New Roman"/>
              <w:color w:val="auto"/>
              <w:sz w:val="32"/>
              <w:szCs w:val="32"/>
              <w:highlight w:val="none"/>
            </w:rPr>
            <w:t>28</w:t>
          </w:r>
          <w:r>
            <w:rPr>
              <w:rFonts w:hint="default" w:ascii="Times New Roman" w:hAnsi="Times New Roman" w:eastAsia="方正小标宋_GBK" w:cs="Times New Roman"/>
              <w:color w:val="auto"/>
              <w:sz w:val="32"/>
              <w:szCs w:val="32"/>
              <w:highlight w:val="none"/>
            </w:rPr>
            <w:fldChar w:fldCharType="end"/>
          </w: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p w14:paraId="5EDC7088">
          <w:pPr>
            <w:keepNext w:val="0"/>
            <w:keepLines w:val="0"/>
            <w:pageBreakBefore w:val="0"/>
            <w:widowControl/>
            <w:tabs>
              <w:tab w:val="right" w:leader="dot" w:pos="8400"/>
              <w:tab w:val="right" w:leader="dot" w:pos="8610"/>
              <w:tab w:val="right" w:leader="dot" w:pos="8649"/>
            </w:tabs>
            <w:kinsoku/>
            <w:wordWrap/>
            <w:overflowPunct/>
            <w:topLinePunct w:val="0"/>
            <w:autoSpaceDE w:val="0"/>
            <w:autoSpaceDN w:val="0"/>
            <w:bidi w:val="0"/>
            <w:adjustRightInd w:val="0"/>
            <w:snapToGrid w:val="0"/>
            <w:spacing w:line="480" w:lineRule="auto"/>
            <w:textAlignment w:val="baseline"/>
            <w:rPr>
              <w:rFonts w:hint="default" w:ascii="Times New Roman" w:hAnsi="Times New Roman" w:eastAsia="仿宋" w:cs="Times New Roman"/>
              <w:snapToGrid w:val="0"/>
              <w:color w:val="auto"/>
              <w:kern w:val="0"/>
              <w:sz w:val="32"/>
              <w:szCs w:val="32"/>
              <w:highlight w:val="none"/>
              <w:lang w:val="en-US" w:eastAsia="en-US" w:bidi="ar-SA"/>
            </w:rPr>
            <w:sectPr>
              <w:footerReference r:id="rId8" w:type="default"/>
              <w:pgSz w:w="11906" w:h="16839"/>
              <w:pgMar w:top="1431" w:right="1472" w:bottom="1553" w:left="1785" w:header="0" w:footer="1303" w:gutter="0"/>
              <w:pgNumType w:fmt="decimal" w:start="1"/>
              <w:cols w:space="720" w:num="1"/>
            </w:sectPr>
          </w:pPr>
          <w:r>
            <w:rPr>
              <w:rFonts w:hint="default" w:ascii="Times New Roman" w:hAnsi="Times New Roman" w:eastAsia="方正小标宋_GBK" w:cs="Times New Roman"/>
              <w:snapToGrid w:val="0"/>
              <w:color w:val="auto"/>
              <w:spacing w:val="5"/>
              <w:kern w:val="0"/>
              <w:sz w:val="32"/>
              <w:szCs w:val="32"/>
              <w:highlight w:val="none"/>
              <w:lang w:val="en-US" w:eastAsia="en-US" w:bidi="ar-SA"/>
            </w:rPr>
            <w:fldChar w:fldCharType="end"/>
          </w:r>
        </w:p>
      </w:sdtContent>
    </w:sdt>
    <w:p w14:paraId="78D3FFE2">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2" w:name="_Toc21462"/>
      <w:bookmarkStart w:id="3" w:name="_Toc26176"/>
      <w:r>
        <w:rPr>
          <w:rFonts w:hint="default" w:ascii="Times New Roman" w:hAnsi="Times New Roman" w:eastAsia="方正小标宋_GBK" w:cs="Times New Roman"/>
          <w:b w:val="0"/>
          <w:bCs w:val="0"/>
          <w:color w:val="auto"/>
          <w:spacing w:val="5"/>
          <w:sz w:val="43"/>
          <w:szCs w:val="43"/>
          <w:highlight w:val="none"/>
        </w:rPr>
        <w:t xml:space="preserve">前  </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言</w:t>
      </w:r>
      <w:bookmarkEnd w:id="2"/>
      <w:bookmarkEnd w:id="3"/>
    </w:p>
    <w:p w14:paraId="06DD7B66">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z w:val="32"/>
          <w:szCs w:val="32"/>
          <w:highlight w:val="none"/>
        </w:rPr>
      </w:pPr>
      <w:r>
        <w:rPr>
          <w:rFonts w:hint="default" w:ascii="Times New Roman" w:hAnsi="Times New Roman" w:eastAsia="仿宋_GB2312" w:cs="Times New Roman"/>
          <w:color w:val="auto"/>
          <w:spacing w:val="5"/>
          <w:sz w:val="32"/>
          <w:szCs w:val="32"/>
          <w:highlight w:val="none"/>
        </w:rPr>
        <w:t>为深入贯彻落实习近平生态文明思想，践行绿水青山就是金山银山理念，统筹部署非煤矿产资源开发与保护工作，加强非煤矿山生态环境及开发秩序治理，依据《中华人民共和国矿产资源法》《中华人民共和国环境保护法》《河北省非煤矿山综合治理条例》等法律法规和《</w:t>
      </w:r>
      <w:r>
        <w:rPr>
          <w:rFonts w:hint="default" w:ascii="Times New Roman" w:hAnsi="Times New Roman" w:eastAsia="仿宋_GB2312" w:cs="Times New Roman"/>
          <w:color w:val="auto"/>
          <w:spacing w:val="5"/>
          <w:sz w:val="32"/>
          <w:szCs w:val="32"/>
          <w:highlight w:val="none"/>
          <w:lang w:eastAsia="zh-CN"/>
        </w:rPr>
        <w:t>石家庄市</w:t>
      </w:r>
      <w:r>
        <w:rPr>
          <w:rFonts w:hint="default" w:ascii="Times New Roman" w:hAnsi="Times New Roman" w:eastAsia="仿宋_GB2312" w:cs="Times New Roman"/>
          <w:color w:val="auto"/>
          <w:spacing w:val="5"/>
          <w:sz w:val="32"/>
          <w:szCs w:val="32"/>
          <w:highlight w:val="none"/>
        </w:rPr>
        <w:t>非煤矿山综合治理规划（2023—2030年）》</w:t>
      </w:r>
      <w:r>
        <w:rPr>
          <w:rFonts w:hint="default" w:ascii="Times New Roman" w:hAnsi="Times New Roman" w:eastAsia="仿宋_GB2312" w:cs="Times New Roman"/>
          <w:color w:val="auto"/>
          <w:spacing w:val="5"/>
          <w:sz w:val="32"/>
          <w:szCs w:val="32"/>
          <w:highlight w:val="none"/>
          <w:lang w:eastAsia="zh-CN"/>
        </w:rPr>
        <w:t>（报批稿）</w:t>
      </w:r>
      <w:r>
        <w:rPr>
          <w:rFonts w:hint="default" w:ascii="Times New Roman" w:hAnsi="Times New Roman" w:eastAsia="仿宋_GB2312" w:cs="Times New Roman"/>
          <w:color w:val="auto"/>
          <w:spacing w:val="5"/>
          <w:sz w:val="32"/>
          <w:szCs w:val="32"/>
          <w:highlight w:val="none"/>
        </w:rPr>
        <w:t>，结合</w:t>
      </w:r>
      <w:r>
        <w:rPr>
          <w:rFonts w:hint="default" w:ascii="Times New Roman" w:hAnsi="Times New Roman" w:eastAsia="仿宋_GB2312" w:cs="Times New Roman"/>
          <w:color w:val="auto"/>
          <w:spacing w:val="5"/>
          <w:sz w:val="32"/>
          <w:szCs w:val="32"/>
          <w:highlight w:val="none"/>
          <w:lang w:eastAsia="zh-CN"/>
        </w:rPr>
        <w:t>鹿泉区</w:t>
      </w:r>
      <w:r>
        <w:rPr>
          <w:rFonts w:hint="default" w:ascii="Times New Roman" w:hAnsi="Times New Roman" w:eastAsia="仿宋_GB2312" w:cs="Times New Roman"/>
          <w:color w:val="auto"/>
          <w:spacing w:val="5"/>
          <w:sz w:val="32"/>
          <w:szCs w:val="32"/>
          <w:highlight w:val="none"/>
        </w:rPr>
        <w:t>非煤矿山综合治理现状和非煤矿产资源开发实际，制定《</w:t>
      </w:r>
      <w:r>
        <w:rPr>
          <w:rFonts w:hint="default" w:ascii="Times New Roman" w:hAnsi="Times New Roman" w:eastAsia="仿宋_GB2312" w:cs="Times New Roman"/>
          <w:color w:val="auto"/>
          <w:spacing w:val="5"/>
          <w:sz w:val="32"/>
          <w:szCs w:val="32"/>
          <w:highlight w:val="none"/>
          <w:lang w:eastAsia="zh-CN"/>
        </w:rPr>
        <w:t>石家庄市鹿泉区</w:t>
      </w:r>
      <w:r>
        <w:rPr>
          <w:rFonts w:hint="default" w:ascii="Times New Roman" w:hAnsi="Times New Roman" w:eastAsia="仿宋_GB2312" w:cs="Times New Roman"/>
          <w:color w:val="auto"/>
          <w:spacing w:val="5"/>
          <w:sz w:val="32"/>
          <w:szCs w:val="32"/>
          <w:highlight w:val="none"/>
        </w:rPr>
        <w:t>非煤矿山综合治理规划（2023—2030年）》（以下简称《规划》）</w:t>
      </w:r>
      <w:r>
        <w:rPr>
          <w:rFonts w:hint="default" w:ascii="Times New Roman" w:hAnsi="Times New Roman" w:eastAsia="仿宋_GB2312" w:cs="Times New Roman"/>
          <w:color w:val="auto"/>
          <w:spacing w:val="-18"/>
          <w:sz w:val="32"/>
          <w:szCs w:val="32"/>
          <w:highlight w:val="none"/>
        </w:rPr>
        <w:t>。</w:t>
      </w:r>
    </w:p>
    <w:p w14:paraId="4A967C83">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rPr>
      </w:pPr>
      <w:r>
        <w:rPr>
          <w:rFonts w:hint="default" w:ascii="Times New Roman" w:hAnsi="Times New Roman" w:eastAsia="仿宋_GB2312" w:cs="Times New Roman"/>
          <w:color w:val="auto"/>
          <w:spacing w:val="5"/>
          <w:sz w:val="32"/>
          <w:szCs w:val="32"/>
          <w:highlight w:val="none"/>
        </w:rPr>
        <w:t>《规划》在全面落实市级非煤矿山综合治理规划相关目标任务基础上，对</w:t>
      </w:r>
      <w:r>
        <w:rPr>
          <w:rFonts w:hint="default" w:ascii="Times New Roman" w:hAnsi="Times New Roman" w:eastAsia="仿宋_GB2312" w:cs="Times New Roman"/>
          <w:color w:val="auto"/>
          <w:spacing w:val="5"/>
          <w:sz w:val="32"/>
          <w:szCs w:val="32"/>
          <w:highlight w:val="none"/>
          <w:lang w:eastAsia="zh-CN"/>
        </w:rPr>
        <w:t>鹿泉区</w:t>
      </w:r>
      <w:r>
        <w:rPr>
          <w:rFonts w:hint="default" w:ascii="Times New Roman" w:hAnsi="Times New Roman" w:eastAsia="仿宋_GB2312" w:cs="Times New Roman"/>
          <w:color w:val="auto"/>
          <w:spacing w:val="5"/>
          <w:sz w:val="32"/>
          <w:szCs w:val="32"/>
          <w:highlight w:val="none"/>
        </w:rPr>
        <w:t>非煤矿山综合治理形势进行分析和研究，明确了今后一个时期非煤矿山综合治理的指导思想、基本原则和目标任务，提出了治理格局、主要任务和保障措施，是</w:t>
      </w:r>
      <w:r>
        <w:rPr>
          <w:rFonts w:hint="default" w:ascii="Times New Roman" w:hAnsi="Times New Roman" w:eastAsia="仿宋_GB2312" w:cs="Times New Roman"/>
          <w:color w:val="auto"/>
          <w:spacing w:val="5"/>
          <w:sz w:val="32"/>
          <w:szCs w:val="32"/>
          <w:highlight w:val="none"/>
          <w:lang w:eastAsia="zh-CN"/>
        </w:rPr>
        <w:t>鹿泉区</w:t>
      </w:r>
      <w:r>
        <w:rPr>
          <w:rFonts w:hint="default" w:ascii="Times New Roman" w:hAnsi="Times New Roman" w:eastAsia="仿宋_GB2312" w:cs="Times New Roman"/>
          <w:color w:val="auto"/>
          <w:spacing w:val="5"/>
          <w:sz w:val="32"/>
          <w:szCs w:val="32"/>
          <w:highlight w:val="none"/>
        </w:rPr>
        <w:t>开展非煤矿山综合治理工作的主要依据。</w:t>
      </w:r>
    </w:p>
    <w:p w14:paraId="3FEAE043">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rPr>
      </w:pPr>
      <w:r>
        <w:rPr>
          <w:rFonts w:hint="default" w:ascii="Times New Roman" w:hAnsi="Times New Roman" w:eastAsia="仿宋_GB2312" w:cs="Times New Roman"/>
          <w:color w:val="auto"/>
          <w:spacing w:val="5"/>
          <w:sz w:val="32"/>
          <w:szCs w:val="32"/>
          <w:highlight w:val="none"/>
        </w:rPr>
        <w:t>《规划》适用于</w:t>
      </w:r>
      <w:r>
        <w:rPr>
          <w:rFonts w:hint="default" w:ascii="Times New Roman" w:hAnsi="Times New Roman" w:eastAsia="仿宋_GB2312" w:cs="Times New Roman"/>
          <w:color w:val="auto"/>
          <w:spacing w:val="5"/>
          <w:sz w:val="32"/>
          <w:szCs w:val="32"/>
          <w:highlight w:val="none"/>
          <w:lang w:eastAsia="zh-CN"/>
        </w:rPr>
        <w:t>鹿泉区</w:t>
      </w:r>
      <w:r>
        <w:rPr>
          <w:rFonts w:hint="default" w:ascii="Times New Roman" w:hAnsi="Times New Roman" w:eastAsia="仿宋_GB2312" w:cs="Times New Roman"/>
          <w:color w:val="auto"/>
          <w:spacing w:val="5"/>
          <w:sz w:val="32"/>
          <w:szCs w:val="32"/>
          <w:highlight w:val="none"/>
        </w:rPr>
        <w:t>所辖行政区域内能源矿产、水气矿产之</w:t>
      </w:r>
      <w:r>
        <w:rPr>
          <w:rFonts w:hint="default" w:ascii="Times New Roman" w:hAnsi="Times New Roman" w:eastAsia="仿宋_GB2312" w:cs="Times New Roman"/>
          <w:color w:val="auto"/>
          <w:spacing w:val="5"/>
          <w:sz w:val="32"/>
          <w:szCs w:val="32"/>
          <w:highlight w:val="none"/>
          <w:lang w:val="en-US" w:eastAsia="zh-CN"/>
        </w:rPr>
        <w:t>外的金属和非金属矿产矿山的综合治理。</w:t>
      </w:r>
    </w:p>
    <w:p w14:paraId="416A1F82">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rPr>
      </w:pPr>
      <w:r>
        <w:rPr>
          <w:rFonts w:hint="default" w:ascii="Times New Roman" w:hAnsi="Times New Roman" w:eastAsia="仿宋_GB2312" w:cs="Times New Roman"/>
          <w:color w:val="auto"/>
          <w:spacing w:val="5"/>
          <w:sz w:val="32"/>
          <w:szCs w:val="32"/>
          <w:highlight w:val="none"/>
        </w:rPr>
        <w:t>《规划》基期为2022年，规划期限为2023年至203</w:t>
      </w:r>
      <w:r>
        <w:rPr>
          <w:rFonts w:hint="default" w:ascii="Times New Roman" w:hAnsi="Times New Roman" w:eastAsia="仿宋_GB2312" w:cs="Times New Roman"/>
          <w:color w:val="auto"/>
          <w:spacing w:val="5"/>
          <w:sz w:val="32"/>
          <w:szCs w:val="32"/>
          <w:highlight w:val="none"/>
          <w:lang w:val="en-US" w:eastAsia="zh-CN"/>
        </w:rPr>
        <w:t>0</w:t>
      </w:r>
      <w:r>
        <w:rPr>
          <w:rFonts w:hint="default" w:ascii="Times New Roman" w:hAnsi="Times New Roman" w:eastAsia="仿宋_GB2312" w:cs="Times New Roman"/>
          <w:color w:val="auto"/>
          <w:spacing w:val="5"/>
          <w:sz w:val="32"/>
          <w:szCs w:val="32"/>
          <w:highlight w:val="none"/>
        </w:rPr>
        <w:t>年，</w:t>
      </w:r>
      <w:r>
        <w:rPr>
          <w:rFonts w:hint="default" w:ascii="Times New Roman" w:hAnsi="Times New Roman" w:eastAsia="仿宋_GB2312" w:cs="Times New Roman"/>
          <w:color w:val="auto"/>
          <w:spacing w:val="5"/>
          <w:sz w:val="32"/>
          <w:szCs w:val="32"/>
          <w:highlight w:val="none"/>
          <w:lang w:val="en-US" w:eastAsia="zh-CN"/>
        </w:rPr>
        <w:t>近期目标年为2025年。</w:t>
      </w:r>
    </w:p>
    <w:p w14:paraId="38BA6E97">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rPr>
        <w:sectPr>
          <w:footerReference r:id="rId9" w:type="default"/>
          <w:pgSz w:w="11906" w:h="16839"/>
          <w:pgMar w:top="1431" w:right="1470" w:bottom="1556" w:left="1604" w:header="0" w:footer="1303" w:gutter="0"/>
          <w:pgNumType w:fmt="decimal" w:start="1"/>
          <w:cols w:space="720" w:num="1"/>
        </w:sectPr>
      </w:pPr>
    </w:p>
    <w:p w14:paraId="50C0349D">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4" w:name="_Toc23202"/>
      <w:bookmarkStart w:id="5" w:name="_Toc2479"/>
      <w:r>
        <w:rPr>
          <w:rFonts w:hint="default" w:ascii="Times New Roman" w:hAnsi="Times New Roman" w:eastAsia="方正小标宋_GBK" w:cs="Times New Roman"/>
          <w:b w:val="0"/>
          <w:bCs w:val="0"/>
          <w:color w:val="auto"/>
          <w:spacing w:val="5"/>
          <w:sz w:val="43"/>
          <w:szCs w:val="43"/>
          <w:highlight w:val="none"/>
        </w:rPr>
        <w:t>第一章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现状与形势</w:t>
      </w:r>
      <w:bookmarkEnd w:id="4"/>
      <w:bookmarkEnd w:id="5"/>
    </w:p>
    <w:p w14:paraId="4BAB71DC">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eastAsia="zh-CN"/>
        </w:rPr>
        <w:t>石家庄市鹿泉区位于河北省中南部太行山脉与华北平原衔接地带，总面积613平方公里。全区辖9镇、3乡、</w:t>
      </w:r>
      <w:r>
        <w:rPr>
          <w:rFonts w:hint="default" w:ascii="Times New Roman" w:hAnsi="Times New Roman" w:eastAsia="仿宋_GB2312" w:cs="Times New Roman"/>
          <w:color w:val="auto"/>
          <w:spacing w:val="5"/>
          <w:sz w:val="32"/>
          <w:szCs w:val="32"/>
          <w:highlight w:val="none"/>
          <w:lang w:val="en-US" w:eastAsia="zh-CN"/>
        </w:rPr>
        <w:t>1</w:t>
      </w:r>
      <w:r>
        <w:rPr>
          <w:rFonts w:hint="default" w:ascii="Times New Roman" w:hAnsi="Times New Roman" w:eastAsia="仿宋_GB2312" w:cs="Times New Roman"/>
          <w:color w:val="auto"/>
          <w:spacing w:val="5"/>
          <w:sz w:val="32"/>
          <w:szCs w:val="32"/>
          <w:highlight w:val="none"/>
          <w:lang w:eastAsia="zh-CN"/>
        </w:rPr>
        <w:t>区</w:t>
      </w:r>
      <w:r>
        <w:rPr>
          <w:rFonts w:hint="default" w:ascii="Times New Roman" w:hAnsi="Times New Roman" w:eastAsia="仿宋_GB2312" w:cs="Times New Roman"/>
          <w:color w:val="auto"/>
          <w:spacing w:val="5"/>
          <w:sz w:val="32"/>
          <w:szCs w:val="32"/>
          <w:highlight w:val="none"/>
          <w:lang w:val="en-US" w:eastAsia="zh-CN"/>
        </w:rPr>
        <w:t>。</w:t>
      </w:r>
    </w:p>
    <w:p w14:paraId="6BCB06F1">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eastAsia="zh-CN"/>
        </w:rPr>
      </w:pPr>
      <w:r>
        <w:rPr>
          <w:rFonts w:hint="default" w:ascii="Times New Roman" w:hAnsi="Times New Roman" w:eastAsia="仿宋_GB2312" w:cs="Times New Roman"/>
          <w:color w:val="auto"/>
          <w:spacing w:val="5"/>
          <w:sz w:val="32"/>
          <w:szCs w:val="32"/>
          <w:highlight w:val="none"/>
          <w:lang w:eastAsia="zh-CN"/>
        </w:rPr>
        <w:t>鹿泉区地形地貌多样，平原、山地、丘陵地貌各占三分之一。区内矿产资源有冶金用白云岩、水泥用灰岩、石英砂岩、陶粒页岩等，其中水泥用灰岩储量最为丰富。</w:t>
      </w:r>
    </w:p>
    <w:p w14:paraId="1A2341F3">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z w:val="32"/>
          <w:szCs w:val="32"/>
          <w:highlight w:val="none"/>
          <w:lang w:eastAsia="zh-CN"/>
        </w:rPr>
      </w:pPr>
      <w:bookmarkStart w:id="6" w:name="_Toc7452"/>
      <w:bookmarkStart w:id="7" w:name="_Toc14952"/>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矿山</w:t>
      </w:r>
      <w:bookmarkEnd w:id="6"/>
      <w:r>
        <w:rPr>
          <w:rFonts w:hint="default" w:ascii="Times New Roman" w:hAnsi="Times New Roman" w:eastAsia="黑体" w:cs="Times New Roman"/>
          <w:color w:val="auto"/>
          <w:spacing w:val="4"/>
          <w:sz w:val="32"/>
          <w:szCs w:val="32"/>
          <w:highlight w:val="none"/>
          <w:lang w:eastAsia="zh-CN"/>
        </w:rPr>
        <w:t>现状</w:t>
      </w:r>
      <w:bookmarkEnd w:id="7"/>
    </w:p>
    <w:p w14:paraId="669CB972">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0"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5"/>
          <w:sz w:val="32"/>
          <w:szCs w:val="32"/>
          <w:highlight w:val="none"/>
        </w:rPr>
        <w:t>非煤矿山类型。</w:t>
      </w:r>
      <w:r>
        <w:rPr>
          <w:rFonts w:hint="default" w:ascii="Times New Roman" w:hAnsi="Times New Roman" w:eastAsia="仿宋_GB2312" w:cs="Times New Roman"/>
          <w:color w:val="auto"/>
          <w:spacing w:val="5"/>
          <w:sz w:val="32"/>
          <w:szCs w:val="32"/>
          <w:highlight w:val="none"/>
          <w:lang w:eastAsia="zh-CN"/>
        </w:rPr>
        <w:t>截至</w:t>
      </w:r>
      <w:r>
        <w:rPr>
          <w:rFonts w:hint="default" w:ascii="Times New Roman" w:hAnsi="Times New Roman" w:eastAsia="仿宋_GB2312" w:cs="Times New Roman"/>
          <w:color w:val="auto"/>
          <w:spacing w:val="5"/>
          <w:sz w:val="32"/>
          <w:szCs w:val="32"/>
          <w:highlight w:val="none"/>
          <w:lang w:val="en-US" w:eastAsia="zh-CN"/>
        </w:rPr>
        <w:t>2022年底，鹿泉区内非煤矿山3个，全部为露天开采的大型水泥用石灰岩矿。河北中节能新型材料有限公司牛山陶粒页岩矿正在办理采矿证注销手续，属关闭矿山。</w:t>
      </w:r>
    </w:p>
    <w:p w14:paraId="152D548E">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0"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5"/>
          <w:sz w:val="32"/>
          <w:szCs w:val="32"/>
          <w:highlight w:val="none"/>
        </w:rPr>
        <w:t>非煤矿</w:t>
      </w:r>
      <w:r>
        <w:rPr>
          <w:rFonts w:hint="default" w:ascii="Times New Roman" w:hAnsi="Times New Roman" w:eastAsia="楷体" w:cs="Times New Roman"/>
          <w:color w:val="auto"/>
          <w:spacing w:val="5"/>
          <w:sz w:val="32"/>
          <w:szCs w:val="32"/>
          <w:highlight w:val="none"/>
          <w:lang w:val="en-US" w:eastAsia="zh-CN"/>
        </w:rPr>
        <w:t>产</w:t>
      </w:r>
      <w:r>
        <w:rPr>
          <w:rFonts w:hint="default" w:ascii="Times New Roman" w:hAnsi="Times New Roman" w:eastAsia="楷体" w:cs="Times New Roman"/>
          <w:color w:val="auto"/>
          <w:spacing w:val="5"/>
          <w:sz w:val="32"/>
          <w:szCs w:val="32"/>
          <w:highlight w:val="none"/>
        </w:rPr>
        <w:t>分布</w:t>
      </w:r>
      <w:r>
        <w:rPr>
          <w:rFonts w:hint="default" w:ascii="Times New Roman" w:hAnsi="Times New Roman" w:eastAsia="楷体" w:cs="Times New Roman"/>
          <w:color w:val="auto"/>
          <w:spacing w:val="5"/>
          <w:sz w:val="32"/>
          <w:szCs w:val="32"/>
          <w:highlight w:val="none"/>
          <w:lang w:val="en-US" w:eastAsia="zh-CN"/>
        </w:rPr>
        <w:t>及</w:t>
      </w:r>
      <w:r>
        <w:rPr>
          <w:rFonts w:hint="eastAsia" w:ascii="Times New Roman" w:hAnsi="Times New Roman" w:eastAsia="楷体" w:cs="Times New Roman"/>
          <w:color w:val="auto"/>
          <w:spacing w:val="5"/>
          <w:sz w:val="32"/>
          <w:szCs w:val="32"/>
          <w:highlight w:val="none"/>
          <w:lang w:val="en-US" w:eastAsia="zh-CN"/>
        </w:rPr>
        <w:t>历史遗留矿山</w:t>
      </w:r>
      <w:r>
        <w:rPr>
          <w:rFonts w:hint="default" w:ascii="Times New Roman" w:hAnsi="Times New Roman" w:eastAsia="楷体" w:cs="Times New Roman"/>
          <w:color w:val="auto"/>
          <w:spacing w:val="5"/>
          <w:sz w:val="32"/>
          <w:szCs w:val="32"/>
          <w:highlight w:val="none"/>
          <w:lang w:val="en-US" w:eastAsia="zh-CN"/>
        </w:rPr>
        <w:t>分布</w:t>
      </w:r>
      <w:r>
        <w:rPr>
          <w:rFonts w:hint="default" w:ascii="Times New Roman" w:hAnsi="Times New Roman" w:eastAsia="楷体" w:cs="Times New Roman"/>
          <w:color w:val="auto"/>
          <w:spacing w:val="5"/>
          <w:sz w:val="32"/>
          <w:szCs w:val="32"/>
          <w:highlight w:val="none"/>
        </w:rPr>
        <w:t>。</w:t>
      </w:r>
      <w:r>
        <w:rPr>
          <w:rFonts w:hint="default" w:ascii="Times New Roman" w:hAnsi="Times New Roman" w:eastAsia="仿宋_GB2312" w:cs="Times New Roman"/>
          <w:color w:val="auto"/>
          <w:spacing w:val="5"/>
          <w:sz w:val="32"/>
          <w:szCs w:val="32"/>
          <w:highlight w:val="none"/>
          <w:lang w:eastAsia="zh-CN"/>
        </w:rPr>
        <w:t>鹿泉区内非煤矿山集中分布于鹿泉区北部的宜安镇、大河镇的太行山前一带；</w:t>
      </w:r>
      <w:r>
        <w:rPr>
          <w:rFonts w:hint="eastAsia" w:ascii="Times New Roman" w:hAnsi="Times New Roman" w:eastAsia="仿宋_GB2312" w:cs="Times New Roman"/>
          <w:color w:val="auto"/>
          <w:spacing w:val="5"/>
          <w:sz w:val="32"/>
          <w:szCs w:val="32"/>
          <w:highlight w:val="none"/>
          <w:lang w:eastAsia="zh-CN"/>
        </w:rPr>
        <w:t>历史遗留矿山</w:t>
      </w:r>
      <w:r>
        <w:rPr>
          <w:rFonts w:hint="default" w:ascii="Times New Roman" w:hAnsi="Times New Roman" w:eastAsia="仿宋_GB2312" w:cs="Times New Roman"/>
          <w:color w:val="auto"/>
          <w:spacing w:val="5"/>
          <w:sz w:val="32"/>
          <w:szCs w:val="32"/>
          <w:highlight w:val="none"/>
          <w:lang w:eastAsia="zh-CN"/>
        </w:rPr>
        <w:t>治理任务共</w:t>
      </w:r>
      <w:r>
        <w:rPr>
          <w:rFonts w:hint="default" w:ascii="Times New Roman" w:hAnsi="Times New Roman" w:eastAsia="仿宋_GB2312" w:cs="Times New Roman"/>
          <w:color w:val="auto"/>
          <w:spacing w:val="5"/>
          <w:sz w:val="32"/>
          <w:szCs w:val="32"/>
          <w:highlight w:val="none"/>
          <w:lang w:val="en-US" w:eastAsia="zh-CN"/>
        </w:rPr>
        <w:t>18处，</w:t>
      </w:r>
      <w:r>
        <w:rPr>
          <w:rFonts w:hint="default" w:ascii="Times New Roman" w:hAnsi="Times New Roman" w:eastAsia="仿宋_GB2312" w:cs="Times New Roman"/>
          <w:color w:val="auto"/>
          <w:spacing w:val="5"/>
          <w:sz w:val="32"/>
          <w:szCs w:val="32"/>
          <w:highlight w:val="none"/>
          <w:lang w:eastAsia="zh-CN"/>
        </w:rPr>
        <w:t>主要分布于宜安镇、石井乡的太行山前一带。</w:t>
      </w:r>
    </w:p>
    <w:p w14:paraId="3C267C7F">
      <w:pPr>
        <w:keepNext w:val="0"/>
        <w:keepLines w:val="0"/>
        <w:pageBreakBefore w:val="0"/>
        <w:widowControl/>
        <w:kinsoku/>
        <w:wordWrap/>
        <w:overflowPunct/>
        <w:topLinePunct w:val="0"/>
        <w:autoSpaceDE w:val="0"/>
        <w:autoSpaceDN w:val="0"/>
        <w:bidi w:val="0"/>
        <w:adjustRightInd/>
        <w:snapToGrid w:val="0"/>
        <w:spacing w:before="101" w:line="360" w:lineRule="auto"/>
        <w:ind w:left="6" w:right="6" w:firstLine="660" w:firstLineChars="200"/>
        <w:textAlignment w:val="baseline"/>
        <w:rPr>
          <w:rFonts w:hint="default" w:ascii="Times New Roman" w:hAnsi="Times New Roman" w:eastAsia="仿宋_GB2312" w:cs="Times New Roman"/>
          <w:color w:val="auto"/>
          <w:spacing w:val="5"/>
          <w:sz w:val="32"/>
          <w:szCs w:val="32"/>
          <w:highlight w:val="none"/>
          <w:lang w:val="en-US" w:eastAsia="zh-CN"/>
        </w:rPr>
      </w:pPr>
    </w:p>
    <w:p w14:paraId="77C0B3D1">
      <w:pPr>
        <w:keepNext w:val="0"/>
        <w:keepLines w:val="0"/>
        <w:pageBreakBefore w:val="0"/>
        <w:widowControl/>
        <w:kinsoku/>
        <w:wordWrap/>
        <w:overflowPunct/>
        <w:topLinePunct w:val="0"/>
        <w:autoSpaceDE w:val="0"/>
        <w:autoSpaceDN w:val="0"/>
        <w:bidi w:val="0"/>
        <w:adjustRightInd/>
        <w:snapToGrid w:val="0"/>
        <w:spacing w:before="101" w:line="360" w:lineRule="auto"/>
        <w:ind w:left="6" w:right="6" w:firstLine="660" w:firstLineChars="200"/>
        <w:textAlignment w:val="baseline"/>
        <w:rPr>
          <w:rFonts w:hint="default" w:ascii="Times New Roman" w:hAnsi="Times New Roman" w:eastAsia="仿宋_GB2312" w:cs="Times New Roman"/>
          <w:color w:val="auto"/>
          <w:spacing w:val="5"/>
          <w:sz w:val="32"/>
          <w:szCs w:val="32"/>
          <w:highlight w:val="none"/>
          <w:lang w:val="en-US" w:eastAsia="zh-CN"/>
        </w:rPr>
      </w:pPr>
    </w:p>
    <w:p w14:paraId="47922B10">
      <w:pPr>
        <w:keepNext w:val="0"/>
        <w:keepLines w:val="0"/>
        <w:pageBreakBefore w:val="0"/>
        <w:widowControl/>
        <w:kinsoku/>
        <w:wordWrap/>
        <w:overflowPunct/>
        <w:topLinePunct w:val="0"/>
        <w:autoSpaceDE w:val="0"/>
        <w:autoSpaceDN w:val="0"/>
        <w:bidi w:val="0"/>
        <w:adjustRightInd/>
        <w:snapToGrid w:val="0"/>
        <w:spacing w:before="101" w:line="360" w:lineRule="auto"/>
        <w:ind w:left="6" w:right="6" w:firstLine="660" w:firstLineChars="200"/>
        <w:textAlignment w:val="baseline"/>
        <w:rPr>
          <w:rFonts w:hint="default" w:ascii="Times New Roman" w:hAnsi="Times New Roman" w:eastAsia="仿宋_GB2312" w:cs="Times New Roman"/>
          <w:color w:val="auto"/>
          <w:spacing w:val="5"/>
          <w:sz w:val="32"/>
          <w:szCs w:val="32"/>
          <w:highlight w:val="none"/>
          <w:lang w:val="en-US" w:eastAsia="zh-CN"/>
        </w:rPr>
      </w:pPr>
    </w:p>
    <w:tbl>
      <w:tblPr>
        <w:tblStyle w:val="9"/>
        <w:tblW w:w="89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2666"/>
        <w:gridCol w:w="1210"/>
        <w:gridCol w:w="888"/>
        <w:gridCol w:w="1463"/>
        <w:gridCol w:w="1051"/>
        <w:gridCol w:w="1166"/>
      </w:tblGrid>
      <w:tr w14:paraId="47E3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8984" w:type="dxa"/>
            <w:gridSpan w:val="7"/>
            <w:noWrap w:val="0"/>
            <w:vAlign w:val="center"/>
          </w:tcPr>
          <w:p w14:paraId="090F5C2B">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kern w:val="0"/>
                <w:sz w:val="28"/>
                <w:szCs w:val="28"/>
                <w:highlight w:val="none"/>
                <w:lang w:val="en-US" w:eastAsia="zh-CN" w:bidi="ar"/>
              </w:rPr>
            </w:pPr>
            <w:r>
              <w:rPr>
                <w:rFonts w:hint="default" w:ascii="Times New Roman" w:hAnsi="Times New Roman" w:eastAsia="仿宋_GB2312" w:cs="Times New Roman"/>
                <w:b/>
                <w:color w:val="auto"/>
                <w:kern w:val="0"/>
                <w:sz w:val="28"/>
                <w:szCs w:val="28"/>
                <w:highlight w:val="none"/>
                <w:lang w:eastAsia="zh-CN" w:bidi="ar"/>
              </w:rPr>
              <w:t>专栏</w:t>
            </w:r>
            <w:r>
              <w:rPr>
                <w:rFonts w:hint="default" w:ascii="Times New Roman" w:hAnsi="Times New Roman" w:eastAsia="仿宋_GB2312" w:cs="Times New Roman"/>
                <w:b/>
                <w:color w:val="auto"/>
                <w:kern w:val="0"/>
                <w:sz w:val="28"/>
                <w:szCs w:val="28"/>
                <w:highlight w:val="none"/>
                <w:lang w:val="en-US" w:eastAsia="zh-CN" w:bidi="ar"/>
              </w:rPr>
              <w:t>1 非煤矿山基本情况表</w:t>
            </w:r>
          </w:p>
        </w:tc>
      </w:tr>
      <w:tr w14:paraId="31F58E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jc w:val="center"/>
        </w:trPr>
        <w:tc>
          <w:tcPr>
            <w:tcW w:w="540" w:type="dxa"/>
            <w:noWrap w:val="0"/>
            <w:vAlign w:val="center"/>
          </w:tcPr>
          <w:p w14:paraId="2299F687">
            <w:pPr>
              <w:pStyle w:val="2"/>
              <w:keepNext w:val="0"/>
              <w:keepLines w:val="0"/>
              <w:pageBreakBefore w:val="0"/>
              <w:kinsoku/>
              <w:wordWrap/>
              <w:overflowPunct/>
              <w:topLinePunct w:val="0"/>
              <w:autoSpaceDE/>
              <w:autoSpaceDN/>
              <w:bidi w:val="0"/>
              <w:adjustRightInd w:val="0"/>
              <w:snapToGrid w:val="0"/>
              <w:spacing w:after="0" w:line="240" w:lineRule="auto"/>
              <w:ind w:firstLine="0" w:firstLineChars="0"/>
              <w:jc w:val="center"/>
              <w:rPr>
                <w:rFonts w:hint="default" w:ascii="Times New Roman" w:hAnsi="Times New Roman" w:eastAsia="仿宋_GB2312" w:cs="Times New Roman"/>
                <w:b/>
                <w:color w:val="auto"/>
                <w:sz w:val="28"/>
                <w:szCs w:val="28"/>
                <w:highlight w:val="none"/>
                <w:lang w:val="en-US" w:eastAsia="zh-CN"/>
              </w:rPr>
            </w:pPr>
            <w:r>
              <w:rPr>
                <w:rFonts w:hint="default" w:ascii="Times New Roman" w:hAnsi="Times New Roman" w:eastAsia="仿宋_GB2312" w:cs="Times New Roman"/>
                <w:b/>
                <w:color w:val="auto"/>
                <w:kern w:val="0"/>
                <w:sz w:val="28"/>
                <w:szCs w:val="28"/>
                <w:highlight w:val="none"/>
                <w:lang w:val="en-US" w:eastAsia="zh-CN" w:bidi="ar"/>
              </w:rPr>
              <w:t>序号</w:t>
            </w:r>
          </w:p>
        </w:tc>
        <w:tc>
          <w:tcPr>
            <w:tcW w:w="2666" w:type="dxa"/>
            <w:noWrap w:val="0"/>
            <w:vAlign w:val="center"/>
          </w:tcPr>
          <w:p w14:paraId="6C8FDFBD">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val="0"/>
                <w:bCs w:val="0"/>
                <w:color w:val="auto"/>
                <w:kern w:val="0"/>
                <w:sz w:val="28"/>
                <w:szCs w:val="28"/>
                <w:highlight w:val="none"/>
                <w:lang w:bidi="ar"/>
              </w:rPr>
            </w:pPr>
            <w:r>
              <w:rPr>
                <w:rFonts w:hint="default" w:ascii="Times New Roman" w:hAnsi="Times New Roman" w:eastAsia="仿宋_GB2312" w:cs="Times New Roman"/>
                <w:b/>
                <w:color w:val="auto"/>
                <w:kern w:val="0"/>
                <w:sz w:val="28"/>
                <w:szCs w:val="28"/>
                <w:highlight w:val="none"/>
                <w:lang w:bidi="ar"/>
              </w:rPr>
              <w:t>矿山名称</w:t>
            </w:r>
          </w:p>
        </w:tc>
        <w:tc>
          <w:tcPr>
            <w:tcW w:w="1210" w:type="dxa"/>
            <w:noWrap w:val="0"/>
            <w:vAlign w:val="center"/>
          </w:tcPr>
          <w:p w14:paraId="78C9E44E">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kern w:val="0"/>
                <w:sz w:val="28"/>
                <w:szCs w:val="28"/>
                <w:highlight w:val="none"/>
                <w:lang w:bidi="ar"/>
              </w:rPr>
            </w:pPr>
            <w:r>
              <w:rPr>
                <w:rFonts w:hint="default" w:ascii="Times New Roman" w:hAnsi="Times New Roman" w:eastAsia="仿宋_GB2312" w:cs="Times New Roman"/>
                <w:b/>
                <w:color w:val="auto"/>
                <w:kern w:val="0"/>
                <w:sz w:val="28"/>
                <w:szCs w:val="28"/>
                <w:highlight w:val="none"/>
                <w:lang w:bidi="ar"/>
              </w:rPr>
              <w:t>开采</w:t>
            </w:r>
          </w:p>
          <w:p w14:paraId="4061D80B">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sz w:val="28"/>
                <w:szCs w:val="28"/>
                <w:highlight w:val="none"/>
              </w:rPr>
            </w:pPr>
            <w:r>
              <w:rPr>
                <w:rFonts w:hint="default" w:ascii="Times New Roman" w:hAnsi="Times New Roman" w:eastAsia="仿宋_GB2312" w:cs="Times New Roman"/>
                <w:b/>
                <w:color w:val="auto"/>
                <w:kern w:val="0"/>
                <w:sz w:val="28"/>
                <w:szCs w:val="28"/>
                <w:highlight w:val="none"/>
                <w:lang w:bidi="ar"/>
              </w:rPr>
              <w:t>矿种</w:t>
            </w:r>
          </w:p>
        </w:tc>
        <w:tc>
          <w:tcPr>
            <w:tcW w:w="888" w:type="dxa"/>
            <w:noWrap w:val="0"/>
            <w:vAlign w:val="center"/>
          </w:tcPr>
          <w:p w14:paraId="309CBFC0">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kern w:val="0"/>
                <w:sz w:val="28"/>
                <w:szCs w:val="28"/>
                <w:highlight w:val="none"/>
                <w:lang w:bidi="ar"/>
              </w:rPr>
            </w:pPr>
            <w:r>
              <w:rPr>
                <w:rFonts w:hint="default" w:ascii="Times New Roman" w:hAnsi="Times New Roman" w:eastAsia="仿宋_GB2312" w:cs="Times New Roman"/>
                <w:b/>
                <w:color w:val="auto"/>
                <w:kern w:val="0"/>
                <w:sz w:val="28"/>
                <w:szCs w:val="28"/>
                <w:highlight w:val="none"/>
                <w:lang w:bidi="ar"/>
              </w:rPr>
              <w:t>矿山</w:t>
            </w:r>
          </w:p>
          <w:p w14:paraId="5E8D73AB">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sz w:val="28"/>
                <w:szCs w:val="28"/>
                <w:highlight w:val="none"/>
              </w:rPr>
            </w:pPr>
            <w:r>
              <w:rPr>
                <w:rFonts w:hint="default" w:ascii="Times New Roman" w:hAnsi="Times New Roman" w:eastAsia="仿宋_GB2312" w:cs="Times New Roman"/>
                <w:b/>
                <w:color w:val="auto"/>
                <w:kern w:val="0"/>
                <w:sz w:val="28"/>
                <w:szCs w:val="28"/>
                <w:highlight w:val="none"/>
                <w:lang w:bidi="ar"/>
              </w:rPr>
              <w:t>规模</w:t>
            </w:r>
          </w:p>
        </w:tc>
        <w:tc>
          <w:tcPr>
            <w:tcW w:w="1463" w:type="dxa"/>
            <w:noWrap w:val="0"/>
            <w:vAlign w:val="center"/>
          </w:tcPr>
          <w:p w14:paraId="4A7C6215">
            <w:pPr>
              <w:keepNext w:val="0"/>
              <w:keepLines w:val="0"/>
              <w:pageBreakBefore w:val="0"/>
              <w:widowControl/>
              <w:suppressLineNumbers w:val="0"/>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bCs/>
                <w:i w:val="0"/>
                <w:iCs w:val="0"/>
                <w:color w:val="auto"/>
                <w:kern w:val="2"/>
                <w:sz w:val="28"/>
                <w:szCs w:val="28"/>
                <w:highlight w:val="none"/>
                <w:u w:val="none"/>
                <w:lang w:val="en-US" w:eastAsia="zh-CN" w:bidi="ar-SA"/>
              </w:rPr>
            </w:pPr>
            <w:r>
              <w:rPr>
                <w:rFonts w:hint="default" w:ascii="Times New Roman" w:hAnsi="Times New Roman" w:eastAsia="仿宋_GB2312" w:cs="Times New Roman"/>
                <w:b/>
                <w:bCs/>
                <w:i w:val="0"/>
                <w:iCs w:val="0"/>
                <w:color w:val="auto"/>
                <w:kern w:val="0"/>
                <w:sz w:val="28"/>
                <w:szCs w:val="28"/>
                <w:highlight w:val="none"/>
                <w:u w:val="none"/>
                <w:lang w:val="en-US" w:eastAsia="zh-CN" w:bidi="ar"/>
              </w:rPr>
              <w:t>设计生产能力（万吨/年）</w:t>
            </w:r>
          </w:p>
        </w:tc>
        <w:tc>
          <w:tcPr>
            <w:tcW w:w="1051" w:type="dxa"/>
            <w:noWrap w:val="0"/>
            <w:vAlign w:val="center"/>
          </w:tcPr>
          <w:p w14:paraId="2178CF39">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bCs/>
                <w:i w:val="0"/>
                <w:iCs w:val="0"/>
                <w:color w:val="auto"/>
                <w:kern w:val="2"/>
                <w:sz w:val="28"/>
                <w:szCs w:val="28"/>
                <w:highlight w:val="none"/>
                <w:u w:val="none"/>
                <w:lang w:val="en-US" w:eastAsia="zh-CN" w:bidi="ar-SA"/>
              </w:rPr>
            </w:pPr>
            <w:r>
              <w:rPr>
                <w:rFonts w:hint="default" w:ascii="Times New Roman" w:hAnsi="Times New Roman" w:eastAsia="仿宋_GB2312" w:cs="Times New Roman"/>
                <w:b/>
                <w:color w:val="auto"/>
                <w:kern w:val="0"/>
                <w:sz w:val="28"/>
                <w:szCs w:val="28"/>
                <w:highlight w:val="none"/>
                <w:lang w:bidi="ar"/>
              </w:rPr>
              <w:t>开采方式</w:t>
            </w:r>
          </w:p>
        </w:tc>
        <w:tc>
          <w:tcPr>
            <w:tcW w:w="1166" w:type="dxa"/>
            <w:noWrap w:val="0"/>
            <w:vAlign w:val="center"/>
          </w:tcPr>
          <w:p w14:paraId="559664B0">
            <w:pPr>
              <w:keepNext w:val="0"/>
              <w:keepLines w:val="0"/>
              <w:pageBreakBefore w:val="0"/>
              <w:widowControl/>
              <w:kinsoku/>
              <w:wordWrap/>
              <w:overflowPunct/>
              <w:topLinePunct w:val="0"/>
              <w:autoSpaceDE/>
              <w:autoSpaceDN/>
              <w:bidi w:val="0"/>
              <w:adjustRightInd w:val="0"/>
              <w:snapToGrid w:val="0"/>
              <w:spacing w:line="240" w:lineRule="auto"/>
              <w:jc w:val="center"/>
              <w:textAlignment w:val="center"/>
              <w:rPr>
                <w:rFonts w:hint="default" w:ascii="Times New Roman" w:hAnsi="Times New Roman" w:eastAsia="仿宋_GB2312" w:cs="Times New Roman"/>
                <w:b/>
                <w:color w:val="auto"/>
                <w:kern w:val="2"/>
                <w:sz w:val="28"/>
                <w:szCs w:val="28"/>
                <w:highlight w:val="none"/>
                <w:lang w:val="en-US" w:eastAsia="zh-CN" w:bidi="ar-SA"/>
              </w:rPr>
            </w:pPr>
            <w:r>
              <w:rPr>
                <w:rFonts w:hint="default" w:ascii="Times New Roman" w:hAnsi="Times New Roman" w:eastAsia="仿宋_GB2312" w:cs="Times New Roman"/>
                <w:b/>
                <w:color w:val="auto"/>
                <w:kern w:val="2"/>
                <w:sz w:val="28"/>
                <w:szCs w:val="28"/>
                <w:highlight w:val="none"/>
                <w:lang w:val="en-US" w:eastAsia="zh-CN" w:bidi="ar-SA"/>
              </w:rPr>
              <w:t>生产状态</w:t>
            </w:r>
          </w:p>
        </w:tc>
      </w:tr>
      <w:tr w14:paraId="2B91B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40" w:type="dxa"/>
            <w:noWrap w:val="0"/>
            <w:vAlign w:val="center"/>
          </w:tcPr>
          <w:p w14:paraId="7E7EE2E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1</w:t>
            </w:r>
          </w:p>
        </w:tc>
        <w:tc>
          <w:tcPr>
            <w:tcW w:w="2666" w:type="dxa"/>
            <w:noWrap w:val="0"/>
            <w:vAlign w:val="center"/>
          </w:tcPr>
          <w:p w14:paraId="6CACD51F">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kern w:val="2"/>
                <w:sz w:val="28"/>
                <w:szCs w:val="28"/>
                <w:highlight w:val="none"/>
                <w:vertAlign w:val="baseline"/>
                <w:lang w:val="en-US" w:eastAsia="zh-CN" w:bidi="ar-SA"/>
              </w:rPr>
            </w:pPr>
            <w:r>
              <w:rPr>
                <w:rFonts w:hint="default" w:ascii="Times New Roman" w:hAnsi="Times New Roman" w:eastAsia="仿宋_GB2312" w:cs="Times New Roman"/>
                <w:color w:val="auto"/>
                <w:spacing w:val="4"/>
                <w:sz w:val="28"/>
                <w:szCs w:val="28"/>
                <w:highlight w:val="none"/>
                <w:vertAlign w:val="baseline"/>
                <w:lang w:val="en-US" w:eastAsia="zh-CN"/>
              </w:rPr>
              <w:t>石家庄市曲寨水泥有限公司五岔口水泥灰岩矿</w:t>
            </w:r>
          </w:p>
        </w:tc>
        <w:tc>
          <w:tcPr>
            <w:tcW w:w="1210" w:type="dxa"/>
            <w:noWrap w:val="0"/>
            <w:vAlign w:val="center"/>
          </w:tcPr>
          <w:p w14:paraId="3224031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水泥用石灰岩</w:t>
            </w:r>
          </w:p>
        </w:tc>
        <w:tc>
          <w:tcPr>
            <w:tcW w:w="888" w:type="dxa"/>
            <w:noWrap w:val="0"/>
            <w:vAlign w:val="center"/>
          </w:tcPr>
          <w:p w14:paraId="36BB0F9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大型</w:t>
            </w:r>
          </w:p>
        </w:tc>
        <w:tc>
          <w:tcPr>
            <w:tcW w:w="1463" w:type="dxa"/>
            <w:noWrap w:val="0"/>
            <w:vAlign w:val="center"/>
          </w:tcPr>
          <w:p w14:paraId="4E2FF43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200</w:t>
            </w:r>
          </w:p>
        </w:tc>
        <w:tc>
          <w:tcPr>
            <w:tcW w:w="1051" w:type="dxa"/>
            <w:noWrap w:val="0"/>
            <w:vAlign w:val="center"/>
          </w:tcPr>
          <w:p w14:paraId="4F76935E">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露天开采</w:t>
            </w:r>
          </w:p>
        </w:tc>
        <w:tc>
          <w:tcPr>
            <w:tcW w:w="1166" w:type="dxa"/>
            <w:noWrap w:val="0"/>
            <w:vAlign w:val="center"/>
          </w:tcPr>
          <w:p w14:paraId="1C092974">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生产</w:t>
            </w:r>
          </w:p>
        </w:tc>
      </w:tr>
      <w:tr w14:paraId="3DB2E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40" w:type="dxa"/>
            <w:noWrap w:val="0"/>
            <w:vAlign w:val="center"/>
          </w:tcPr>
          <w:p w14:paraId="70F93DE0">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2</w:t>
            </w:r>
          </w:p>
        </w:tc>
        <w:tc>
          <w:tcPr>
            <w:tcW w:w="2666" w:type="dxa"/>
            <w:noWrap w:val="0"/>
            <w:vAlign w:val="center"/>
          </w:tcPr>
          <w:p w14:paraId="51147FEF">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kern w:val="2"/>
                <w:sz w:val="28"/>
                <w:szCs w:val="28"/>
                <w:highlight w:val="none"/>
                <w:vertAlign w:val="baseline"/>
                <w:lang w:val="en-US" w:eastAsia="zh-CN" w:bidi="ar-SA"/>
              </w:rPr>
            </w:pPr>
            <w:r>
              <w:rPr>
                <w:rFonts w:hint="default" w:ascii="Times New Roman" w:hAnsi="Times New Roman" w:eastAsia="仿宋_GB2312" w:cs="Times New Roman"/>
                <w:color w:val="auto"/>
                <w:spacing w:val="4"/>
                <w:sz w:val="28"/>
                <w:szCs w:val="28"/>
                <w:highlight w:val="none"/>
                <w:vertAlign w:val="baseline"/>
                <w:lang w:val="en-US" w:eastAsia="zh-CN"/>
              </w:rPr>
              <w:t>河北金隅鼎鑫水泥有限公司一分公司石灰石矿</w:t>
            </w:r>
          </w:p>
        </w:tc>
        <w:tc>
          <w:tcPr>
            <w:tcW w:w="1210" w:type="dxa"/>
            <w:noWrap w:val="0"/>
            <w:vAlign w:val="center"/>
          </w:tcPr>
          <w:p w14:paraId="19E9E46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水泥用石灰岩</w:t>
            </w:r>
          </w:p>
        </w:tc>
        <w:tc>
          <w:tcPr>
            <w:tcW w:w="888" w:type="dxa"/>
            <w:noWrap w:val="0"/>
            <w:vAlign w:val="center"/>
          </w:tcPr>
          <w:p w14:paraId="2FCF0066">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大型</w:t>
            </w:r>
          </w:p>
        </w:tc>
        <w:tc>
          <w:tcPr>
            <w:tcW w:w="1463" w:type="dxa"/>
            <w:noWrap w:val="0"/>
            <w:vAlign w:val="center"/>
          </w:tcPr>
          <w:p w14:paraId="7CB22D20">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220</w:t>
            </w:r>
          </w:p>
        </w:tc>
        <w:tc>
          <w:tcPr>
            <w:tcW w:w="1051" w:type="dxa"/>
            <w:noWrap w:val="0"/>
            <w:vAlign w:val="center"/>
          </w:tcPr>
          <w:p w14:paraId="77D3BF4E">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露天开采</w:t>
            </w:r>
          </w:p>
        </w:tc>
        <w:tc>
          <w:tcPr>
            <w:tcW w:w="1166" w:type="dxa"/>
            <w:noWrap w:val="0"/>
            <w:vAlign w:val="center"/>
          </w:tcPr>
          <w:p w14:paraId="449476B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生产</w:t>
            </w:r>
          </w:p>
        </w:tc>
      </w:tr>
      <w:tr w14:paraId="53172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40" w:type="dxa"/>
            <w:noWrap w:val="0"/>
            <w:vAlign w:val="center"/>
          </w:tcPr>
          <w:p w14:paraId="3D77C70F">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3</w:t>
            </w:r>
          </w:p>
        </w:tc>
        <w:tc>
          <w:tcPr>
            <w:tcW w:w="2666" w:type="dxa"/>
            <w:noWrap w:val="0"/>
            <w:vAlign w:val="center"/>
          </w:tcPr>
          <w:p w14:paraId="0A915059">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河北金隅鼎鑫水泥有限公司二分公司石灰石矿</w:t>
            </w:r>
          </w:p>
        </w:tc>
        <w:tc>
          <w:tcPr>
            <w:tcW w:w="1210" w:type="dxa"/>
            <w:noWrap w:val="0"/>
            <w:vAlign w:val="center"/>
          </w:tcPr>
          <w:p w14:paraId="622140C8">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水泥用石灰岩</w:t>
            </w:r>
          </w:p>
        </w:tc>
        <w:tc>
          <w:tcPr>
            <w:tcW w:w="888" w:type="dxa"/>
            <w:noWrap w:val="0"/>
            <w:vAlign w:val="center"/>
          </w:tcPr>
          <w:p w14:paraId="62466A2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大型</w:t>
            </w:r>
          </w:p>
        </w:tc>
        <w:tc>
          <w:tcPr>
            <w:tcW w:w="1463" w:type="dxa"/>
            <w:noWrap w:val="0"/>
            <w:vAlign w:val="center"/>
          </w:tcPr>
          <w:p w14:paraId="09A1103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400</w:t>
            </w:r>
          </w:p>
        </w:tc>
        <w:tc>
          <w:tcPr>
            <w:tcW w:w="1051" w:type="dxa"/>
            <w:noWrap w:val="0"/>
            <w:vAlign w:val="center"/>
          </w:tcPr>
          <w:p w14:paraId="0FDA9E3D">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露天开采</w:t>
            </w:r>
          </w:p>
        </w:tc>
        <w:tc>
          <w:tcPr>
            <w:tcW w:w="1166" w:type="dxa"/>
            <w:noWrap w:val="0"/>
            <w:vAlign w:val="center"/>
          </w:tcPr>
          <w:p w14:paraId="2FA6D99C">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生产</w:t>
            </w:r>
          </w:p>
        </w:tc>
      </w:tr>
      <w:tr w14:paraId="119DDC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8" w:hRule="atLeast"/>
          <w:jc w:val="center"/>
        </w:trPr>
        <w:tc>
          <w:tcPr>
            <w:tcW w:w="540" w:type="dxa"/>
            <w:noWrap w:val="0"/>
            <w:vAlign w:val="center"/>
          </w:tcPr>
          <w:p w14:paraId="5D735C4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4</w:t>
            </w:r>
          </w:p>
        </w:tc>
        <w:tc>
          <w:tcPr>
            <w:tcW w:w="2666" w:type="dxa"/>
            <w:noWrap w:val="0"/>
            <w:vAlign w:val="center"/>
          </w:tcPr>
          <w:p w14:paraId="06E9566D">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河北中节能新型材料有限公司牛山陶粒页岩矿</w:t>
            </w:r>
          </w:p>
        </w:tc>
        <w:tc>
          <w:tcPr>
            <w:tcW w:w="1210" w:type="dxa"/>
            <w:noWrap w:val="0"/>
            <w:vAlign w:val="center"/>
          </w:tcPr>
          <w:p w14:paraId="4D999DF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陶粒页岩</w:t>
            </w:r>
          </w:p>
        </w:tc>
        <w:tc>
          <w:tcPr>
            <w:tcW w:w="888" w:type="dxa"/>
            <w:noWrap w:val="0"/>
            <w:vAlign w:val="center"/>
          </w:tcPr>
          <w:p w14:paraId="4C2763FF">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大型</w:t>
            </w:r>
          </w:p>
        </w:tc>
        <w:tc>
          <w:tcPr>
            <w:tcW w:w="1463" w:type="dxa"/>
            <w:noWrap w:val="0"/>
            <w:vAlign w:val="center"/>
          </w:tcPr>
          <w:p w14:paraId="41CD1DCD">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80</w:t>
            </w:r>
          </w:p>
        </w:tc>
        <w:tc>
          <w:tcPr>
            <w:tcW w:w="1051" w:type="dxa"/>
            <w:noWrap w:val="0"/>
            <w:vAlign w:val="center"/>
          </w:tcPr>
          <w:p w14:paraId="5016FD19">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露天开采</w:t>
            </w:r>
          </w:p>
        </w:tc>
        <w:tc>
          <w:tcPr>
            <w:tcW w:w="1166" w:type="dxa"/>
            <w:noWrap w:val="0"/>
            <w:vAlign w:val="center"/>
          </w:tcPr>
          <w:p w14:paraId="78EF82C9">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关闭</w:t>
            </w:r>
          </w:p>
        </w:tc>
      </w:tr>
    </w:tbl>
    <w:p w14:paraId="424BF722">
      <w:pPr>
        <w:keepNext w:val="0"/>
        <w:keepLines w:val="0"/>
        <w:pageBreakBefore w:val="0"/>
        <w:widowControl/>
        <w:kinsoku/>
        <w:wordWrap/>
        <w:overflowPunct/>
        <w:topLinePunct w:val="0"/>
        <w:autoSpaceDE w:val="0"/>
        <w:autoSpaceDN w:val="0"/>
        <w:bidi w:val="0"/>
        <w:adjustRightInd w:val="0"/>
        <w:snapToGrid w:val="0"/>
        <w:spacing w:line="240" w:lineRule="auto"/>
        <w:ind w:left="0" w:right="0" w:firstLine="660" w:firstLineChars="200"/>
        <w:textAlignment w:val="baseline"/>
        <w:rPr>
          <w:rFonts w:hint="default" w:ascii="Times New Roman" w:hAnsi="Times New Roman" w:eastAsia="楷体" w:cs="Times New Roman"/>
          <w:color w:val="auto"/>
          <w:spacing w:val="5"/>
          <w:sz w:val="32"/>
          <w:szCs w:val="32"/>
          <w:highlight w:val="none"/>
        </w:rPr>
      </w:pPr>
    </w:p>
    <w:p w14:paraId="78493273">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0"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5"/>
          <w:sz w:val="32"/>
          <w:szCs w:val="32"/>
          <w:highlight w:val="none"/>
          <w:lang w:eastAsia="zh-CN"/>
        </w:rPr>
        <w:t>绿色矿山建设</w:t>
      </w:r>
      <w:r>
        <w:rPr>
          <w:rFonts w:hint="default" w:ascii="Times New Roman" w:hAnsi="Times New Roman" w:eastAsia="楷体" w:cs="Times New Roman"/>
          <w:color w:val="auto"/>
          <w:spacing w:val="5"/>
          <w:sz w:val="32"/>
          <w:szCs w:val="32"/>
          <w:highlight w:val="none"/>
        </w:rPr>
        <w:t>。</w:t>
      </w:r>
      <w:r>
        <w:rPr>
          <w:rFonts w:hint="default" w:ascii="Times New Roman" w:hAnsi="Times New Roman" w:eastAsia="仿宋_GB2312" w:cs="Times New Roman"/>
          <w:color w:val="auto"/>
          <w:spacing w:val="5"/>
          <w:sz w:val="32"/>
          <w:szCs w:val="32"/>
          <w:highlight w:val="none"/>
          <w:lang w:val="en-US" w:eastAsia="zh-CN"/>
        </w:rPr>
        <w:t>河北金隅鼎鑫水泥有限公司一分公司石灰石矿和河北金隅鼎鑫水泥有限公司二分公司石灰石矿已列入全国绿色矿山名录，石家庄市曲寨水泥有限公司五岔口水泥灰岩矿已列入河北省绿色矿山储备库。</w:t>
      </w:r>
    </w:p>
    <w:p w14:paraId="319CDFB7">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lang w:val="en-US" w:eastAsia="zh-CN"/>
        </w:rPr>
      </w:pPr>
      <w:bookmarkStart w:id="8" w:name="_Toc17241"/>
      <w:bookmarkStart w:id="9" w:name="_Toc16578"/>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工作成效</w:t>
      </w:r>
      <w:bookmarkEnd w:id="8"/>
      <w:r>
        <w:rPr>
          <w:rFonts w:hint="default" w:ascii="Times New Roman" w:hAnsi="Times New Roman" w:eastAsia="黑体" w:cs="Times New Roman"/>
          <w:color w:val="auto"/>
          <w:spacing w:val="4"/>
          <w:sz w:val="32"/>
          <w:szCs w:val="32"/>
          <w:highlight w:val="none"/>
          <w:lang w:val="en-US" w:eastAsia="zh-CN"/>
        </w:rPr>
        <w:t>及存在问题</w:t>
      </w:r>
      <w:bookmarkEnd w:id="9"/>
    </w:p>
    <w:p w14:paraId="4B597430">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eastAsia="zh-CN"/>
        </w:rPr>
      </w:pPr>
      <w:r>
        <w:rPr>
          <w:rFonts w:hint="default" w:ascii="Times New Roman" w:hAnsi="Times New Roman" w:eastAsia="仿宋_GB2312" w:cs="Times New Roman"/>
          <w:color w:val="auto"/>
          <w:spacing w:val="5"/>
          <w:sz w:val="32"/>
          <w:szCs w:val="32"/>
          <w:highlight w:val="none"/>
          <w:lang w:val="en-US" w:eastAsia="zh-CN"/>
        </w:rPr>
        <w:t>近年来，鹿泉区围绕矿山环境问题、矿产资源保护问题等，开展了</w:t>
      </w:r>
      <w:r>
        <w:rPr>
          <w:rFonts w:hint="default" w:ascii="Times New Roman" w:hAnsi="Times New Roman" w:eastAsia="仿宋_GB2312" w:cs="Times New Roman"/>
          <w:color w:val="auto"/>
          <w:spacing w:val="5"/>
          <w:sz w:val="32"/>
          <w:szCs w:val="32"/>
          <w:highlight w:val="none"/>
          <w:lang w:eastAsia="zh-CN"/>
        </w:rPr>
        <w:t>三年综合治理攻坚行动、打击非法采矿专项行动、主体灭失矿山迹地综合治理等系列专项行动，成效显著。</w:t>
      </w:r>
    </w:p>
    <w:p w14:paraId="5EE3F46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矿山生态环境</w:t>
      </w:r>
      <w:r>
        <w:rPr>
          <w:rFonts w:hint="default" w:ascii="Times New Roman" w:hAnsi="Times New Roman" w:eastAsia="楷体" w:cs="Times New Roman"/>
          <w:color w:val="auto"/>
          <w:spacing w:val="1"/>
          <w:sz w:val="32"/>
          <w:szCs w:val="32"/>
          <w:highlight w:val="none"/>
          <w:lang w:val="en-US" w:eastAsia="zh-CN"/>
        </w:rPr>
        <w:t>持续</w:t>
      </w:r>
      <w:r>
        <w:rPr>
          <w:rFonts w:hint="default" w:ascii="Times New Roman" w:hAnsi="Times New Roman" w:eastAsia="楷体" w:cs="Times New Roman"/>
          <w:color w:val="auto"/>
          <w:spacing w:val="1"/>
          <w:sz w:val="32"/>
          <w:szCs w:val="32"/>
          <w:highlight w:val="none"/>
        </w:rPr>
        <w:t>改善。</w:t>
      </w:r>
      <w:r>
        <w:rPr>
          <w:rFonts w:hint="default" w:ascii="Times New Roman" w:hAnsi="Times New Roman" w:eastAsia="仿宋_GB2312" w:cs="Times New Roman"/>
          <w:color w:val="auto"/>
          <w:spacing w:val="5"/>
          <w:sz w:val="32"/>
          <w:szCs w:val="32"/>
          <w:highlight w:val="none"/>
          <w:lang w:val="en-US" w:eastAsia="zh-CN"/>
        </w:rPr>
        <w:t>截至2021年，鹿泉区完成主体灭失矿山迹地治理56处，治理面积11631亩；截至2022年底，生产矿山地质环境恢复治理面积222亩，土地复垦面积76.5亩，落实了降尘、水土保持、植被恢复等环境防治措施，基本实现了“边开采、边治理、边恢复”，矿区及周边生态环境持续向好，实现了矿山生产与生态保护两不误。</w:t>
      </w:r>
    </w:p>
    <w:p w14:paraId="646669B9">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开发</w:t>
      </w:r>
      <w:r>
        <w:rPr>
          <w:rFonts w:hint="default" w:ascii="Times New Roman" w:hAnsi="Times New Roman" w:eastAsia="楷体" w:cs="Times New Roman"/>
          <w:color w:val="auto"/>
          <w:spacing w:val="1"/>
          <w:sz w:val="32"/>
          <w:szCs w:val="32"/>
          <w:highlight w:val="none"/>
        </w:rPr>
        <w:t>利用水平持续提升。</w:t>
      </w:r>
      <w:r>
        <w:rPr>
          <w:rFonts w:hint="default" w:ascii="Times New Roman" w:hAnsi="Times New Roman" w:eastAsia="仿宋_GB2312" w:cs="Times New Roman"/>
          <w:color w:val="auto"/>
          <w:spacing w:val="5"/>
          <w:sz w:val="32"/>
          <w:szCs w:val="32"/>
          <w:highlight w:val="none"/>
          <w:lang w:val="en-US" w:eastAsia="zh-CN"/>
        </w:rPr>
        <w:t>通过改变开采技术和生产工艺，矿山采矿回收率提升至98%；矿山开采的夹石、剥离的土石，通过与高品质矿石配比生产水泥，固废的综合利用率达到100%。</w:t>
      </w:r>
    </w:p>
    <w:p w14:paraId="538D8EC5">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60" w:firstLineChars="200"/>
        <w:jc w:val="both"/>
        <w:textAlignment w:val="baseline"/>
        <w:rPr>
          <w:rFonts w:hint="default" w:ascii="Times New Roman" w:hAnsi="Times New Roman" w:eastAsia="仿宋_GB2312" w:cs="Times New Roman"/>
          <w:color w:val="auto"/>
          <w:spacing w:val="5"/>
          <w:sz w:val="32"/>
          <w:szCs w:val="32"/>
          <w:highlight w:val="none"/>
          <w:lang w:eastAsia="zh-CN"/>
        </w:rPr>
      </w:pPr>
      <w:r>
        <w:rPr>
          <w:rFonts w:hint="default" w:ascii="Times New Roman" w:hAnsi="Times New Roman" w:eastAsia="仿宋_GB2312" w:cs="Times New Roman"/>
          <w:color w:val="auto"/>
          <w:spacing w:val="5"/>
          <w:sz w:val="32"/>
          <w:szCs w:val="32"/>
          <w:highlight w:val="none"/>
          <w:lang w:val="en-US" w:eastAsia="zh-CN"/>
        </w:rPr>
        <w:t>鹿泉区</w:t>
      </w:r>
      <w:r>
        <w:rPr>
          <w:rFonts w:hint="default" w:ascii="Times New Roman" w:hAnsi="Times New Roman" w:eastAsia="仿宋_GB2312" w:cs="Times New Roman"/>
          <w:color w:val="auto"/>
          <w:spacing w:val="5"/>
          <w:sz w:val="32"/>
          <w:szCs w:val="32"/>
          <w:highlight w:val="none"/>
          <w:lang w:eastAsia="zh-CN"/>
        </w:rPr>
        <w:t>非煤矿山综合治理成果显著，仍存在一些需要解决的问题。一是区内非煤矿山全部为露天开采，基岩治理难度较大，开采方式有待优化；二是本质安全生产水平有待提升，企业安全生产责任主体需进一步压实；三是关闭矿山修复治理工作需推进落实。</w:t>
      </w:r>
    </w:p>
    <w:p w14:paraId="07DA027C">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10" w:name="_Toc783"/>
      <w:bookmarkStart w:id="11" w:name="_Toc26468"/>
      <w:r>
        <w:rPr>
          <w:rFonts w:hint="default" w:ascii="Times New Roman" w:hAnsi="Times New Roman" w:eastAsia="黑体" w:cs="Times New Roman"/>
          <w:color w:val="auto"/>
          <w:spacing w:val="4"/>
          <w:sz w:val="32"/>
          <w:szCs w:val="32"/>
          <w:highlight w:val="none"/>
        </w:rPr>
        <w:t>第</w:t>
      </w:r>
      <w:r>
        <w:rPr>
          <w:rFonts w:hint="default" w:ascii="Times New Roman" w:hAnsi="Times New Roman" w:eastAsia="黑体" w:cs="Times New Roman"/>
          <w:color w:val="auto"/>
          <w:spacing w:val="4"/>
          <w:sz w:val="32"/>
          <w:szCs w:val="32"/>
          <w:highlight w:val="none"/>
          <w:lang w:val="en-US" w:eastAsia="zh-CN"/>
        </w:rPr>
        <w:t>三</w:t>
      </w:r>
      <w:r>
        <w:rPr>
          <w:rFonts w:hint="default" w:ascii="Times New Roman" w:hAnsi="Times New Roman" w:eastAsia="黑体" w:cs="Times New Roman"/>
          <w:color w:val="auto"/>
          <w:spacing w:val="4"/>
          <w:sz w:val="32"/>
          <w:szCs w:val="32"/>
          <w:highlight w:val="none"/>
        </w:rPr>
        <w:t>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面临形势</w:t>
      </w:r>
      <w:bookmarkEnd w:id="10"/>
      <w:bookmarkEnd w:id="11"/>
    </w:p>
    <w:p w14:paraId="27C8B61B">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矿山发展与生态环境相协调</w:t>
      </w:r>
      <w:r>
        <w:rPr>
          <w:rFonts w:hint="default" w:ascii="Times New Roman" w:hAnsi="Times New Roman" w:eastAsia="楷体" w:cs="Times New Roman"/>
          <w:color w:val="auto"/>
          <w:spacing w:val="1"/>
          <w:sz w:val="32"/>
          <w:szCs w:val="32"/>
          <w:highlight w:val="none"/>
        </w:rPr>
        <w:t>。</w:t>
      </w:r>
      <w:r>
        <w:rPr>
          <w:rFonts w:hint="default" w:ascii="Times New Roman" w:hAnsi="Times New Roman" w:eastAsia="仿宋_GB2312" w:cs="Times New Roman"/>
          <w:color w:val="auto"/>
          <w:spacing w:val="5"/>
          <w:sz w:val="32"/>
          <w:szCs w:val="32"/>
          <w:highlight w:val="none"/>
          <w:lang w:val="en-US" w:eastAsia="zh-CN"/>
        </w:rPr>
        <w:t>随着国家“双碳”目标的确立，矿山需正确处理矿山发展与环境保护的关系。对标生态文明建设、绿色发展和“双碳”行动要求，通过绿色转型推动矿山行业高质量发展，构建资源利用效率高、环境友好、能耗低、排放少的高质量发展模式。</w:t>
      </w:r>
    </w:p>
    <w:p w14:paraId="7A7C6F0F">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资源保障的同时要做好环境保护</w:t>
      </w:r>
      <w:r>
        <w:rPr>
          <w:rFonts w:hint="default" w:ascii="Times New Roman" w:hAnsi="Times New Roman" w:eastAsia="楷体" w:cs="Times New Roman"/>
          <w:color w:val="auto"/>
          <w:spacing w:val="1"/>
          <w:sz w:val="32"/>
          <w:szCs w:val="32"/>
          <w:highlight w:val="none"/>
        </w:rPr>
        <w:t>。</w:t>
      </w:r>
      <w:r>
        <w:rPr>
          <w:rFonts w:hint="default" w:ascii="Times New Roman" w:hAnsi="Times New Roman" w:eastAsia="仿宋_GB2312" w:cs="Times New Roman"/>
          <w:color w:val="auto"/>
          <w:spacing w:val="5"/>
          <w:sz w:val="32"/>
          <w:szCs w:val="32"/>
          <w:highlight w:val="none"/>
          <w:lang w:val="en-US" w:eastAsia="zh-CN"/>
        </w:rPr>
        <w:t>鹿泉区地处石家庄西部。魅力鹿泉、生态宜居宜业宜游新城区的建设，要求鹿泉区把生态建设放到突出的位置。而强省会战略、经济强区的建设，需要稳定矿产资源的支撑，以满足全区建材的需求。提升矿山开发利用水平，研发、引进先进生产工艺、设备，保障矿产资源供给；加快绿色矿山建设，学习先进、适用的矿山治理经验，提升矿山治理水平，构建人与自然和谐相处的矿山生态环境。</w:t>
      </w:r>
    </w:p>
    <w:p w14:paraId="31EB9094">
      <w:pPr>
        <w:keepNext w:val="0"/>
        <w:keepLines w:val="0"/>
        <w:pageBreakBefore w:val="0"/>
        <w:widowControl/>
        <w:kinsoku/>
        <w:wordWrap/>
        <w:overflowPunct/>
        <w:topLinePunct w:val="0"/>
        <w:autoSpaceDE w:val="0"/>
        <w:autoSpaceDN w:val="0"/>
        <w:bidi w:val="0"/>
        <w:adjustRightInd w:val="0"/>
        <w:snapToGrid w:val="0"/>
        <w:spacing w:before="101" w:line="360" w:lineRule="auto"/>
        <w:ind w:left="10" w:firstLine="642"/>
        <w:jc w:val="both"/>
        <w:textAlignment w:val="baseline"/>
        <w:rPr>
          <w:rFonts w:hint="default" w:ascii="Times New Roman" w:hAnsi="Times New Roman" w:eastAsia="仿宋_GB2312" w:cs="Times New Roman"/>
          <w:color w:val="auto"/>
          <w:spacing w:val="5"/>
          <w:sz w:val="32"/>
          <w:szCs w:val="32"/>
          <w:highlight w:val="none"/>
          <w:lang w:eastAsia="zh-CN"/>
        </w:rPr>
      </w:pPr>
    </w:p>
    <w:p w14:paraId="3261A9E7">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textAlignment w:val="auto"/>
        <w:rPr>
          <w:rFonts w:hint="default" w:ascii="Times New Roman" w:hAnsi="Times New Roman" w:eastAsia="仿宋_GB2312" w:cs="Times New Roman"/>
          <w:color w:val="auto"/>
          <w:spacing w:val="5"/>
          <w:sz w:val="32"/>
          <w:szCs w:val="32"/>
          <w:highlight w:val="none"/>
          <w:lang w:eastAsia="zh-CN"/>
        </w:rPr>
      </w:pPr>
    </w:p>
    <w:p w14:paraId="019CEEDD">
      <w:pPr>
        <w:keepNext w:val="0"/>
        <w:keepLines w:val="0"/>
        <w:pageBreakBefore w:val="0"/>
        <w:kinsoku/>
        <w:wordWrap/>
        <w:overflowPunct/>
        <w:topLinePunct w:val="0"/>
        <w:bidi w:val="0"/>
        <w:spacing w:line="225" w:lineRule="auto"/>
        <w:rPr>
          <w:rFonts w:hint="default" w:ascii="Times New Roman" w:hAnsi="Times New Roman" w:eastAsia="仿宋" w:cs="Times New Roman"/>
          <w:color w:val="auto"/>
          <w:sz w:val="31"/>
          <w:szCs w:val="31"/>
          <w:highlight w:val="none"/>
        </w:rPr>
        <w:sectPr>
          <w:footerReference r:id="rId10" w:type="default"/>
          <w:pgSz w:w="11906" w:h="16839"/>
          <w:pgMar w:top="1431" w:right="1471" w:bottom="1553" w:left="1607" w:header="0" w:footer="1303" w:gutter="0"/>
          <w:pgNumType w:fmt="decimal"/>
          <w:cols w:space="720" w:num="1"/>
        </w:sectPr>
      </w:pPr>
    </w:p>
    <w:p w14:paraId="5ADBE38E">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12" w:name="_Toc19390"/>
      <w:bookmarkStart w:id="13" w:name="_Toc1632"/>
      <w:r>
        <w:rPr>
          <w:rFonts w:hint="default" w:ascii="Times New Roman" w:hAnsi="Times New Roman" w:eastAsia="方正小标宋_GBK" w:cs="Times New Roman"/>
          <w:b w:val="0"/>
          <w:bCs w:val="0"/>
          <w:color w:val="auto"/>
          <w:spacing w:val="5"/>
          <w:sz w:val="43"/>
          <w:szCs w:val="43"/>
          <w:highlight w:val="none"/>
        </w:rPr>
        <w:t>第二章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总体要求</w:t>
      </w:r>
      <w:bookmarkEnd w:id="12"/>
      <w:bookmarkEnd w:id="13"/>
    </w:p>
    <w:p w14:paraId="073B525E">
      <w:pPr>
        <w:keepNext w:val="0"/>
        <w:keepLines w:val="0"/>
        <w:pageBreakBefore w:val="0"/>
        <w:widowControl/>
        <w:kinsoku/>
        <w:wordWrap/>
        <w:overflowPunct/>
        <w:topLinePunct w:val="0"/>
        <w:autoSpaceDE w:val="0"/>
        <w:autoSpaceDN w:val="0"/>
        <w:bidi w:val="0"/>
        <w:adjustRightInd w:val="0"/>
        <w:snapToGrid w:val="0"/>
        <w:spacing w:line="360" w:lineRule="auto"/>
        <w:ind w:left="0" w:firstLine="660" w:firstLineChars="200"/>
        <w:jc w:val="both"/>
        <w:textAlignment w:val="baseline"/>
        <w:rPr>
          <w:rFonts w:hint="default" w:ascii="Times New Roman" w:hAnsi="Times New Roman" w:eastAsia="仿宋" w:cs="Times New Roman"/>
          <w:color w:val="auto"/>
          <w:spacing w:val="4"/>
          <w:sz w:val="31"/>
          <w:szCs w:val="31"/>
          <w:highlight w:val="none"/>
          <w:lang w:val="en-US"/>
        </w:rPr>
      </w:pPr>
      <w:r>
        <w:rPr>
          <w:rFonts w:hint="default" w:ascii="Times New Roman" w:hAnsi="Times New Roman" w:eastAsia="仿宋_GB2312" w:cs="Times New Roman"/>
          <w:color w:val="auto"/>
          <w:spacing w:val="5"/>
          <w:sz w:val="32"/>
          <w:szCs w:val="32"/>
          <w:highlight w:val="none"/>
          <w:lang w:eastAsia="zh-CN"/>
        </w:rPr>
        <w:t>深入贯彻落实习近平生态文明思想，践行低碳环保理念，倡导绿色发展，科学制定非煤矿山综合治理规划目标，优化非煤矿产开发格局，持续改善非煤矿山生态环境，为建设“魅力鹿泉、生态鹿泉”提供有力保障。</w:t>
      </w:r>
    </w:p>
    <w:p w14:paraId="6C08BE29">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14" w:name="_Toc17772"/>
      <w:bookmarkStart w:id="15" w:name="_Toc28915"/>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指导思想</w:t>
      </w:r>
      <w:bookmarkEnd w:id="14"/>
      <w:bookmarkEnd w:id="15"/>
    </w:p>
    <w:p w14:paraId="62007A6B">
      <w:pPr>
        <w:keepNext w:val="0"/>
        <w:keepLines w:val="0"/>
        <w:pageBreakBefore w:val="0"/>
        <w:widowControl/>
        <w:kinsoku/>
        <w:wordWrap/>
        <w:overflowPunct/>
        <w:topLinePunct w:val="0"/>
        <w:autoSpaceDE w:val="0"/>
        <w:autoSpaceDN w:val="0"/>
        <w:bidi w:val="0"/>
        <w:adjustRightInd w:val="0"/>
        <w:snapToGrid w:val="0"/>
        <w:spacing w:line="360" w:lineRule="auto"/>
        <w:ind w:firstLine="660" w:firstLineChars="200"/>
        <w:jc w:val="both"/>
        <w:textAlignment w:val="baseline"/>
        <w:rPr>
          <w:rFonts w:hint="default" w:ascii="Times New Roman" w:hAnsi="Times New Roman" w:eastAsia="仿宋_GB2312" w:cs="Times New Roman"/>
          <w:color w:val="auto"/>
          <w:spacing w:val="5"/>
          <w:sz w:val="32"/>
          <w:szCs w:val="32"/>
          <w:highlight w:val="none"/>
          <w:lang w:eastAsia="zh-CN"/>
        </w:rPr>
      </w:pPr>
      <w:r>
        <w:rPr>
          <w:rFonts w:hint="default" w:ascii="Times New Roman" w:hAnsi="Times New Roman" w:eastAsia="仿宋_GB2312" w:cs="Times New Roman"/>
          <w:color w:val="auto"/>
          <w:spacing w:val="5"/>
          <w:sz w:val="32"/>
          <w:szCs w:val="32"/>
          <w:highlight w:val="none"/>
          <w:lang w:eastAsia="zh-CN"/>
        </w:rPr>
        <w:t>以习近平新时代中国特色社会主义思想为指导，全面贯彻党的二十大和二十届二中、三中全会精神，深入贯彻习近平生态文明思想，牢固树立绿水青山就是金山银山的理念。把握京津冀协同发展的国家战略机遇，以促进矿产资源开发与生态环境保护协调发展为主线，加强生态文明建设、推动矿业高质量发展；以矿山生态环境改善、开发利用水平提升为目标，坚持系统谋划、源头预防、综合治理、改革创新，强化非煤矿山综合治理，为加快建设“魅力鹿泉、生态鹿泉”做出积极贡献。</w:t>
      </w:r>
    </w:p>
    <w:p w14:paraId="3ECEC641">
      <w:pPr>
        <w:keepNext w:val="0"/>
        <w:keepLines w:val="0"/>
        <w:pageBreakBefore w:val="0"/>
        <w:widowControl/>
        <w:kinsoku/>
        <w:wordWrap/>
        <w:overflowPunct/>
        <w:topLinePunct w:val="0"/>
        <w:autoSpaceDE w:val="0"/>
        <w:autoSpaceDN w:val="0"/>
        <w:bidi w:val="0"/>
        <w:adjustRightInd w:val="0"/>
        <w:snapToGrid w:val="0"/>
        <w:spacing w:line="360" w:lineRule="auto"/>
        <w:ind w:firstLine="660" w:firstLineChars="200"/>
        <w:jc w:val="both"/>
        <w:textAlignment w:val="baseline"/>
        <w:rPr>
          <w:rFonts w:hint="default" w:ascii="Times New Roman" w:hAnsi="Times New Roman" w:eastAsia="仿宋_GB2312" w:cs="Times New Roman"/>
          <w:color w:val="auto"/>
          <w:spacing w:val="5"/>
          <w:sz w:val="32"/>
          <w:szCs w:val="32"/>
          <w:highlight w:val="none"/>
          <w:lang w:eastAsia="zh-CN"/>
        </w:rPr>
      </w:pPr>
    </w:p>
    <w:p w14:paraId="3AD52100">
      <w:pPr>
        <w:keepNext w:val="0"/>
        <w:keepLines w:val="0"/>
        <w:pageBreakBefore w:val="0"/>
        <w:widowControl/>
        <w:kinsoku/>
        <w:wordWrap/>
        <w:overflowPunct/>
        <w:topLinePunct w:val="0"/>
        <w:autoSpaceDE w:val="0"/>
        <w:autoSpaceDN w:val="0"/>
        <w:bidi w:val="0"/>
        <w:adjustRightInd w:val="0"/>
        <w:snapToGrid w:val="0"/>
        <w:spacing w:line="360" w:lineRule="auto"/>
        <w:ind w:firstLine="660" w:firstLineChars="200"/>
        <w:jc w:val="both"/>
        <w:textAlignment w:val="baseline"/>
        <w:rPr>
          <w:rFonts w:hint="default" w:ascii="Times New Roman" w:hAnsi="Times New Roman" w:eastAsia="仿宋_GB2312" w:cs="Times New Roman"/>
          <w:color w:val="auto"/>
          <w:spacing w:val="5"/>
          <w:sz w:val="32"/>
          <w:szCs w:val="32"/>
          <w:highlight w:val="none"/>
          <w:lang w:eastAsia="zh-CN"/>
        </w:rPr>
      </w:pPr>
    </w:p>
    <w:p w14:paraId="28E18E6F">
      <w:pPr>
        <w:keepNext w:val="0"/>
        <w:keepLines w:val="0"/>
        <w:pageBreakBefore w:val="0"/>
        <w:widowControl/>
        <w:kinsoku/>
        <w:wordWrap/>
        <w:overflowPunct/>
        <w:topLinePunct w:val="0"/>
        <w:autoSpaceDE w:val="0"/>
        <w:autoSpaceDN w:val="0"/>
        <w:bidi w:val="0"/>
        <w:adjustRightInd w:val="0"/>
        <w:snapToGrid w:val="0"/>
        <w:spacing w:line="360" w:lineRule="auto"/>
        <w:ind w:firstLine="660" w:firstLineChars="200"/>
        <w:jc w:val="both"/>
        <w:textAlignment w:val="baseline"/>
        <w:rPr>
          <w:rFonts w:hint="default" w:ascii="Times New Roman" w:hAnsi="Times New Roman" w:eastAsia="仿宋_GB2312" w:cs="Times New Roman"/>
          <w:color w:val="auto"/>
          <w:spacing w:val="5"/>
          <w:sz w:val="32"/>
          <w:szCs w:val="32"/>
          <w:highlight w:val="none"/>
          <w:lang w:eastAsia="zh-CN"/>
        </w:rPr>
      </w:pPr>
    </w:p>
    <w:p w14:paraId="07427F0B">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16" w:name="_Toc6671"/>
      <w:bookmarkStart w:id="17" w:name="_Toc9700"/>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基本原则</w:t>
      </w:r>
      <w:bookmarkEnd w:id="16"/>
      <w:bookmarkEnd w:id="17"/>
    </w:p>
    <w:p w14:paraId="5F772D49">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生态优先，绿色发展。</w:t>
      </w:r>
      <w:r>
        <w:rPr>
          <w:rFonts w:hint="default" w:ascii="Times New Roman" w:hAnsi="Times New Roman" w:eastAsia="仿宋_GB2312" w:cs="Times New Roman"/>
          <w:color w:val="auto"/>
          <w:spacing w:val="5"/>
          <w:sz w:val="32"/>
          <w:szCs w:val="32"/>
          <w:highlight w:val="none"/>
          <w:lang w:val="en-US" w:eastAsia="zh-CN"/>
        </w:rPr>
        <w:t>优化资源配置，减少环境影响，构建高效、环保、安全的非煤矿山生产体系。牢固树立绿水青山就是金山银山的发展理念，严守生态保护红线、环境质量底线、资源利用上线，将生态文明建设要求融入非煤矿山发展中。加快绿色矿山建设，提升矿山绿色智能化水平，构建可持续的矿山开发模式。</w:t>
      </w:r>
    </w:p>
    <w:p w14:paraId="25C67F4B">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楷体"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问题导向，综合治理。</w:t>
      </w:r>
      <w:r>
        <w:rPr>
          <w:rFonts w:hint="default" w:ascii="Times New Roman" w:hAnsi="Times New Roman" w:eastAsia="仿宋_GB2312" w:cs="Times New Roman"/>
          <w:color w:val="auto"/>
          <w:spacing w:val="5"/>
          <w:sz w:val="32"/>
          <w:szCs w:val="32"/>
          <w:highlight w:val="none"/>
          <w:lang w:val="en-US" w:eastAsia="zh-CN"/>
        </w:rPr>
        <w:t>找准非煤矿产资源开发过程中的问题，深挖根源。根据非煤矿山开发利用和综合治理过程中存在的生态环境、安全生产条件等问题，加强综合治理、系统治理、源头治理，提升非煤矿山综合治理成效。</w:t>
      </w:r>
    </w:p>
    <w:p w14:paraId="6D125739">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楷体"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因地制宜，分类施策。</w:t>
      </w:r>
      <w:r>
        <w:rPr>
          <w:rFonts w:hint="default" w:ascii="Times New Roman" w:hAnsi="Times New Roman" w:eastAsia="仿宋_GB2312" w:cs="Times New Roman"/>
          <w:color w:val="auto"/>
          <w:spacing w:val="5"/>
          <w:sz w:val="32"/>
          <w:szCs w:val="32"/>
          <w:highlight w:val="none"/>
          <w:lang w:val="en-US" w:eastAsia="zh-CN"/>
        </w:rPr>
        <w:t>立足非煤矿山现状，统筹矿产种类、矿山规模、开采方式方法，兼顾非煤矿山综合治理的合理性和适用性，分区分类、因地制宜开展生产矿山综合治理，推进</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修复治理，使之与周边环境协调，达到经济、社会和环境效益相统一。</w:t>
      </w:r>
    </w:p>
    <w:p w14:paraId="033D8D04">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楷体"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节约集约，高效利用。</w:t>
      </w:r>
      <w:r>
        <w:rPr>
          <w:rFonts w:hint="default" w:ascii="Times New Roman" w:hAnsi="Times New Roman" w:eastAsia="仿宋_GB2312" w:cs="Times New Roman"/>
          <w:color w:val="auto"/>
          <w:spacing w:val="5"/>
          <w:sz w:val="32"/>
          <w:szCs w:val="32"/>
          <w:highlight w:val="none"/>
          <w:lang w:val="en-US" w:eastAsia="zh-CN"/>
        </w:rPr>
        <w:t>有效衔接国土空间总体规划，根据资源潜力、开发利用条件，优化非煤矿产资源开发利用布局，转变开发利用方式，节约集约利用，提高综合利用效率。</w:t>
      </w:r>
    </w:p>
    <w:p w14:paraId="3520221E">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楷体"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源头管控，强化监管。</w:t>
      </w:r>
      <w:r>
        <w:rPr>
          <w:rFonts w:hint="default" w:ascii="Times New Roman" w:hAnsi="Times New Roman" w:eastAsia="仿宋_GB2312" w:cs="Times New Roman"/>
          <w:color w:val="auto"/>
          <w:spacing w:val="5"/>
          <w:sz w:val="32"/>
          <w:szCs w:val="32"/>
          <w:highlight w:val="none"/>
          <w:lang w:val="en-US" w:eastAsia="zh-CN"/>
        </w:rPr>
        <w:t>完善非煤矿山管理制度体系，加强非煤矿山综合治理制度建设，强化协同监管力度，打击非法开采，规范非煤矿产开发秩序，提升非煤矿山的治理水平，加快构建“上下联动、横向联合”的监管格局。</w:t>
      </w:r>
    </w:p>
    <w:p w14:paraId="678AF404">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18" w:name="_Toc489"/>
      <w:bookmarkStart w:id="19" w:name="_Toc26094"/>
      <w:r>
        <w:rPr>
          <w:rFonts w:hint="default" w:ascii="Times New Roman" w:hAnsi="Times New Roman" w:eastAsia="黑体" w:cs="Times New Roman"/>
          <w:color w:val="auto"/>
          <w:spacing w:val="4"/>
          <w:sz w:val="32"/>
          <w:szCs w:val="32"/>
          <w:highlight w:val="none"/>
        </w:rPr>
        <w:t>第三节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规划目标</w:t>
      </w:r>
      <w:bookmarkEnd w:id="18"/>
      <w:bookmarkEnd w:id="19"/>
    </w:p>
    <w:p w14:paraId="342830CF">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eastAsia="zh-CN"/>
        </w:rPr>
      </w:pPr>
      <w:bookmarkStart w:id="20" w:name="_Toc50385295"/>
      <w:r>
        <w:rPr>
          <w:rFonts w:hint="default" w:ascii="Times New Roman" w:hAnsi="Times New Roman" w:eastAsia="仿宋_GB2312" w:cs="Times New Roman"/>
          <w:color w:val="auto"/>
          <w:spacing w:val="5"/>
          <w:sz w:val="32"/>
          <w:szCs w:val="32"/>
          <w:highlight w:val="none"/>
        </w:rPr>
        <w:t>到20</w:t>
      </w:r>
      <w:r>
        <w:rPr>
          <w:rFonts w:hint="default" w:ascii="Times New Roman" w:hAnsi="Times New Roman" w:eastAsia="仿宋_GB2312" w:cs="Times New Roman"/>
          <w:color w:val="auto"/>
          <w:spacing w:val="5"/>
          <w:sz w:val="32"/>
          <w:szCs w:val="32"/>
          <w:highlight w:val="none"/>
          <w:lang w:val="en-US" w:eastAsia="zh-CN"/>
        </w:rPr>
        <w:t>25</w:t>
      </w:r>
      <w:r>
        <w:rPr>
          <w:rFonts w:hint="default" w:ascii="Times New Roman" w:hAnsi="Times New Roman" w:eastAsia="仿宋_GB2312" w:cs="Times New Roman"/>
          <w:color w:val="auto"/>
          <w:spacing w:val="5"/>
          <w:sz w:val="32"/>
          <w:szCs w:val="32"/>
          <w:highlight w:val="none"/>
        </w:rPr>
        <w:t>年，</w:t>
      </w:r>
      <w:r>
        <w:rPr>
          <w:rFonts w:hint="default" w:ascii="Times New Roman" w:hAnsi="Times New Roman" w:eastAsia="仿宋_GB2312" w:cs="Times New Roman"/>
          <w:color w:val="auto"/>
          <w:spacing w:val="5"/>
          <w:sz w:val="32"/>
          <w:szCs w:val="32"/>
          <w:highlight w:val="none"/>
          <w:lang w:eastAsia="zh-CN"/>
        </w:rPr>
        <w:t>推进关闭矿山的修复治理工作；绿色矿山发展水平得到提升；矿山开采更加规范，信息化建设进一步加强；依托省矿产资源监管系统、地质环境监测系统和非煤矿山安全监测预警系统，强化日常监管，鹿泉区非煤矿山综合治理取得新成效。</w:t>
      </w:r>
    </w:p>
    <w:p w14:paraId="126A604B">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到2030年，关闭矿山的修复治理工作持续推进；非煤矿产开发规范有序，开发利用水平明显提高，矿山环境质量大幅提升，资源开发与区域发展、生态建设更加协调，矿山智能化、集约化、生态化水平达到一个新的高度；绿色矿山（非煤）发展模式全面形成。</w:t>
      </w:r>
    </w:p>
    <w:tbl>
      <w:tblPr>
        <w:tblStyle w:val="10"/>
        <w:tblW w:w="85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5"/>
        <w:gridCol w:w="2304"/>
        <w:gridCol w:w="997"/>
        <w:gridCol w:w="1290"/>
        <w:gridCol w:w="1492"/>
        <w:gridCol w:w="1432"/>
      </w:tblGrid>
      <w:tr w14:paraId="2A6818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520" w:type="dxa"/>
            <w:gridSpan w:val="6"/>
            <w:vAlign w:val="center"/>
          </w:tcPr>
          <w:p w14:paraId="5543958E">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专栏2   非煤矿山综合治理规划主要指标</w:t>
            </w:r>
          </w:p>
        </w:tc>
      </w:tr>
      <w:tr w14:paraId="233CD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Merge w:val="restart"/>
            <w:vAlign w:val="center"/>
          </w:tcPr>
          <w:p w14:paraId="69C0C7A4">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指标类别</w:t>
            </w:r>
          </w:p>
        </w:tc>
        <w:tc>
          <w:tcPr>
            <w:tcW w:w="2304" w:type="dxa"/>
            <w:vMerge w:val="restart"/>
            <w:vAlign w:val="center"/>
          </w:tcPr>
          <w:p w14:paraId="7A8A0F2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具体内容</w:t>
            </w:r>
          </w:p>
        </w:tc>
        <w:tc>
          <w:tcPr>
            <w:tcW w:w="997" w:type="dxa"/>
            <w:vMerge w:val="restart"/>
            <w:vAlign w:val="center"/>
          </w:tcPr>
          <w:p w14:paraId="7B467A5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指标单位</w:t>
            </w:r>
          </w:p>
        </w:tc>
        <w:tc>
          <w:tcPr>
            <w:tcW w:w="2782" w:type="dxa"/>
            <w:gridSpan w:val="2"/>
            <w:vAlign w:val="center"/>
          </w:tcPr>
          <w:p w14:paraId="3C750C76">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目标</w:t>
            </w:r>
          </w:p>
        </w:tc>
        <w:tc>
          <w:tcPr>
            <w:tcW w:w="1432" w:type="dxa"/>
            <w:vMerge w:val="restart"/>
            <w:vAlign w:val="center"/>
          </w:tcPr>
          <w:p w14:paraId="24D400E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目标</w:t>
            </w:r>
          </w:p>
          <w:p w14:paraId="43785F21">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属性</w:t>
            </w:r>
          </w:p>
        </w:tc>
      </w:tr>
      <w:tr w14:paraId="4BE6C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Merge w:val="continue"/>
            <w:vAlign w:val="center"/>
          </w:tcPr>
          <w:p w14:paraId="263942F2">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2304" w:type="dxa"/>
            <w:vMerge w:val="continue"/>
            <w:vAlign w:val="center"/>
          </w:tcPr>
          <w:p w14:paraId="37EF30A9">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997" w:type="dxa"/>
            <w:vMerge w:val="continue"/>
            <w:vAlign w:val="center"/>
          </w:tcPr>
          <w:p w14:paraId="787900BC">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1290" w:type="dxa"/>
            <w:vAlign w:val="center"/>
          </w:tcPr>
          <w:p w14:paraId="0203F03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2025</w:t>
            </w:r>
          </w:p>
        </w:tc>
        <w:tc>
          <w:tcPr>
            <w:tcW w:w="1492" w:type="dxa"/>
            <w:vAlign w:val="center"/>
          </w:tcPr>
          <w:p w14:paraId="14347BCE">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b/>
                <w:bCs/>
                <w:color w:val="auto"/>
                <w:spacing w:val="4"/>
                <w:sz w:val="28"/>
                <w:szCs w:val="28"/>
                <w:highlight w:val="none"/>
                <w:vertAlign w:val="baseline"/>
                <w:lang w:val="en-US" w:eastAsia="zh-CN"/>
              </w:rPr>
            </w:pPr>
            <w:r>
              <w:rPr>
                <w:rFonts w:hint="default" w:ascii="Times New Roman" w:hAnsi="Times New Roman" w:eastAsia="仿宋_GB2312" w:cs="Times New Roman"/>
                <w:b/>
                <w:bCs/>
                <w:color w:val="auto"/>
                <w:spacing w:val="4"/>
                <w:sz w:val="28"/>
                <w:szCs w:val="28"/>
                <w:highlight w:val="none"/>
                <w:vertAlign w:val="baseline"/>
                <w:lang w:val="en-US" w:eastAsia="zh-CN"/>
              </w:rPr>
              <w:t>2030</w:t>
            </w:r>
          </w:p>
        </w:tc>
        <w:tc>
          <w:tcPr>
            <w:tcW w:w="1432" w:type="dxa"/>
            <w:vMerge w:val="continue"/>
            <w:vAlign w:val="center"/>
          </w:tcPr>
          <w:p w14:paraId="09428C69">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2AB411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Merge w:val="restart"/>
            <w:vAlign w:val="center"/>
          </w:tcPr>
          <w:p w14:paraId="37FF8F4F">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生态环境</w:t>
            </w:r>
          </w:p>
        </w:tc>
        <w:tc>
          <w:tcPr>
            <w:tcW w:w="2304" w:type="dxa"/>
            <w:vMerge w:val="restart"/>
            <w:vAlign w:val="center"/>
          </w:tcPr>
          <w:p w14:paraId="6B747B34">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历史遗留矿山治理任务</w:t>
            </w:r>
          </w:p>
        </w:tc>
        <w:tc>
          <w:tcPr>
            <w:tcW w:w="997" w:type="dxa"/>
            <w:vAlign w:val="center"/>
          </w:tcPr>
          <w:p w14:paraId="7D317E40">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处</w:t>
            </w:r>
          </w:p>
        </w:tc>
        <w:tc>
          <w:tcPr>
            <w:tcW w:w="1290" w:type="dxa"/>
            <w:vAlign w:val="center"/>
          </w:tcPr>
          <w:p w14:paraId="7D4E1835">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18</w:t>
            </w:r>
          </w:p>
        </w:tc>
        <w:tc>
          <w:tcPr>
            <w:tcW w:w="1492" w:type="dxa"/>
            <w:vMerge w:val="restart"/>
            <w:vAlign w:val="center"/>
          </w:tcPr>
          <w:p w14:paraId="37B8521B">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国家下达</w:t>
            </w:r>
          </w:p>
        </w:tc>
        <w:tc>
          <w:tcPr>
            <w:tcW w:w="1432" w:type="dxa"/>
            <w:vMerge w:val="restart"/>
            <w:vAlign w:val="center"/>
          </w:tcPr>
          <w:p w14:paraId="2150475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预期性</w:t>
            </w:r>
          </w:p>
        </w:tc>
      </w:tr>
      <w:tr w14:paraId="63641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Merge w:val="continue"/>
            <w:vAlign w:val="center"/>
          </w:tcPr>
          <w:p w14:paraId="60BA3E8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2304" w:type="dxa"/>
            <w:vMerge w:val="continue"/>
            <w:vAlign w:val="center"/>
          </w:tcPr>
          <w:p w14:paraId="42A71084">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997" w:type="dxa"/>
            <w:vAlign w:val="center"/>
          </w:tcPr>
          <w:p w14:paraId="2D1FD4AD">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亩</w:t>
            </w:r>
          </w:p>
        </w:tc>
        <w:tc>
          <w:tcPr>
            <w:tcW w:w="1290" w:type="dxa"/>
            <w:vAlign w:val="center"/>
          </w:tcPr>
          <w:p w14:paraId="1A45D9E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573.30</w:t>
            </w:r>
          </w:p>
        </w:tc>
        <w:tc>
          <w:tcPr>
            <w:tcW w:w="1492" w:type="dxa"/>
            <w:vMerge w:val="continue"/>
            <w:vAlign w:val="center"/>
          </w:tcPr>
          <w:p w14:paraId="309AE865">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1432" w:type="dxa"/>
            <w:vMerge w:val="continue"/>
            <w:vAlign w:val="center"/>
          </w:tcPr>
          <w:p w14:paraId="4A022691">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456C78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Align w:val="center"/>
          </w:tcPr>
          <w:p w14:paraId="1F0EE983">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资源利用</w:t>
            </w:r>
          </w:p>
        </w:tc>
        <w:tc>
          <w:tcPr>
            <w:tcW w:w="2304" w:type="dxa"/>
            <w:vAlign w:val="center"/>
          </w:tcPr>
          <w:p w14:paraId="6499E4DA">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大中型矿山</w:t>
            </w:r>
            <w:r>
              <w:rPr>
                <w:rFonts w:hint="default" w:ascii="Times New Roman" w:hAnsi="Times New Roman" w:eastAsia="仿宋_GB2312" w:cs="Times New Roman"/>
                <w:color w:val="auto"/>
                <w:spacing w:val="4"/>
                <w:sz w:val="28"/>
                <w:szCs w:val="28"/>
                <w:highlight w:val="none"/>
                <w:vertAlign w:val="baseline"/>
                <w:lang w:val="en-US" w:eastAsia="zh-CN"/>
              </w:rPr>
              <w:t>比例</w:t>
            </w:r>
          </w:p>
        </w:tc>
        <w:tc>
          <w:tcPr>
            <w:tcW w:w="997" w:type="dxa"/>
            <w:vAlign w:val="center"/>
          </w:tcPr>
          <w:p w14:paraId="411511CE">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w:t>
            </w:r>
          </w:p>
        </w:tc>
        <w:tc>
          <w:tcPr>
            <w:tcW w:w="1290" w:type="dxa"/>
            <w:vAlign w:val="center"/>
          </w:tcPr>
          <w:p w14:paraId="60609747">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100</w:t>
            </w:r>
          </w:p>
        </w:tc>
        <w:tc>
          <w:tcPr>
            <w:tcW w:w="1492" w:type="dxa"/>
            <w:vAlign w:val="center"/>
          </w:tcPr>
          <w:p w14:paraId="10A536AB">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100</w:t>
            </w:r>
          </w:p>
        </w:tc>
        <w:tc>
          <w:tcPr>
            <w:tcW w:w="1432" w:type="dxa"/>
            <w:vAlign w:val="center"/>
          </w:tcPr>
          <w:p w14:paraId="39DEF621">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预期性</w:t>
            </w:r>
          </w:p>
        </w:tc>
      </w:tr>
      <w:tr w14:paraId="272E9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Align w:val="center"/>
          </w:tcPr>
          <w:p w14:paraId="1CBDF745">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绿色矿山</w:t>
            </w:r>
          </w:p>
        </w:tc>
        <w:tc>
          <w:tcPr>
            <w:tcW w:w="2304" w:type="dxa"/>
            <w:vAlign w:val="center"/>
          </w:tcPr>
          <w:p w14:paraId="36A28B84">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生产矿山</w:t>
            </w:r>
            <w:r>
              <w:rPr>
                <w:rFonts w:hint="default" w:ascii="Times New Roman" w:hAnsi="Times New Roman" w:eastAsia="仿宋_GB2312" w:cs="Times New Roman"/>
                <w:color w:val="auto"/>
                <w:spacing w:val="4"/>
                <w:sz w:val="28"/>
                <w:szCs w:val="28"/>
                <w:highlight w:val="none"/>
                <w:vertAlign w:val="baseline"/>
                <w:lang w:val="en-US" w:eastAsia="zh-CN"/>
              </w:rPr>
              <w:t>占比</w:t>
            </w:r>
          </w:p>
        </w:tc>
        <w:tc>
          <w:tcPr>
            <w:tcW w:w="997" w:type="dxa"/>
            <w:vAlign w:val="center"/>
          </w:tcPr>
          <w:p w14:paraId="4996C84B">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w:t>
            </w:r>
          </w:p>
        </w:tc>
        <w:tc>
          <w:tcPr>
            <w:tcW w:w="1290" w:type="dxa"/>
            <w:vAlign w:val="center"/>
          </w:tcPr>
          <w:p w14:paraId="4185E9C1">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50</w:t>
            </w:r>
          </w:p>
        </w:tc>
        <w:tc>
          <w:tcPr>
            <w:tcW w:w="1492" w:type="dxa"/>
            <w:vAlign w:val="center"/>
          </w:tcPr>
          <w:p w14:paraId="317D417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eastAsia" w:ascii="Times New Roman" w:hAnsi="Times New Roman" w:eastAsia="仿宋_GB2312" w:cs="Times New Roman"/>
                <w:color w:val="auto"/>
                <w:spacing w:val="4"/>
                <w:sz w:val="28"/>
                <w:szCs w:val="28"/>
                <w:highlight w:val="none"/>
                <w:vertAlign w:val="baseline"/>
                <w:lang w:val="en-US" w:eastAsia="zh-CN"/>
              </w:rPr>
              <w:t>60</w:t>
            </w:r>
          </w:p>
        </w:tc>
        <w:tc>
          <w:tcPr>
            <w:tcW w:w="1432" w:type="dxa"/>
            <w:vAlign w:val="center"/>
          </w:tcPr>
          <w:p w14:paraId="2D7A9BC1">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预期性</w:t>
            </w:r>
          </w:p>
        </w:tc>
      </w:tr>
      <w:tr w14:paraId="773EE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005" w:type="dxa"/>
            <w:vAlign w:val="center"/>
          </w:tcPr>
          <w:p w14:paraId="106C1B8C">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安全生产</w:t>
            </w:r>
          </w:p>
        </w:tc>
        <w:tc>
          <w:tcPr>
            <w:tcW w:w="2304" w:type="dxa"/>
            <w:vAlign w:val="center"/>
          </w:tcPr>
          <w:p w14:paraId="6CB0F9AC">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重特大生产安全事故起数</w:t>
            </w:r>
          </w:p>
        </w:tc>
        <w:tc>
          <w:tcPr>
            <w:tcW w:w="997" w:type="dxa"/>
            <w:vAlign w:val="center"/>
          </w:tcPr>
          <w:p w14:paraId="33A1CACB">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1290" w:type="dxa"/>
            <w:vAlign w:val="center"/>
          </w:tcPr>
          <w:p w14:paraId="66B84088">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有效</w:t>
            </w:r>
          </w:p>
          <w:p w14:paraId="4C96CAFA">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遏制</w:t>
            </w:r>
          </w:p>
        </w:tc>
        <w:tc>
          <w:tcPr>
            <w:tcW w:w="1492" w:type="dxa"/>
            <w:vAlign w:val="center"/>
          </w:tcPr>
          <w:p w14:paraId="542F862C">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有效</w:t>
            </w:r>
          </w:p>
          <w:p w14:paraId="0337D800">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遏制</w:t>
            </w:r>
          </w:p>
        </w:tc>
        <w:tc>
          <w:tcPr>
            <w:tcW w:w="1432" w:type="dxa"/>
            <w:vAlign w:val="center"/>
          </w:tcPr>
          <w:p w14:paraId="60221FF6">
            <w:pPr>
              <w:keepNext w:val="0"/>
              <w:keepLines w:val="0"/>
              <w:pageBreakBefore w:val="0"/>
              <w:widowControl/>
              <w:kinsoku/>
              <w:wordWrap/>
              <w:overflowPunct/>
              <w:topLinePunct w:val="0"/>
              <w:autoSpaceDE w:val="0"/>
              <w:autoSpaceDN w:val="0"/>
              <w:bidi w:val="0"/>
              <w:adjustRightInd w:val="0"/>
              <w:snapToGrid w:val="0"/>
              <w:spacing w:before="101" w:line="240" w:lineRule="auto"/>
              <w:jc w:val="center"/>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约束性</w:t>
            </w:r>
          </w:p>
        </w:tc>
      </w:tr>
      <w:bookmarkEnd w:id="20"/>
    </w:tbl>
    <w:p w14:paraId="11018024">
      <w:pPr>
        <w:keepNext w:val="0"/>
        <w:keepLines w:val="0"/>
        <w:pageBreakBefore w:val="0"/>
        <w:widowControl/>
        <w:kinsoku/>
        <w:wordWrap/>
        <w:overflowPunct/>
        <w:topLinePunct w:val="0"/>
        <w:autoSpaceDE w:val="0"/>
        <w:autoSpaceDN w:val="0"/>
        <w:bidi w:val="0"/>
        <w:adjustRightInd w:val="0"/>
        <w:snapToGrid w:val="0"/>
        <w:spacing w:line="240" w:lineRule="auto"/>
        <w:ind w:left="0" w:right="0" w:firstLine="420" w:firstLineChars="200"/>
        <w:textAlignment w:val="baseline"/>
        <w:rPr>
          <w:rFonts w:hint="default" w:ascii="Times New Roman" w:hAnsi="Times New Roman" w:cs="Times New Roman"/>
          <w:color w:val="auto"/>
          <w:highlight w:val="none"/>
        </w:rPr>
        <w:sectPr>
          <w:footerReference r:id="rId11" w:type="default"/>
          <w:pgSz w:w="11906" w:h="16839"/>
          <w:pgMar w:top="1431" w:right="1640" w:bottom="1556" w:left="1752" w:header="0" w:footer="1303" w:gutter="0"/>
          <w:pgNumType w:fmt="decimal"/>
          <w:cols w:space="720" w:num="1"/>
        </w:sectPr>
      </w:pPr>
    </w:p>
    <w:p w14:paraId="0FB39C69">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21" w:name="_Toc959"/>
      <w:bookmarkStart w:id="22" w:name="_Toc26540"/>
      <w:r>
        <w:rPr>
          <w:rFonts w:hint="default" w:ascii="Times New Roman" w:hAnsi="Times New Roman" w:eastAsia="方正小标宋_GBK" w:cs="Times New Roman"/>
          <w:b w:val="0"/>
          <w:bCs w:val="0"/>
          <w:color w:val="auto"/>
          <w:spacing w:val="5"/>
          <w:sz w:val="43"/>
          <w:szCs w:val="43"/>
          <w:highlight w:val="none"/>
        </w:rPr>
        <w:t>第三章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构建非煤矿山综合治理格局</w:t>
      </w:r>
      <w:bookmarkEnd w:id="21"/>
      <w:bookmarkEnd w:id="22"/>
    </w:p>
    <w:p w14:paraId="2088C7DB">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立足生态文明建设总体要求，依据矿产资源禀赋条件、矿山开发现状、环境承载能力和经济社会发展需要，衔接国土空间、矿产资源、生态保护等规划，构建鹿泉区太行山非煤矿山综合合理新格局，坚持开发中保护，保护中开发，实现资源开发和生态环境保护有机统一。</w:t>
      </w:r>
    </w:p>
    <w:p w14:paraId="466B7932">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lang w:val="en-US" w:eastAsia="zh-CN"/>
        </w:rPr>
      </w:pPr>
      <w:bookmarkStart w:id="23" w:name="_Toc16787"/>
      <w:bookmarkStart w:id="24" w:name="_Toc20986"/>
      <w:r>
        <w:rPr>
          <w:rFonts w:hint="default" w:ascii="Times New Roman" w:hAnsi="Times New Roman" w:eastAsia="黑体" w:cs="Times New Roman"/>
          <w:color w:val="auto"/>
          <w:spacing w:val="4"/>
          <w:sz w:val="32"/>
          <w:szCs w:val="32"/>
          <w:highlight w:val="none"/>
          <w:lang w:eastAsia="zh-CN"/>
        </w:rPr>
        <w:t>第一节</w:t>
      </w:r>
      <w:r>
        <w:rPr>
          <w:rFonts w:hint="default" w:ascii="Times New Roman" w:hAnsi="Times New Roman" w:eastAsia="黑体" w:cs="Times New Roman"/>
          <w:color w:val="auto"/>
          <w:spacing w:val="4"/>
          <w:sz w:val="32"/>
          <w:szCs w:val="32"/>
          <w:highlight w:val="none"/>
          <w:lang w:val="en-US" w:eastAsia="zh-CN"/>
        </w:rPr>
        <w:t xml:space="preserve">  总体格局</w:t>
      </w:r>
      <w:bookmarkEnd w:id="23"/>
    </w:p>
    <w:p w14:paraId="61AC04D1">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鹿泉区内非煤矿山、</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分布都较为集中。非煤矿山主要集中分布于宜安镇东焦村南、大河镇山前村一带，</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主要分布于宜安镇东焦村南、石井乡山。根据非煤矿山及</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分布位置结合国土空间规划等，围绕“一区一带多点”的格局，将非煤矿山综合治理格局规划分为三个区：</w:t>
      </w:r>
    </w:p>
    <w:p w14:paraId="7227CCA0">
      <w:pPr>
        <w:keepNext w:val="0"/>
        <w:keepLines w:val="0"/>
        <w:pageBreakBefore w:val="0"/>
        <w:widowControl w:val="0"/>
        <w:kinsoku/>
        <w:wordWrap/>
        <w:overflowPunct/>
        <w:topLinePunct w:val="0"/>
        <w:autoSpaceDE/>
        <w:autoSpaceDN/>
        <w:bidi w:val="0"/>
        <w:adjustRightInd w:val="0"/>
        <w:snapToGrid w:val="0"/>
        <w:spacing w:line="360" w:lineRule="auto"/>
        <w:ind w:firstLine="644"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一区：</w:t>
      </w:r>
      <w:r>
        <w:rPr>
          <w:rFonts w:hint="default" w:ascii="Times New Roman" w:hAnsi="Times New Roman" w:eastAsia="仿宋_GB2312" w:cs="Times New Roman"/>
          <w:color w:val="auto"/>
          <w:spacing w:val="5"/>
          <w:sz w:val="32"/>
          <w:szCs w:val="32"/>
          <w:highlight w:val="none"/>
          <w:lang w:val="en-US" w:eastAsia="zh-CN"/>
        </w:rPr>
        <w:t>大河镇山前村西侧分布的2个大型露天非煤矿山。该区域为鹿泉五岔口-小栈道村水泥用灰岩重点发展区。发挥行业主导作用，推进水平分层法开采，加强先进技术装备应用，严格落实矿山地质环境保护与土地复垦方案，推动矿山实现“边开采、边治理、边恢复”，改善矿区环境质量。</w:t>
      </w:r>
    </w:p>
    <w:p w14:paraId="4E516CDC">
      <w:pPr>
        <w:keepNext w:val="0"/>
        <w:keepLines w:val="0"/>
        <w:pageBreakBefore w:val="0"/>
        <w:widowControl w:val="0"/>
        <w:kinsoku/>
        <w:wordWrap/>
        <w:overflowPunct/>
        <w:topLinePunct w:val="0"/>
        <w:autoSpaceDE/>
        <w:autoSpaceDN/>
        <w:bidi w:val="0"/>
        <w:adjustRightInd w:val="0"/>
        <w:snapToGrid w:val="0"/>
        <w:spacing w:line="360" w:lineRule="auto"/>
        <w:ind w:firstLine="644"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一带：</w:t>
      </w:r>
      <w:r>
        <w:rPr>
          <w:rFonts w:hint="default" w:ascii="Times New Roman" w:hAnsi="Times New Roman" w:eastAsia="仿宋_GB2312" w:cs="Times New Roman"/>
          <w:color w:val="auto"/>
          <w:spacing w:val="5"/>
          <w:sz w:val="32"/>
          <w:szCs w:val="32"/>
          <w:highlight w:val="none"/>
          <w:lang w:val="en-US" w:eastAsia="zh-CN"/>
        </w:rPr>
        <w:t>太行山生态带周边分布的2个大型露天非煤矿山和13处</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该区域紧邻太行山生态带，区内有鹿泉东焦水泥用灰岩重点发展区分布。非煤矿山需发挥行业主导作用，推进水平分层法开采，加强先进技术装备应用，严格落实矿山地质环境保护与土地复垦方案，推动矿山实现“边开采、边治理、边恢复”，改善矿区环境质量；选择合适的治理方式，科学布局、有序推进</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的治理工作，改善区域生态环境。</w:t>
      </w:r>
    </w:p>
    <w:p w14:paraId="5552E496">
      <w:pPr>
        <w:keepNext w:val="0"/>
        <w:keepLines w:val="0"/>
        <w:pageBreakBefore w:val="0"/>
        <w:widowControl w:val="0"/>
        <w:kinsoku/>
        <w:wordWrap/>
        <w:overflowPunct/>
        <w:topLinePunct w:val="0"/>
        <w:autoSpaceDE/>
        <w:autoSpaceDN/>
        <w:bidi w:val="0"/>
        <w:adjustRightInd w:val="0"/>
        <w:snapToGrid w:val="0"/>
        <w:spacing w:line="360" w:lineRule="auto"/>
        <w:ind w:firstLine="644"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多点：</w:t>
      </w:r>
      <w:r>
        <w:rPr>
          <w:rFonts w:hint="default" w:ascii="Times New Roman" w:hAnsi="Times New Roman" w:eastAsia="仿宋_GB2312" w:cs="Times New Roman"/>
          <w:color w:val="auto"/>
          <w:spacing w:val="5"/>
          <w:sz w:val="32"/>
          <w:szCs w:val="32"/>
          <w:highlight w:val="none"/>
          <w:lang w:val="en-US" w:eastAsia="zh-CN"/>
        </w:rPr>
        <w:t>为零星分布的</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，共5处。选择合适的治理方式，科学布局、有序推进</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的治理工作，改善区域生态环境。</w:t>
      </w:r>
    </w:p>
    <w:p w14:paraId="4B66821F">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lang w:val="en-US" w:eastAsia="zh-CN"/>
        </w:rPr>
      </w:pPr>
      <w:bookmarkStart w:id="25" w:name="_Toc10472"/>
      <w:r>
        <w:rPr>
          <w:rFonts w:hint="default" w:ascii="Times New Roman" w:hAnsi="Times New Roman" w:eastAsia="黑体" w:cs="Times New Roman"/>
          <w:color w:val="auto"/>
          <w:spacing w:val="4"/>
          <w:sz w:val="32"/>
          <w:szCs w:val="32"/>
          <w:highlight w:val="none"/>
          <w:lang w:eastAsia="zh-CN"/>
        </w:rPr>
        <w:t>第</w:t>
      </w:r>
      <w:r>
        <w:rPr>
          <w:rFonts w:hint="default" w:ascii="Times New Roman" w:hAnsi="Times New Roman" w:eastAsia="黑体" w:cs="Times New Roman"/>
          <w:color w:val="auto"/>
          <w:spacing w:val="4"/>
          <w:sz w:val="32"/>
          <w:szCs w:val="32"/>
          <w:highlight w:val="none"/>
          <w:lang w:val="en-US" w:eastAsia="zh-CN"/>
        </w:rPr>
        <w:t>二</w:t>
      </w:r>
      <w:r>
        <w:rPr>
          <w:rFonts w:hint="default" w:ascii="Times New Roman" w:hAnsi="Times New Roman" w:eastAsia="黑体" w:cs="Times New Roman"/>
          <w:color w:val="auto"/>
          <w:spacing w:val="4"/>
          <w:sz w:val="32"/>
          <w:szCs w:val="32"/>
          <w:highlight w:val="none"/>
          <w:lang w:eastAsia="zh-CN"/>
        </w:rPr>
        <w:t>节</w:t>
      </w:r>
      <w:bookmarkEnd w:id="24"/>
      <w:r>
        <w:rPr>
          <w:rFonts w:hint="default" w:ascii="Times New Roman" w:hAnsi="Times New Roman" w:eastAsia="黑体" w:cs="Times New Roman"/>
          <w:color w:val="auto"/>
          <w:spacing w:val="4"/>
          <w:sz w:val="32"/>
          <w:szCs w:val="32"/>
          <w:highlight w:val="none"/>
          <w:lang w:val="en-US" w:eastAsia="zh-CN"/>
        </w:rPr>
        <w:t xml:space="preserve">  治理分区</w:t>
      </w:r>
      <w:bookmarkEnd w:id="25"/>
    </w:p>
    <w:p w14:paraId="3F980490">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在“一区一带多点”的治理格局下，根据鹿泉区非煤矿山、</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的集中分布情况，划定宜安镇东焦村水泥用石灰岩集中治理区、大河镇五岔口-小栈道村水泥用石灰岩集中治理区。</w:t>
      </w:r>
    </w:p>
    <w:p w14:paraId="04F195B0">
      <w:pPr>
        <w:keepNext w:val="0"/>
        <w:keepLines w:val="0"/>
        <w:pageBreakBefore w:val="0"/>
        <w:widowControl w:val="0"/>
        <w:kinsoku/>
        <w:wordWrap/>
        <w:overflowPunct/>
        <w:topLinePunct w:val="0"/>
        <w:autoSpaceDE/>
        <w:autoSpaceDN/>
        <w:bidi w:val="0"/>
        <w:adjustRightInd w:val="0"/>
        <w:snapToGrid w:val="0"/>
        <w:spacing w:line="360" w:lineRule="auto"/>
        <w:ind w:firstLine="644"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宜安镇东焦村水泥用石灰岩集中治理区：</w:t>
      </w:r>
      <w:r>
        <w:rPr>
          <w:rFonts w:hint="default" w:ascii="Times New Roman" w:hAnsi="Times New Roman" w:eastAsia="仿宋_GB2312" w:cs="Times New Roman"/>
          <w:color w:val="auto"/>
          <w:spacing w:val="5"/>
          <w:sz w:val="32"/>
          <w:szCs w:val="32"/>
          <w:highlight w:val="none"/>
          <w:lang w:val="en-US" w:eastAsia="zh-CN"/>
        </w:rPr>
        <w:t>该区域非煤矿山、</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比较集中，且紧邻太行山生态带，是鹿泉东焦水泥用灰岩重点发展区。区内分布有1个非煤矿山和7处</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。在进行矿产资源开发利用的同时，坚持以生态环境保护优先，积极推进</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、非煤矿山的生态修复工作，提升矿山植被覆盖率。</w:t>
      </w:r>
    </w:p>
    <w:p w14:paraId="6FC37968">
      <w:pPr>
        <w:keepNext w:val="0"/>
        <w:keepLines w:val="0"/>
        <w:pageBreakBefore w:val="0"/>
        <w:widowControl w:val="0"/>
        <w:kinsoku/>
        <w:wordWrap/>
        <w:overflowPunct/>
        <w:topLinePunct w:val="0"/>
        <w:autoSpaceDE/>
        <w:autoSpaceDN/>
        <w:bidi w:val="0"/>
        <w:adjustRightInd w:val="0"/>
        <w:snapToGrid w:val="0"/>
        <w:spacing w:line="360" w:lineRule="auto"/>
        <w:ind w:firstLine="644"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大河镇五岔口-小栈道村水泥用石灰岩集中治理区：</w:t>
      </w:r>
      <w:r>
        <w:rPr>
          <w:rFonts w:hint="default" w:ascii="Times New Roman" w:hAnsi="Times New Roman" w:eastAsia="仿宋_GB2312" w:cs="Times New Roman"/>
          <w:color w:val="auto"/>
          <w:spacing w:val="5"/>
          <w:sz w:val="32"/>
          <w:szCs w:val="32"/>
          <w:highlight w:val="none"/>
          <w:lang w:val="en-US" w:eastAsia="zh-CN"/>
        </w:rPr>
        <w:t>区内分布有2个非煤矿山，矿山规模均为大型。在努力推动非煤矿山发展的同时，积极引导非煤矿山开展提升矿山开发利用水平、提高非煤矿山生态修复能力，推进非煤矿山落实水平分层开采法（“横切”式），加强对矿山开发利用水平、矿山生态修复治理的监管。</w:t>
      </w:r>
    </w:p>
    <w:tbl>
      <w:tblPr>
        <w:tblStyle w:val="9"/>
        <w:tblW w:w="4998"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931"/>
        <w:gridCol w:w="7222"/>
      </w:tblGrid>
      <w:tr w14:paraId="08FE0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9" w:hRule="atLeast"/>
          <w:jc w:val="center"/>
        </w:trPr>
        <w:tc>
          <w:tcPr>
            <w:tcW w:w="5000"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B15850">
            <w:pPr>
              <w:keepNext w:val="0"/>
              <w:keepLines w:val="0"/>
              <w:widowControl/>
              <w:suppressLineNumbers w:val="0"/>
              <w:spacing w:line="240" w:lineRule="auto"/>
              <w:jc w:val="center"/>
              <w:textAlignment w:val="center"/>
              <w:rPr>
                <w:rFonts w:hint="default" w:ascii="Times New Roman" w:hAnsi="Times New Roman" w:eastAsia="仿宋_GB2312" w:cs="Times New Roman"/>
                <w:b/>
                <w:bCs/>
                <w:i w:val="0"/>
                <w:iCs w:val="0"/>
                <w:snapToGrid w:val="0"/>
                <w:color w:val="auto"/>
                <w:kern w:val="0"/>
                <w:sz w:val="28"/>
                <w:szCs w:val="28"/>
                <w:highlight w:val="none"/>
                <w:u w:val="none"/>
                <w:lang w:val="en-US" w:eastAsia="zh-CN" w:bidi="ar"/>
              </w:rPr>
            </w:pPr>
            <w:r>
              <w:rPr>
                <w:rFonts w:hint="default" w:ascii="Times New Roman" w:hAnsi="Times New Roman" w:eastAsia="仿宋_GB2312" w:cs="Times New Roman"/>
                <w:b/>
                <w:bCs/>
                <w:color w:val="auto"/>
                <w:spacing w:val="4"/>
                <w:sz w:val="28"/>
                <w:szCs w:val="28"/>
                <w:highlight w:val="none"/>
                <w:vertAlign w:val="baseline"/>
                <w:lang w:val="en-US" w:eastAsia="zh-CN"/>
              </w:rPr>
              <w:t>专栏3   非煤矿山集中治理区</w:t>
            </w:r>
          </w:p>
        </w:tc>
      </w:tr>
      <w:tr w14:paraId="39739D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9" w:hRule="atLeast"/>
          <w:jc w:val="center"/>
        </w:trPr>
        <w:tc>
          <w:tcPr>
            <w:tcW w:w="10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9C19E0">
            <w:pPr>
              <w:keepNext w:val="0"/>
              <w:keepLines w:val="0"/>
              <w:widowControl/>
              <w:suppressLineNumbers w:val="0"/>
              <w:spacing w:line="240" w:lineRule="auto"/>
              <w:jc w:val="center"/>
              <w:textAlignment w:val="center"/>
              <w:rPr>
                <w:rFonts w:hint="default" w:ascii="Times New Roman" w:hAnsi="Times New Roman" w:eastAsia="仿宋_GB2312" w:cs="Times New Roman"/>
                <w:b/>
                <w:bCs/>
                <w:i w:val="0"/>
                <w:iCs w:val="0"/>
                <w:color w:val="auto"/>
                <w:sz w:val="28"/>
                <w:szCs w:val="28"/>
                <w:highlight w:val="none"/>
                <w:u w:val="none"/>
              </w:rPr>
            </w:pPr>
            <w:r>
              <w:rPr>
                <w:rFonts w:hint="default" w:ascii="Times New Roman" w:hAnsi="Times New Roman" w:eastAsia="仿宋_GB2312" w:cs="Times New Roman"/>
                <w:b/>
                <w:bCs/>
                <w:i w:val="0"/>
                <w:iCs w:val="0"/>
                <w:snapToGrid w:val="0"/>
                <w:color w:val="auto"/>
                <w:kern w:val="0"/>
                <w:sz w:val="28"/>
                <w:szCs w:val="28"/>
                <w:highlight w:val="none"/>
                <w:u w:val="none"/>
                <w:lang w:val="en-US" w:eastAsia="zh-CN" w:bidi="ar"/>
              </w:rPr>
              <w:t>区域名称</w:t>
            </w:r>
          </w:p>
        </w:tc>
        <w:tc>
          <w:tcPr>
            <w:tcW w:w="394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04922F">
            <w:pPr>
              <w:keepNext w:val="0"/>
              <w:keepLines w:val="0"/>
              <w:widowControl/>
              <w:suppressLineNumbers w:val="0"/>
              <w:spacing w:line="240" w:lineRule="auto"/>
              <w:jc w:val="center"/>
              <w:textAlignment w:val="center"/>
              <w:rPr>
                <w:rFonts w:hint="default" w:ascii="Times New Roman" w:hAnsi="Times New Roman" w:eastAsia="仿宋_GB2312" w:cs="Times New Roman"/>
                <w:b/>
                <w:bCs/>
                <w:i w:val="0"/>
                <w:iCs w:val="0"/>
                <w:color w:val="auto"/>
                <w:sz w:val="28"/>
                <w:szCs w:val="28"/>
                <w:highlight w:val="none"/>
                <w:u w:val="none"/>
              </w:rPr>
            </w:pPr>
            <w:r>
              <w:rPr>
                <w:rFonts w:hint="default" w:ascii="Times New Roman" w:hAnsi="Times New Roman" w:eastAsia="仿宋_GB2312" w:cs="Times New Roman"/>
                <w:b/>
                <w:bCs/>
                <w:i w:val="0"/>
                <w:iCs w:val="0"/>
                <w:snapToGrid w:val="0"/>
                <w:color w:val="auto"/>
                <w:kern w:val="0"/>
                <w:sz w:val="28"/>
                <w:szCs w:val="28"/>
                <w:highlight w:val="none"/>
                <w:u w:val="none"/>
                <w:lang w:val="en-US" w:eastAsia="zh-CN" w:bidi="ar"/>
              </w:rPr>
              <w:t>分区简述</w:t>
            </w:r>
          </w:p>
        </w:tc>
      </w:tr>
      <w:tr w14:paraId="7503BC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restart"/>
            <w:tcBorders>
              <w:top w:val="single" w:color="000000" w:sz="4" w:space="0"/>
              <w:left w:val="single" w:color="000000" w:sz="4" w:space="0"/>
              <w:right w:val="single" w:color="000000" w:sz="4" w:space="0"/>
            </w:tcBorders>
            <w:shd w:val="clear" w:color="auto" w:fill="auto"/>
            <w:vAlign w:val="center"/>
          </w:tcPr>
          <w:p w14:paraId="73D2F44A">
            <w:pPr>
              <w:keepNext w:val="0"/>
              <w:keepLines w:val="0"/>
              <w:widowControl/>
              <w:suppressLineNumbers w:val="0"/>
              <w:jc w:val="both"/>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宜安镇东焦村水泥用石灰岩集中治理区</w:t>
            </w:r>
          </w:p>
        </w:tc>
        <w:tc>
          <w:tcPr>
            <w:tcW w:w="3944" w:type="pct"/>
            <w:vMerge w:val="restart"/>
            <w:tcBorders>
              <w:top w:val="single" w:color="000000" w:sz="4" w:space="0"/>
              <w:left w:val="single" w:color="000000" w:sz="4" w:space="0"/>
              <w:right w:val="single" w:color="000000" w:sz="4" w:space="0"/>
            </w:tcBorders>
            <w:shd w:val="clear" w:color="auto" w:fill="auto"/>
            <w:vAlign w:val="center"/>
          </w:tcPr>
          <w:p w14:paraId="05083268">
            <w:pPr>
              <w:keepNext w:val="0"/>
              <w:keepLines w:val="0"/>
              <w:widowControl/>
              <w:suppressLineNumbers w:val="0"/>
              <w:jc w:val="left"/>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该区域位于宜安镇东焦村南，区内分布有1个非煤矿山和7处</w:t>
            </w:r>
            <w:r>
              <w:rPr>
                <w:rFonts w:hint="eastAsia" w:ascii="Times New Roman" w:hAnsi="Times New Roman" w:eastAsia="仿宋_GB2312" w:cs="Times New Roman"/>
                <w:color w:val="auto"/>
                <w:spacing w:val="4"/>
                <w:sz w:val="28"/>
                <w:szCs w:val="28"/>
                <w:highlight w:val="none"/>
                <w:vertAlign w:val="baseline"/>
                <w:lang w:val="en-US" w:eastAsia="zh-CN"/>
              </w:rPr>
              <w:t>历史遗留矿山</w:t>
            </w:r>
            <w:r>
              <w:rPr>
                <w:rFonts w:hint="default" w:ascii="Times New Roman" w:hAnsi="Times New Roman" w:eastAsia="仿宋_GB2312" w:cs="Times New Roman"/>
                <w:color w:val="auto"/>
                <w:spacing w:val="4"/>
                <w:sz w:val="28"/>
                <w:szCs w:val="28"/>
                <w:highlight w:val="none"/>
                <w:vertAlign w:val="baseline"/>
                <w:lang w:val="en-US" w:eastAsia="zh-CN"/>
              </w:rPr>
              <w:t>，矿山开采大型露天开采的水泥用石灰岩矿；</w:t>
            </w:r>
            <w:r>
              <w:rPr>
                <w:rFonts w:hint="eastAsia" w:ascii="Times New Roman" w:hAnsi="Times New Roman" w:eastAsia="仿宋_GB2312" w:cs="Times New Roman"/>
                <w:color w:val="auto"/>
                <w:spacing w:val="4"/>
                <w:sz w:val="28"/>
                <w:szCs w:val="28"/>
                <w:highlight w:val="none"/>
                <w:vertAlign w:val="baseline"/>
                <w:lang w:val="en-US" w:eastAsia="zh-CN"/>
              </w:rPr>
              <w:t>历史遗留矿山</w:t>
            </w:r>
            <w:r>
              <w:rPr>
                <w:rFonts w:hint="default" w:ascii="Times New Roman" w:hAnsi="Times New Roman" w:eastAsia="仿宋_GB2312" w:cs="Times New Roman"/>
                <w:color w:val="auto"/>
                <w:spacing w:val="4"/>
                <w:sz w:val="28"/>
                <w:szCs w:val="28"/>
                <w:highlight w:val="none"/>
                <w:vertAlign w:val="baseline"/>
                <w:lang w:val="en-US" w:eastAsia="zh-CN"/>
              </w:rPr>
              <w:t>主要为早期开采石灰岩形成的露天采场、固废堆放场；该区域紧邻太行山生态带，是鹿泉东焦水泥用灰岩重点发展区；北部有G5京昆高速、S205省道等。治理措施主要为推进露天矿山水平分层开采、生态修复为主。</w:t>
            </w:r>
          </w:p>
        </w:tc>
      </w:tr>
      <w:tr w14:paraId="0623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79A865B5">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highlight w:val="none"/>
              </w:rPr>
            </w:pPr>
          </w:p>
        </w:tc>
        <w:tc>
          <w:tcPr>
            <w:tcW w:w="3944" w:type="pct"/>
            <w:vMerge w:val="continue"/>
            <w:tcBorders>
              <w:left w:val="single" w:color="000000" w:sz="4" w:space="0"/>
              <w:right w:val="single" w:color="000000" w:sz="4" w:space="0"/>
            </w:tcBorders>
            <w:shd w:val="clear" w:color="auto" w:fill="auto"/>
            <w:vAlign w:val="center"/>
          </w:tcPr>
          <w:p w14:paraId="2250EFB2">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highlight w:val="none"/>
              </w:rPr>
            </w:pPr>
          </w:p>
        </w:tc>
      </w:tr>
      <w:tr w14:paraId="56EC97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52D203CF">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28F8BB95">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404C7B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741567ED">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04A40628">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00189A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45109304">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192193E5">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49AA7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426AE8FB">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28F7A64D">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3F06C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56640510">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211D7E2F">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65120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5611EBC7">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7EA79DE5">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3CC390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29850521">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6D718F58">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32A51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right w:val="single" w:color="000000" w:sz="4" w:space="0"/>
            </w:tcBorders>
            <w:shd w:val="clear" w:color="auto" w:fill="auto"/>
            <w:vAlign w:val="center"/>
          </w:tcPr>
          <w:p w14:paraId="26F6B891">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right w:val="single" w:color="000000" w:sz="4" w:space="0"/>
            </w:tcBorders>
            <w:shd w:val="clear" w:color="auto" w:fill="auto"/>
            <w:vAlign w:val="center"/>
          </w:tcPr>
          <w:p w14:paraId="09F983B9">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26096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55" w:type="pct"/>
            <w:vMerge w:val="continue"/>
            <w:tcBorders>
              <w:left w:val="single" w:color="000000" w:sz="4" w:space="0"/>
              <w:bottom w:val="single" w:color="000000" w:sz="4" w:space="0"/>
              <w:right w:val="single" w:color="000000" w:sz="4" w:space="0"/>
            </w:tcBorders>
            <w:shd w:val="clear" w:color="auto" w:fill="auto"/>
            <w:vAlign w:val="center"/>
          </w:tcPr>
          <w:p w14:paraId="2C2C93D7">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c>
          <w:tcPr>
            <w:tcW w:w="3944" w:type="pct"/>
            <w:vMerge w:val="continue"/>
            <w:tcBorders>
              <w:left w:val="single" w:color="000000" w:sz="4" w:space="0"/>
              <w:bottom w:val="single" w:color="000000" w:sz="4" w:space="0"/>
              <w:right w:val="single" w:color="000000" w:sz="4" w:space="0"/>
            </w:tcBorders>
            <w:shd w:val="clear" w:color="auto" w:fill="auto"/>
            <w:vAlign w:val="center"/>
          </w:tcPr>
          <w:p w14:paraId="7E47AB5C">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p>
        </w:tc>
      </w:tr>
      <w:tr w14:paraId="58F96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6" w:hRule="atLeast"/>
          <w:jc w:val="center"/>
        </w:trPr>
        <w:tc>
          <w:tcPr>
            <w:tcW w:w="1055" w:type="pct"/>
            <w:vMerge w:val="restart"/>
            <w:tcBorders>
              <w:top w:val="single" w:color="000000" w:sz="4" w:space="0"/>
              <w:left w:val="single" w:color="000000" w:sz="4" w:space="0"/>
              <w:right w:val="single" w:color="000000" w:sz="4" w:space="0"/>
            </w:tcBorders>
            <w:shd w:val="clear" w:color="auto" w:fill="auto"/>
            <w:vAlign w:val="center"/>
          </w:tcPr>
          <w:p w14:paraId="1371D67D">
            <w:pPr>
              <w:keepNext w:val="0"/>
              <w:keepLines w:val="0"/>
              <w:pageBreakBefore w:val="0"/>
              <w:widowControl/>
              <w:kinsoku/>
              <w:wordWrap/>
              <w:overflowPunct/>
              <w:topLinePunct w:val="0"/>
              <w:autoSpaceDE w:val="0"/>
              <w:autoSpaceDN w:val="0"/>
              <w:bidi w:val="0"/>
              <w:adjustRightInd w:val="0"/>
              <w:snapToGrid w:val="0"/>
              <w:spacing w:before="101" w:line="240" w:lineRule="auto"/>
              <w:jc w:val="both"/>
              <w:textAlignment w:val="baseline"/>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大河镇五岔口-小栈道村水泥用石灰岩集中治理区</w:t>
            </w:r>
          </w:p>
        </w:tc>
        <w:tc>
          <w:tcPr>
            <w:tcW w:w="3944" w:type="pct"/>
            <w:vMerge w:val="restart"/>
            <w:tcBorders>
              <w:top w:val="single" w:color="000000" w:sz="4" w:space="0"/>
              <w:left w:val="single" w:color="000000" w:sz="4" w:space="0"/>
              <w:right w:val="single" w:color="000000" w:sz="4" w:space="0"/>
            </w:tcBorders>
            <w:shd w:val="clear" w:color="auto" w:fill="auto"/>
            <w:vAlign w:val="center"/>
          </w:tcPr>
          <w:p w14:paraId="19B15E52">
            <w:pPr>
              <w:keepNext w:val="0"/>
              <w:keepLines w:val="0"/>
              <w:widowControl/>
              <w:suppressLineNumbers w:val="0"/>
              <w:jc w:val="left"/>
              <w:rPr>
                <w:rFonts w:hint="default" w:ascii="Times New Roman" w:hAnsi="Times New Roman" w:eastAsia="仿宋_GB2312" w:cs="Times New Roman"/>
                <w:color w:val="auto"/>
                <w:spacing w:val="4"/>
                <w:sz w:val="28"/>
                <w:szCs w:val="28"/>
                <w:highlight w:val="none"/>
                <w:vertAlign w:val="baseline"/>
                <w:lang w:val="en-US" w:eastAsia="zh-CN"/>
              </w:rPr>
            </w:pPr>
            <w:r>
              <w:rPr>
                <w:rFonts w:hint="default" w:ascii="Times New Roman" w:hAnsi="Times New Roman" w:eastAsia="仿宋_GB2312" w:cs="Times New Roman"/>
                <w:color w:val="auto"/>
                <w:spacing w:val="4"/>
                <w:sz w:val="28"/>
                <w:szCs w:val="28"/>
                <w:highlight w:val="none"/>
                <w:vertAlign w:val="baseline"/>
                <w:lang w:val="en-US" w:eastAsia="zh-CN"/>
              </w:rPr>
              <w:t>该区域有2个非煤矿山，矿山开采水泥用石灰岩；该区域位于S071西柏坡高速、G234国道和山前大道之间，是</w:t>
            </w:r>
            <w:r>
              <w:rPr>
                <w:rFonts w:hint="default" w:ascii="Times New Roman" w:hAnsi="Times New Roman" w:eastAsia="仿宋_GB2312" w:cs="Times New Roman"/>
                <w:snapToGrid w:val="0"/>
                <w:color w:val="auto"/>
                <w:kern w:val="0"/>
                <w:sz w:val="30"/>
                <w:szCs w:val="30"/>
                <w:highlight w:val="none"/>
                <w:lang w:val="en-US" w:eastAsia="zh-CN" w:bidi="ar"/>
              </w:rPr>
              <w:t>鹿泉五岔口- 小栈道村水泥用灰岩重点发展区。治理措施主要为推进露天矿山水平分层开采、生态修复为主。</w:t>
            </w:r>
          </w:p>
        </w:tc>
      </w:tr>
      <w:tr w14:paraId="3A9E5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1055" w:type="pct"/>
            <w:vMerge w:val="continue"/>
            <w:tcBorders>
              <w:left w:val="single" w:color="000000" w:sz="4" w:space="0"/>
              <w:bottom w:val="single" w:color="000000" w:sz="4" w:space="0"/>
              <w:right w:val="single" w:color="000000" w:sz="4" w:space="0"/>
            </w:tcBorders>
            <w:shd w:val="clear" w:color="auto" w:fill="auto"/>
            <w:vAlign w:val="center"/>
          </w:tcPr>
          <w:p w14:paraId="48EC19A5">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cs="Times New Roman"/>
                <w:color w:val="auto"/>
                <w:highlight w:val="none"/>
              </w:rPr>
            </w:pPr>
          </w:p>
        </w:tc>
        <w:tc>
          <w:tcPr>
            <w:tcW w:w="3944" w:type="pct"/>
            <w:vMerge w:val="continue"/>
            <w:tcBorders>
              <w:left w:val="single" w:color="000000" w:sz="4" w:space="0"/>
              <w:bottom w:val="single" w:color="000000" w:sz="4" w:space="0"/>
              <w:right w:val="single" w:color="000000" w:sz="4" w:space="0"/>
            </w:tcBorders>
            <w:shd w:val="clear" w:color="auto" w:fill="auto"/>
            <w:vAlign w:val="center"/>
          </w:tcPr>
          <w:p w14:paraId="65D8ABCB">
            <w:pPr>
              <w:keepNext w:val="0"/>
              <w:keepLines w:val="0"/>
              <w:pageBreakBefore w:val="0"/>
              <w:widowControl/>
              <w:kinsoku/>
              <w:wordWrap/>
              <w:overflowPunct/>
              <w:topLinePunct w:val="0"/>
              <w:autoSpaceDE w:val="0"/>
              <w:autoSpaceDN w:val="0"/>
              <w:bidi w:val="0"/>
              <w:adjustRightInd w:val="0"/>
              <w:snapToGrid w:val="0"/>
              <w:spacing w:before="101" w:line="240" w:lineRule="auto"/>
              <w:jc w:val="left"/>
              <w:textAlignment w:val="baseline"/>
              <w:rPr>
                <w:rFonts w:hint="default" w:ascii="Times New Roman" w:hAnsi="Times New Roman" w:cs="Times New Roman"/>
                <w:color w:val="auto"/>
                <w:highlight w:val="none"/>
              </w:rPr>
            </w:pPr>
          </w:p>
        </w:tc>
      </w:tr>
    </w:tbl>
    <w:p w14:paraId="1144ED9E">
      <w:pPr>
        <w:keepNext w:val="0"/>
        <w:keepLines w:val="0"/>
        <w:pageBreakBefore w:val="0"/>
        <w:kinsoku/>
        <w:wordWrap/>
        <w:overflowPunct/>
        <w:topLinePunct w:val="0"/>
        <w:bidi w:val="0"/>
        <w:spacing w:line="360" w:lineRule="auto"/>
        <w:ind w:firstLine="560" w:firstLineChars="200"/>
        <w:rPr>
          <w:rFonts w:hint="default" w:ascii="Times New Roman" w:hAnsi="Times New Roman" w:cs="Times New Roman"/>
          <w:color w:val="auto"/>
          <w:sz w:val="28"/>
          <w:szCs w:val="28"/>
          <w:highlight w:val="none"/>
        </w:rPr>
      </w:pPr>
    </w:p>
    <w:p w14:paraId="0DA93573">
      <w:pPr>
        <w:rPr>
          <w:rFonts w:hint="default" w:ascii="Times New Roman" w:hAnsi="Times New Roman" w:eastAsia="方正小标宋_GBK" w:cs="Times New Roman"/>
          <w:b w:val="0"/>
          <w:bCs w:val="0"/>
          <w:color w:val="auto"/>
          <w:spacing w:val="5"/>
          <w:sz w:val="43"/>
          <w:szCs w:val="43"/>
          <w:highlight w:val="none"/>
        </w:rPr>
      </w:pPr>
      <w:bookmarkStart w:id="26" w:name="_Toc564"/>
      <w:r>
        <w:rPr>
          <w:rFonts w:hint="default" w:ascii="Times New Roman" w:hAnsi="Times New Roman" w:eastAsia="方正小标宋_GBK" w:cs="Times New Roman"/>
          <w:b w:val="0"/>
          <w:bCs w:val="0"/>
          <w:color w:val="auto"/>
          <w:spacing w:val="5"/>
          <w:sz w:val="43"/>
          <w:szCs w:val="43"/>
          <w:highlight w:val="none"/>
        </w:rPr>
        <w:br w:type="page"/>
      </w:r>
    </w:p>
    <w:p w14:paraId="169BB76F">
      <w:pPr>
        <w:bidi w:val="0"/>
        <w:rPr>
          <w:rFonts w:hint="default" w:ascii="Times New Roman" w:hAnsi="Times New Roman" w:cs="Times New Roman"/>
          <w:color w:val="auto"/>
          <w:highlight w:val="none"/>
        </w:rPr>
      </w:pPr>
    </w:p>
    <w:p w14:paraId="705FE0EC">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27" w:name="_Toc7289"/>
      <w:r>
        <w:rPr>
          <w:rFonts w:hint="default" w:ascii="Times New Roman" w:hAnsi="Times New Roman" w:eastAsia="方正小标宋_GBK" w:cs="Times New Roman"/>
          <w:b w:val="0"/>
          <w:bCs w:val="0"/>
          <w:color w:val="auto"/>
          <w:spacing w:val="5"/>
          <w:sz w:val="43"/>
          <w:szCs w:val="43"/>
          <w:highlight w:val="none"/>
        </w:rPr>
        <w:t>第四章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加强矿山</w:t>
      </w:r>
      <w:r>
        <w:rPr>
          <w:rFonts w:hint="default" w:ascii="Times New Roman" w:hAnsi="Times New Roman" w:eastAsia="方正小标宋_GBK" w:cs="Times New Roman"/>
          <w:b w:val="0"/>
          <w:bCs w:val="0"/>
          <w:color w:val="auto"/>
          <w:spacing w:val="5"/>
          <w:sz w:val="43"/>
          <w:szCs w:val="43"/>
          <w:highlight w:val="none"/>
          <w:lang w:val="en-US" w:eastAsia="zh-CN"/>
        </w:rPr>
        <w:t>地质</w:t>
      </w:r>
      <w:r>
        <w:rPr>
          <w:rFonts w:hint="default" w:ascii="Times New Roman" w:hAnsi="Times New Roman" w:eastAsia="方正小标宋_GBK" w:cs="Times New Roman"/>
          <w:b w:val="0"/>
          <w:bCs w:val="0"/>
          <w:color w:val="auto"/>
          <w:spacing w:val="5"/>
          <w:sz w:val="43"/>
          <w:szCs w:val="43"/>
          <w:highlight w:val="none"/>
        </w:rPr>
        <w:t>环境修复与保护</w:t>
      </w:r>
      <w:bookmarkEnd w:id="26"/>
      <w:bookmarkEnd w:id="27"/>
    </w:p>
    <w:p w14:paraId="31D55BE9">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以推动矿产资源绿色开发为目标，践行山水林田湖草沙生命共同体理念，坚持整体保护、系统修复，以自然恢复为主、人工修复为辅，统筹推进鹿泉区矿山地质环境修复治理；加快消除</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存量，严格控制增量；扎实推进关闭矿山的修复治理工作；生产矿山边生产、边治理、边恢复，做好水土保持、植被恢复和土地复垦，全面改善矿山生态环境。</w:t>
      </w:r>
    </w:p>
    <w:p w14:paraId="3FEC1A8E">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28" w:name="_Toc27397"/>
      <w:bookmarkStart w:id="29" w:name="_Toc4501"/>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深入推进历史遗留矿山修复</w:t>
      </w:r>
      <w:bookmarkEnd w:id="28"/>
      <w:bookmarkEnd w:id="29"/>
    </w:p>
    <w:p w14:paraId="716E50B5">
      <w:pPr>
        <w:keepNext w:val="0"/>
        <w:keepLines w:val="0"/>
        <w:pageBreakBefore w:val="0"/>
        <w:widowControl/>
        <w:kinsoku/>
        <w:wordWrap/>
        <w:overflowPunct/>
        <w:topLinePunct w:val="0"/>
        <w:autoSpaceDE w:val="0"/>
        <w:autoSpaceDN w:val="0"/>
        <w:bidi w:val="0"/>
        <w:adjustRightInd w:val="0"/>
        <w:snapToGrid w:val="0"/>
        <w:spacing w:afterAutospacing="0" w:line="360" w:lineRule="auto"/>
        <w:ind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合理确定修复治理方式。</w:t>
      </w:r>
      <w:r>
        <w:rPr>
          <w:rFonts w:hint="default" w:ascii="Times New Roman" w:hAnsi="Times New Roman" w:eastAsia="仿宋_GB2312" w:cs="Times New Roman"/>
          <w:color w:val="auto"/>
          <w:spacing w:val="5"/>
          <w:sz w:val="32"/>
          <w:szCs w:val="32"/>
          <w:highlight w:val="none"/>
          <w:lang w:val="en-US" w:eastAsia="zh-CN"/>
        </w:rPr>
        <w:t>依据生态功能重要性、区域经济发展水平以及修复紧迫程度，准确把握好自然修复与人工修复之间的关系，突出安全和生态功能，合理选择历史遗留矿山修复方式，进行非煤矿山生态环境修复治理。最终实现生态与景观的和谐共生，促进矿山可持续发展。</w:t>
      </w:r>
    </w:p>
    <w:p w14:paraId="5E71B5E0">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p w14:paraId="54B18D58">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p w14:paraId="6FD72C5E">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p w14:paraId="5161CE2C">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p w14:paraId="38E9BEB9">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p w14:paraId="70918673">
      <w:pPr>
        <w:keepNext w:val="0"/>
        <w:keepLines w:val="0"/>
        <w:pageBreakBefore w:val="0"/>
        <w:widowControl/>
        <w:kinsoku/>
        <w:wordWrap/>
        <w:overflowPunct/>
        <w:topLinePunct w:val="0"/>
        <w:autoSpaceDE w:val="0"/>
        <w:autoSpaceDN w:val="0"/>
        <w:bidi w:val="0"/>
        <w:adjustRightInd w:val="0"/>
        <w:snapToGrid w:val="0"/>
        <w:spacing w:before="101" w:afterAutospacing="0" w:line="360" w:lineRule="auto"/>
        <w:ind w:firstLine="621"/>
        <w:jc w:val="both"/>
        <w:textAlignment w:val="baseline"/>
        <w:rPr>
          <w:rFonts w:hint="default" w:ascii="Times New Roman" w:hAnsi="Times New Roman" w:eastAsia="仿宋_GB2312" w:cs="Times New Roman"/>
          <w:color w:val="auto"/>
          <w:spacing w:val="5"/>
          <w:sz w:val="32"/>
          <w:szCs w:val="32"/>
          <w:highlight w:val="none"/>
          <w:lang w:val="en-US" w:eastAsia="zh-CN"/>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46"/>
        <w:gridCol w:w="6894"/>
      </w:tblGrid>
      <w:tr w14:paraId="59F5A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9140" w:type="dxa"/>
            <w:gridSpan w:val="2"/>
            <w:vAlign w:val="center"/>
          </w:tcPr>
          <w:p w14:paraId="08F15514">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b/>
                <w:bCs/>
                <w:color w:val="auto"/>
                <w:spacing w:val="5"/>
                <w:sz w:val="28"/>
                <w:szCs w:val="28"/>
                <w:highlight w:val="none"/>
                <w:vertAlign w:val="baseline"/>
                <w:lang w:val="en-US" w:eastAsia="zh-CN"/>
              </w:rPr>
            </w:pPr>
            <w:r>
              <w:rPr>
                <w:rFonts w:hint="default" w:ascii="Times New Roman" w:hAnsi="Times New Roman" w:eastAsia="仿宋_GB2312" w:cs="Times New Roman"/>
                <w:b/>
                <w:bCs/>
                <w:color w:val="auto"/>
                <w:spacing w:val="5"/>
                <w:sz w:val="28"/>
                <w:szCs w:val="28"/>
                <w:highlight w:val="none"/>
                <w:vertAlign w:val="baseline"/>
                <w:lang w:val="en-US" w:eastAsia="zh-CN"/>
              </w:rPr>
              <w:t>专栏4  非煤矿山生态修复方式</w:t>
            </w:r>
          </w:p>
        </w:tc>
      </w:tr>
      <w:tr w14:paraId="78820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7" w:hRule="atLeast"/>
        </w:trPr>
        <w:tc>
          <w:tcPr>
            <w:tcW w:w="2246" w:type="dxa"/>
            <w:vAlign w:val="center"/>
          </w:tcPr>
          <w:p w14:paraId="781F6A24">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b/>
                <w:bCs/>
                <w:color w:val="auto"/>
                <w:spacing w:val="5"/>
                <w:sz w:val="28"/>
                <w:szCs w:val="28"/>
                <w:highlight w:val="none"/>
                <w:vertAlign w:val="baseline"/>
                <w:lang w:val="en-US" w:eastAsia="zh-CN"/>
              </w:rPr>
            </w:pPr>
            <w:r>
              <w:rPr>
                <w:rFonts w:hint="default" w:ascii="Times New Roman" w:hAnsi="Times New Roman" w:eastAsia="仿宋_GB2312" w:cs="Times New Roman"/>
                <w:b/>
                <w:bCs/>
                <w:color w:val="auto"/>
                <w:spacing w:val="5"/>
                <w:sz w:val="28"/>
                <w:szCs w:val="28"/>
                <w:highlight w:val="none"/>
                <w:vertAlign w:val="baseline"/>
                <w:lang w:val="en-US" w:eastAsia="zh-CN"/>
              </w:rPr>
              <w:t>修复方式</w:t>
            </w:r>
          </w:p>
        </w:tc>
        <w:tc>
          <w:tcPr>
            <w:tcW w:w="6894" w:type="dxa"/>
            <w:vAlign w:val="center"/>
          </w:tcPr>
          <w:p w14:paraId="5C90D8D3">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b/>
                <w:bCs/>
                <w:color w:val="auto"/>
                <w:spacing w:val="5"/>
                <w:sz w:val="28"/>
                <w:szCs w:val="28"/>
                <w:highlight w:val="none"/>
                <w:vertAlign w:val="baseline"/>
                <w:lang w:val="en-US" w:eastAsia="zh-CN"/>
              </w:rPr>
            </w:pPr>
            <w:r>
              <w:rPr>
                <w:rFonts w:hint="default" w:ascii="Times New Roman" w:hAnsi="Times New Roman" w:eastAsia="仿宋_GB2312" w:cs="Times New Roman"/>
                <w:b/>
                <w:bCs/>
                <w:color w:val="auto"/>
                <w:spacing w:val="5"/>
                <w:sz w:val="28"/>
                <w:szCs w:val="28"/>
                <w:highlight w:val="none"/>
                <w:vertAlign w:val="baseline"/>
                <w:lang w:val="en-US" w:eastAsia="zh-CN"/>
              </w:rPr>
              <w:t>适用条件</w:t>
            </w:r>
          </w:p>
        </w:tc>
      </w:tr>
      <w:tr w14:paraId="07293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4" w:hRule="atLeast"/>
        </w:trPr>
        <w:tc>
          <w:tcPr>
            <w:tcW w:w="2246" w:type="dxa"/>
            <w:vAlign w:val="center"/>
          </w:tcPr>
          <w:p w14:paraId="7345F5D0">
            <w:pPr>
              <w:pStyle w:val="15"/>
              <w:keepNext w:val="0"/>
              <w:keepLines w:val="0"/>
              <w:pageBreakBefore w:val="0"/>
              <w:widowControl/>
              <w:wordWrap/>
              <w:overflowPunct/>
              <w:topLinePunct w:val="0"/>
              <w:bidi w:val="0"/>
              <w:adjustRightInd w:val="0"/>
              <w:snapToGrid w:val="0"/>
              <w:spacing w:line="240" w:lineRule="auto"/>
              <w:ind w:left="0" w:leftChars="0"/>
              <w:jc w:val="center"/>
              <w:textAlignment w:val="baseline"/>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自然恢复</w:t>
            </w:r>
          </w:p>
        </w:tc>
        <w:tc>
          <w:tcPr>
            <w:tcW w:w="6894" w:type="dxa"/>
            <w:vAlign w:val="center"/>
          </w:tcPr>
          <w:p w14:paraId="53C948F7">
            <w:pPr>
              <w:pStyle w:val="15"/>
              <w:widowControl w:val="0"/>
              <w:kinsoku/>
              <w:wordWrap w:val="0"/>
              <w:autoSpaceDE/>
              <w:autoSpaceDN/>
              <w:spacing w:before="240" w:beforeLines="100"/>
              <w:jc w:val="both"/>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采矿损毁土地依靠生态系统自我调节能力能够逐步得到恢复，不需进行工程干预。</w:t>
            </w:r>
          </w:p>
        </w:tc>
      </w:tr>
      <w:tr w14:paraId="2510D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2246" w:type="dxa"/>
            <w:vAlign w:val="center"/>
          </w:tcPr>
          <w:p w14:paraId="681764D8">
            <w:pPr>
              <w:pStyle w:val="15"/>
              <w:keepNext w:val="0"/>
              <w:keepLines w:val="0"/>
              <w:pageBreakBefore w:val="0"/>
              <w:widowControl/>
              <w:wordWrap/>
              <w:overflowPunct/>
              <w:topLinePunct w:val="0"/>
              <w:bidi w:val="0"/>
              <w:adjustRightInd w:val="0"/>
              <w:snapToGrid w:val="0"/>
              <w:spacing w:line="240" w:lineRule="auto"/>
              <w:ind w:left="0" w:leftChars="0"/>
              <w:jc w:val="center"/>
              <w:textAlignment w:val="baseline"/>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辅助再生</w:t>
            </w:r>
          </w:p>
        </w:tc>
        <w:tc>
          <w:tcPr>
            <w:tcW w:w="6894" w:type="dxa"/>
            <w:vAlign w:val="center"/>
          </w:tcPr>
          <w:p w14:paraId="51FEFC6D">
            <w:pPr>
              <w:pStyle w:val="15"/>
              <w:widowControl w:val="0"/>
              <w:kinsoku/>
              <w:autoSpaceDE/>
              <w:autoSpaceDN/>
              <w:spacing w:before="240" w:beforeLines="100"/>
              <w:jc w:val="both"/>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采矿损毁土地表土不适合植被生长，需要进行土地平整、表土覆盖和培肥才能使受损生态系统逐步恢复。</w:t>
            </w:r>
          </w:p>
        </w:tc>
      </w:tr>
      <w:tr w14:paraId="1B353A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2246" w:type="dxa"/>
            <w:vAlign w:val="center"/>
          </w:tcPr>
          <w:p w14:paraId="55EC7920">
            <w:pPr>
              <w:pStyle w:val="15"/>
              <w:keepNext w:val="0"/>
              <w:keepLines w:val="0"/>
              <w:pageBreakBefore w:val="0"/>
              <w:widowControl/>
              <w:wordWrap/>
              <w:overflowPunct/>
              <w:topLinePunct w:val="0"/>
              <w:bidi w:val="0"/>
              <w:adjustRightInd w:val="0"/>
              <w:snapToGrid w:val="0"/>
              <w:spacing w:line="240" w:lineRule="auto"/>
              <w:ind w:left="0" w:leftChars="0"/>
              <w:jc w:val="center"/>
              <w:textAlignment w:val="baseline"/>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生态重建</w:t>
            </w:r>
          </w:p>
        </w:tc>
        <w:tc>
          <w:tcPr>
            <w:tcW w:w="6894" w:type="dxa"/>
            <w:vAlign w:val="center"/>
          </w:tcPr>
          <w:p w14:paraId="3168D126">
            <w:pPr>
              <w:pStyle w:val="15"/>
              <w:widowControl w:val="0"/>
              <w:kinsoku/>
              <w:autoSpaceDE/>
              <w:autoSpaceDN/>
              <w:spacing w:before="240" w:beforeLines="100"/>
              <w:jc w:val="both"/>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采矿损毁土地需要采取工程措施消除矿山地质环境问题隐患，进行地貌重塑、土壤重构、植被重建等。</w:t>
            </w:r>
          </w:p>
        </w:tc>
      </w:tr>
      <w:tr w14:paraId="4CBD9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5" w:hRule="atLeast"/>
        </w:trPr>
        <w:tc>
          <w:tcPr>
            <w:tcW w:w="2246" w:type="dxa"/>
            <w:vAlign w:val="center"/>
          </w:tcPr>
          <w:p w14:paraId="5280D2A9">
            <w:pPr>
              <w:pStyle w:val="15"/>
              <w:keepNext w:val="0"/>
              <w:keepLines w:val="0"/>
              <w:pageBreakBefore w:val="0"/>
              <w:widowControl/>
              <w:kinsoku/>
              <w:wordWrap/>
              <w:overflowPunct/>
              <w:topLinePunct w:val="0"/>
              <w:autoSpaceDE/>
              <w:autoSpaceDN/>
              <w:bidi w:val="0"/>
              <w:adjustRightInd w:val="0"/>
              <w:snapToGrid w:val="0"/>
              <w:spacing w:line="240" w:lineRule="auto"/>
              <w:ind w:left="0"/>
              <w:jc w:val="center"/>
              <w:textAlignment w:val="baseline"/>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转型利用</w:t>
            </w:r>
          </w:p>
        </w:tc>
        <w:tc>
          <w:tcPr>
            <w:tcW w:w="6894" w:type="dxa"/>
            <w:vAlign w:val="center"/>
          </w:tcPr>
          <w:p w14:paraId="2C475EDC">
            <w:pPr>
              <w:pStyle w:val="15"/>
              <w:widowControl w:val="0"/>
              <w:kinsoku/>
              <w:autoSpaceDE/>
              <w:autoSpaceDN/>
              <w:spacing w:before="240" w:beforeLines="100"/>
              <w:jc w:val="both"/>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4"/>
                <w:kern w:val="0"/>
                <w:sz w:val="28"/>
                <w:szCs w:val="28"/>
                <w:highlight w:val="none"/>
                <w:vertAlign w:val="baseline"/>
                <w:lang w:val="en-US" w:eastAsia="zh-CN" w:bidi="ar-SA"/>
              </w:rPr>
              <w:t>采矿损毁土地可恢复为耕地等用于农业生产，或恢复为城乡建设用地用于各类建设活动；矿产资源丰富、集中的区域转型为矿产资源地</w:t>
            </w:r>
          </w:p>
        </w:tc>
      </w:tr>
    </w:tbl>
    <w:p w14:paraId="76A932B6">
      <w:pPr>
        <w:keepNext w:val="0"/>
        <w:keepLines w:val="0"/>
        <w:pageBreakBefore w:val="0"/>
        <w:widowControl/>
        <w:kinsoku/>
        <w:wordWrap/>
        <w:overflowPunct/>
        <w:topLinePunct w:val="0"/>
        <w:autoSpaceDE w:val="0"/>
        <w:autoSpaceDN w:val="0"/>
        <w:bidi w:val="0"/>
        <w:adjustRightInd w:val="0"/>
        <w:snapToGrid w:val="0"/>
        <w:spacing w:line="240" w:lineRule="auto"/>
        <w:ind w:left="0" w:right="0" w:firstLine="660" w:firstLineChars="200"/>
        <w:textAlignment w:val="baseline"/>
        <w:rPr>
          <w:rFonts w:hint="default" w:ascii="Times New Roman" w:hAnsi="Times New Roman" w:eastAsia="楷体" w:cs="Times New Roman"/>
          <w:color w:val="auto"/>
          <w:spacing w:val="5"/>
          <w:sz w:val="32"/>
          <w:szCs w:val="32"/>
          <w:highlight w:val="none"/>
        </w:rPr>
      </w:pPr>
    </w:p>
    <w:p w14:paraId="24F8B5E6">
      <w:pPr>
        <w:keepNext w:val="0"/>
        <w:keepLines w:val="0"/>
        <w:pageBreakBefore w:val="0"/>
        <w:widowControl/>
        <w:kinsoku/>
        <w:wordWrap/>
        <w:overflowPunct/>
        <w:topLinePunct w:val="0"/>
        <w:autoSpaceDE w:val="0"/>
        <w:autoSpaceDN w:val="0"/>
        <w:bidi w:val="0"/>
        <w:adjustRightInd w:val="0"/>
        <w:snapToGrid w:val="0"/>
        <w:spacing w:afterAutospacing="0"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有序推进修复计划实施。</w:t>
      </w:r>
      <w:r>
        <w:rPr>
          <w:rFonts w:hint="default" w:ascii="Times New Roman" w:hAnsi="Times New Roman" w:eastAsia="仿宋_GB2312" w:cs="Times New Roman"/>
          <w:color w:val="auto"/>
          <w:spacing w:val="5"/>
          <w:sz w:val="32"/>
          <w:szCs w:val="32"/>
          <w:highlight w:val="none"/>
          <w:lang w:val="en-US" w:eastAsia="zh-CN"/>
        </w:rPr>
        <w:t>鹿泉区</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共计18处，面积573.30亩。其中宜安镇12处、石井乡4处、白鹿泉乡和铜冶镇各1处。根据</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地理位置结合国土空间、矿产资源、生态保护等规划，制定科学合理的修复治理方案，积极推进历史遗留矿山的修复治理工作。2023年底前，完成</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修复5处，面积约314.87亩；2024年完成</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修复6处，面积约195.05亩；2025年完成</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7处，面积约63.38亩。对完成修复治理的</w:t>
      </w:r>
      <w:r>
        <w:rPr>
          <w:rFonts w:hint="eastAsia" w:ascii="Times New Roman" w:hAnsi="Times New Roman" w:eastAsia="仿宋_GB2312" w:cs="Times New Roman"/>
          <w:color w:val="auto"/>
          <w:spacing w:val="5"/>
          <w:sz w:val="32"/>
          <w:szCs w:val="32"/>
          <w:highlight w:val="none"/>
          <w:lang w:val="en-US" w:eastAsia="zh-CN"/>
        </w:rPr>
        <w:t>历史遗留矿山</w:t>
      </w:r>
      <w:r>
        <w:rPr>
          <w:rFonts w:hint="default" w:ascii="Times New Roman" w:hAnsi="Times New Roman" w:eastAsia="仿宋_GB2312" w:cs="Times New Roman"/>
          <w:color w:val="auto"/>
          <w:spacing w:val="5"/>
          <w:sz w:val="32"/>
          <w:szCs w:val="32"/>
          <w:highlight w:val="none"/>
          <w:lang w:val="en-US" w:eastAsia="zh-CN"/>
        </w:rPr>
        <w:t>要加强后期监管措施，确保修复治理效果。</w:t>
      </w:r>
    </w:p>
    <w:p w14:paraId="5AE1792E">
      <w:pPr>
        <w:rPr>
          <w:rFonts w:hint="default" w:ascii="Times New Roman" w:hAnsi="Times New Roman" w:eastAsia="黑体" w:cs="Times New Roman"/>
          <w:color w:val="auto"/>
          <w:spacing w:val="4"/>
          <w:sz w:val="32"/>
          <w:szCs w:val="32"/>
          <w:highlight w:val="none"/>
        </w:rPr>
      </w:pPr>
      <w:bookmarkStart w:id="30" w:name="_Toc20953"/>
      <w:bookmarkStart w:id="31" w:name="_Toc26950"/>
      <w:r>
        <w:rPr>
          <w:rFonts w:hint="default" w:ascii="Times New Roman" w:hAnsi="Times New Roman" w:eastAsia="黑体" w:cs="Times New Roman"/>
          <w:color w:val="auto"/>
          <w:spacing w:val="4"/>
          <w:sz w:val="32"/>
          <w:szCs w:val="32"/>
          <w:highlight w:val="none"/>
        </w:rPr>
        <w:br w:type="page"/>
      </w:r>
    </w:p>
    <w:p w14:paraId="712752DE">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着力加强</w:t>
      </w:r>
      <w:r>
        <w:rPr>
          <w:rFonts w:hint="default" w:ascii="Times New Roman" w:hAnsi="Times New Roman" w:eastAsia="黑体" w:cs="Times New Roman"/>
          <w:color w:val="auto"/>
          <w:spacing w:val="4"/>
          <w:sz w:val="32"/>
          <w:szCs w:val="32"/>
          <w:highlight w:val="none"/>
          <w:lang w:val="en-US" w:eastAsia="zh-CN"/>
        </w:rPr>
        <w:t>持证非煤</w:t>
      </w:r>
      <w:r>
        <w:rPr>
          <w:rFonts w:hint="default" w:ascii="Times New Roman" w:hAnsi="Times New Roman" w:eastAsia="黑体" w:cs="Times New Roman"/>
          <w:color w:val="auto"/>
          <w:spacing w:val="4"/>
          <w:sz w:val="32"/>
          <w:szCs w:val="32"/>
          <w:highlight w:val="none"/>
        </w:rPr>
        <w:t>矿山环境保护</w:t>
      </w:r>
      <w:bookmarkEnd w:id="30"/>
      <w:bookmarkEnd w:id="31"/>
    </w:p>
    <w:p w14:paraId="6785BCC6">
      <w:pPr>
        <w:keepNext w:val="0"/>
        <w:keepLines w:val="0"/>
        <w:pageBreakBefore w:val="0"/>
        <w:widowControl/>
        <w:kinsoku/>
        <w:wordWrap/>
        <w:overflowPunct/>
        <w:topLinePunct w:val="0"/>
        <w:autoSpaceDE w:val="0"/>
        <w:autoSpaceDN w:val="0"/>
        <w:bidi w:val="0"/>
        <w:adjustRightInd w:val="0"/>
        <w:snapToGrid w:val="0"/>
        <w:spacing w:afterAutospacing="0" w:line="360" w:lineRule="auto"/>
        <w:ind w:right="0" w:firstLine="644" w:firstLineChars="200"/>
        <w:jc w:val="both"/>
        <w:textAlignment w:val="baseline"/>
        <w:rPr>
          <w:rFonts w:hint="default" w:ascii="Times New Roman" w:hAnsi="Times New Roman" w:eastAsia="仿宋"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加强矿山环境整体保护。</w:t>
      </w:r>
      <w:r>
        <w:rPr>
          <w:rFonts w:hint="default" w:ascii="Times New Roman" w:hAnsi="Times New Roman" w:eastAsia="仿宋_GB2312" w:cs="Times New Roman"/>
          <w:snapToGrid w:val="0"/>
          <w:color w:val="auto"/>
          <w:spacing w:val="5"/>
          <w:kern w:val="0"/>
          <w:sz w:val="31"/>
          <w:szCs w:val="31"/>
          <w:highlight w:val="none"/>
          <w:lang w:val="en-US" w:eastAsia="zh-CN" w:bidi="ar"/>
        </w:rPr>
        <w:t>加强非煤矿山环境的整体保护，综合考虑生态修复、环境保护和资源合理利用。</w:t>
      </w:r>
      <w:r>
        <w:rPr>
          <w:rFonts w:hint="default" w:ascii="Times New Roman" w:hAnsi="Times New Roman" w:eastAsia="仿宋_GB2312" w:cs="Times New Roman"/>
          <w:color w:val="auto"/>
          <w:spacing w:val="5"/>
          <w:sz w:val="32"/>
          <w:szCs w:val="32"/>
          <w:highlight w:val="none"/>
          <w:lang w:val="en-US" w:eastAsia="zh-CN"/>
        </w:rPr>
        <w:t>落实非煤矿山地质环境保护与修复的责任主体，建立健全非煤矿山地质环境保护和综合治理、污染防治、生态环境保护等相关制度，督促矿山企业制定矿山保护与修复的年度推进计划，实现“边开采、边治理、边恢复”；推进绿色矿山（非煤）建设；鼓励非煤矿山企业投入研发资金，不断提升“三率”指标，优化非煤矿山开发利用水平，落实水平分层开采法（“横切”式）的应用。</w:t>
      </w:r>
    </w:p>
    <w:tbl>
      <w:tblPr>
        <w:tblStyle w:val="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63"/>
        <w:gridCol w:w="5877"/>
      </w:tblGrid>
      <w:tr w14:paraId="2CCCF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jc w:val="center"/>
        </w:trPr>
        <w:tc>
          <w:tcPr>
            <w:tcW w:w="9040" w:type="dxa"/>
            <w:gridSpan w:val="2"/>
            <w:noWrap w:val="0"/>
            <w:vAlign w:val="center"/>
          </w:tcPr>
          <w:p w14:paraId="53CEFA88">
            <w:pPr>
              <w:pageBreakBefore w:val="0"/>
              <w:widowControl/>
              <w:kinsoku/>
              <w:wordWrap/>
              <w:overflowPunct/>
              <w:topLinePunct w:val="0"/>
              <w:autoSpaceDE/>
              <w:autoSpaceDN/>
              <w:bidi w:val="0"/>
              <w:adjustRightInd/>
              <w:spacing w:line="240" w:lineRule="auto"/>
              <w:jc w:val="center"/>
              <w:textAlignment w:val="center"/>
              <w:rPr>
                <w:rFonts w:hint="default" w:ascii="Times New Roman" w:hAnsi="Times New Roman" w:eastAsia="仿宋_GB2312" w:cs="Times New Roman"/>
                <w:b/>
                <w:bCs/>
                <w:color w:val="auto"/>
                <w:szCs w:val="21"/>
                <w:highlight w:val="none"/>
                <w:lang w:val="en-US" w:eastAsia="zh-CN"/>
              </w:rPr>
            </w:pPr>
            <w:r>
              <w:rPr>
                <w:rFonts w:hint="default" w:ascii="Times New Roman" w:hAnsi="Times New Roman" w:eastAsia="仿宋_GB2312" w:cs="Times New Roman"/>
                <w:b/>
                <w:bCs/>
                <w:color w:val="auto"/>
                <w:spacing w:val="5"/>
                <w:sz w:val="28"/>
                <w:szCs w:val="28"/>
                <w:highlight w:val="none"/>
                <w:vertAlign w:val="baseline"/>
                <w:lang w:val="en-US" w:eastAsia="zh-CN"/>
              </w:rPr>
              <w:t>专栏5  非金属露天矿山“横切”式开采分类表</w:t>
            </w:r>
          </w:p>
        </w:tc>
      </w:tr>
      <w:tr w14:paraId="48409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jc w:val="center"/>
        </w:trPr>
        <w:tc>
          <w:tcPr>
            <w:tcW w:w="3163" w:type="dxa"/>
            <w:shd w:val="clear" w:color="auto" w:fill="auto"/>
            <w:noWrap w:val="0"/>
            <w:vAlign w:val="center"/>
          </w:tcPr>
          <w:p w14:paraId="3E8349EA">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b/>
                <w:bCs/>
                <w:color w:val="auto"/>
                <w:spacing w:val="5"/>
                <w:sz w:val="28"/>
                <w:szCs w:val="28"/>
                <w:highlight w:val="none"/>
                <w:vertAlign w:val="baseline"/>
                <w:lang w:val="en-US" w:eastAsia="en-US"/>
              </w:rPr>
            </w:pPr>
            <w:r>
              <w:rPr>
                <w:rFonts w:hint="default" w:ascii="Times New Roman" w:hAnsi="Times New Roman" w:eastAsia="仿宋_GB2312" w:cs="Times New Roman"/>
                <w:b/>
                <w:bCs/>
                <w:color w:val="auto"/>
                <w:spacing w:val="5"/>
                <w:sz w:val="28"/>
                <w:szCs w:val="28"/>
                <w:highlight w:val="none"/>
                <w:vertAlign w:val="baseline"/>
                <w:lang w:val="en-US" w:eastAsia="zh-CN"/>
              </w:rPr>
              <w:t>分类处置方案</w:t>
            </w:r>
          </w:p>
        </w:tc>
        <w:tc>
          <w:tcPr>
            <w:tcW w:w="5877" w:type="dxa"/>
            <w:shd w:val="clear" w:color="auto" w:fill="auto"/>
            <w:noWrap w:val="0"/>
            <w:vAlign w:val="center"/>
          </w:tcPr>
          <w:p w14:paraId="026E2E00">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b/>
                <w:bCs/>
                <w:color w:val="auto"/>
                <w:spacing w:val="5"/>
                <w:sz w:val="28"/>
                <w:szCs w:val="28"/>
                <w:highlight w:val="none"/>
                <w:vertAlign w:val="baseline"/>
                <w:lang w:val="en-US" w:eastAsia="zh-CN"/>
              </w:rPr>
            </w:pPr>
            <w:r>
              <w:rPr>
                <w:rFonts w:hint="default" w:ascii="Times New Roman" w:hAnsi="Times New Roman" w:eastAsia="仿宋_GB2312" w:cs="Times New Roman"/>
                <w:b/>
                <w:bCs/>
                <w:color w:val="auto"/>
                <w:spacing w:val="5"/>
                <w:sz w:val="28"/>
                <w:szCs w:val="28"/>
                <w:highlight w:val="none"/>
                <w:vertAlign w:val="baseline"/>
                <w:lang w:val="en-US" w:eastAsia="zh-CN"/>
              </w:rPr>
              <w:t>矿山名称</w:t>
            </w:r>
          </w:p>
        </w:tc>
      </w:tr>
      <w:tr w14:paraId="13837D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3163" w:type="dxa"/>
            <w:vMerge w:val="restart"/>
            <w:noWrap w:val="0"/>
            <w:vAlign w:val="center"/>
          </w:tcPr>
          <w:p w14:paraId="25898828">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both"/>
              <w:textAlignment w:val="baseline"/>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t>拟调整开发方案可实现“横切”式开采的矿山</w:t>
            </w:r>
          </w:p>
        </w:tc>
        <w:tc>
          <w:tcPr>
            <w:tcW w:w="5877" w:type="dxa"/>
            <w:noWrap w:val="0"/>
            <w:vAlign w:val="center"/>
          </w:tcPr>
          <w:p w14:paraId="76F55E31">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center"/>
              <w:textAlignment w:val="baseline"/>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pPr>
            <w:r>
              <w:rPr>
                <w:rFonts w:hint="default" w:ascii="Times New Roman" w:hAnsi="Times New Roman" w:eastAsia="仿宋_GB2312" w:cs="Times New Roman"/>
                <w:i w:val="0"/>
                <w:iCs w:val="0"/>
                <w:snapToGrid w:val="0"/>
                <w:color w:val="auto"/>
                <w:kern w:val="0"/>
                <w:sz w:val="28"/>
                <w:szCs w:val="28"/>
                <w:highlight w:val="none"/>
                <w:u w:val="none"/>
                <w:lang w:val="en-US" w:eastAsia="zh-CN" w:bidi="ar"/>
              </w:rPr>
              <w:t>河北金隅鼎鑫水泥有限公司二分公司石灰石矿</w:t>
            </w:r>
          </w:p>
        </w:tc>
      </w:tr>
      <w:tr w14:paraId="7E949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jc w:val="center"/>
        </w:trPr>
        <w:tc>
          <w:tcPr>
            <w:tcW w:w="3163" w:type="dxa"/>
            <w:vMerge w:val="continue"/>
            <w:noWrap w:val="0"/>
            <w:vAlign w:val="center"/>
          </w:tcPr>
          <w:p w14:paraId="6035E02B">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both"/>
              <w:textAlignment w:val="baseline"/>
              <w:rPr>
                <w:rFonts w:hint="default" w:ascii="Times New Roman" w:hAnsi="Times New Roman" w:eastAsia="仿宋_GB2312" w:cs="Times New Roman"/>
                <w:color w:val="auto"/>
                <w:highlight w:val="none"/>
              </w:rPr>
            </w:pPr>
          </w:p>
        </w:tc>
        <w:tc>
          <w:tcPr>
            <w:tcW w:w="5877" w:type="dxa"/>
            <w:noWrap w:val="0"/>
            <w:vAlign w:val="center"/>
          </w:tcPr>
          <w:p w14:paraId="69E3B43A">
            <w:pPr>
              <w:keepNext w:val="0"/>
              <w:keepLines w:val="0"/>
              <w:pageBreakBefore w:val="0"/>
              <w:widowControl/>
              <w:kinsoku/>
              <w:wordWrap/>
              <w:overflowPunct/>
              <w:topLinePunct w:val="0"/>
              <w:autoSpaceDE w:val="0"/>
              <w:autoSpaceDN w:val="0"/>
              <w:bidi w:val="0"/>
              <w:adjustRightInd w:val="0"/>
              <w:snapToGrid w:val="0"/>
              <w:spacing w:before="101" w:afterAutospacing="0" w:line="240" w:lineRule="auto"/>
              <w:jc w:val="left"/>
              <w:textAlignment w:val="baseline"/>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pPr>
            <w:r>
              <w:rPr>
                <w:rFonts w:hint="default" w:ascii="Times New Roman" w:hAnsi="Times New Roman" w:eastAsia="仿宋_GB2312" w:cs="Times New Roman"/>
                <w:i w:val="0"/>
                <w:iCs w:val="0"/>
                <w:snapToGrid w:val="0"/>
                <w:color w:val="auto"/>
                <w:kern w:val="0"/>
                <w:sz w:val="28"/>
                <w:szCs w:val="28"/>
                <w:highlight w:val="none"/>
                <w:u w:val="none"/>
                <w:lang w:val="en-US" w:eastAsia="zh-CN" w:bidi="ar"/>
              </w:rPr>
              <w:t>石家庄市曲寨水泥有限公司五岔口水泥灰岩矿</w:t>
            </w:r>
          </w:p>
        </w:tc>
      </w:tr>
      <w:tr w14:paraId="7CBD0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jc w:val="center"/>
        </w:trPr>
        <w:tc>
          <w:tcPr>
            <w:tcW w:w="3163" w:type="dxa"/>
            <w:noWrap w:val="0"/>
            <w:vAlign w:val="center"/>
          </w:tcPr>
          <w:p w14:paraId="47F60B6D">
            <w:pPr>
              <w:pStyle w:val="3"/>
              <w:pageBreakBefore w:val="0"/>
              <w:kinsoku/>
              <w:wordWrap/>
              <w:overflowPunct/>
              <w:topLinePunct w:val="0"/>
              <w:autoSpaceDE/>
              <w:autoSpaceDN/>
              <w:bidi w:val="0"/>
              <w:adjustRightInd/>
              <w:spacing w:line="240" w:lineRule="auto"/>
              <w:ind w:firstLine="0" w:firstLineChars="0"/>
              <w:jc w:val="both"/>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pPr>
            <w:r>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t>未实现“横切”式开采的矿山</w:t>
            </w:r>
          </w:p>
        </w:tc>
        <w:tc>
          <w:tcPr>
            <w:tcW w:w="5877" w:type="dxa"/>
            <w:noWrap w:val="0"/>
            <w:vAlign w:val="center"/>
          </w:tcPr>
          <w:p w14:paraId="40918C5F">
            <w:pPr>
              <w:pStyle w:val="3"/>
              <w:pageBreakBefore w:val="0"/>
              <w:kinsoku/>
              <w:wordWrap/>
              <w:overflowPunct/>
              <w:topLinePunct w:val="0"/>
              <w:autoSpaceDE/>
              <w:autoSpaceDN/>
              <w:bidi w:val="0"/>
              <w:adjustRightInd/>
              <w:spacing w:line="240" w:lineRule="auto"/>
              <w:ind w:firstLine="0" w:firstLineChars="0"/>
              <w:jc w:val="center"/>
              <w:rPr>
                <w:rFonts w:hint="default" w:ascii="Times New Roman" w:hAnsi="Times New Roman" w:eastAsia="仿宋_GB2312" w:cs="Times New Roman"/>
                <w:snapToGrid w:val="0"/>
                <w:color w:val="auto"/>
                <w:spacing w:val="5"/>
                <w:kern w:val="0"/>
                <w:sz w:val="28"/>
                <w:szCs w:val="28"/>
                <w:highlight w:val="none"/>
                <w:vertAlign w:val="baseline"/>
                <w:lang w:val="en-US" w:eastAsia="zh-CN" w:bidi="ar-SA"/>
              </w:rPr>
            </w:pPr>
            <w:r>
              <w:rPr>
                <w:rFonts w:hint="default" w:ascii="Times New Roman" w:hAnsi="Times New Roman" w:eastAsia="仿宋_GB2312" w:cs="Times New Roman"/>
                <w:i w:val="0"/>
                <w:iCs w:val="0"/>
                <w:snapToGrid w:val="0"/>
                <w:color w:val="auto"/>
                <w:kern w:val="0"/>
                <w:sz w:val="28"/>
                <w:szCs w:val="28"/>
                <w:highlight w:val="none"/>
                <w:u w:val="none"/>
                <w:lang w:val="en-US" w:eastAsia="zh-CN" w:bidi="ar"/>
              </w:rPr>
              <w:t>河北金隅鼎鑫水泥有限公司一分公司石灰石矿</w:t>
            </w:r>
          </w:p>
        </w:tc>
      </w:tr>
    </w:tbl>
    <w:p w14:paraId="4289C62E">
      <w:pPr>
        <w:keepNext w:val="0"/>
        <w:keepLines w:val="0"/>
        <w:pageBreakBefore w:val="0"/>
        <w:widowControl/>
        <w:kinsoku/>
        <w:wordWrap/>
        <w:overflowPunct/>
        <w:topLinePunct w:val="0"/>
        <w:autoSpaceDE w:val="0"/>
        <w:autoSpaceDN w:val="0"/>
        <w:bidi w:val="0"/>
        <w:adjustRightInd w:val="0"/>
        <w:snapToGrid w:val="0"/>
        <w:spacing w:line="240" w:lineRule="auto"/>
        <w:ind w:left="0" w:right="0" w:firstLine="640" w:firstLineChars="200"/>
        <w:textAlignment w:val="baseline"/>
        <w:rPr>
          <w:rFonts w:hint="default" w:ascii="Times New Roman" w:hAnsi="Times New Roman" w:eastAsia="楷体" w:cs="Times New Roman"/>
          <w:snapToGrid w:val="0"/>
          <w:color w:val="auto"/>
          <w:spacing w:val="5"/>
          <w:kern w:val="0"/>
          <w:sz w:val="31"/>
          <w:szCs w:val="31"/>
          <w:highlight w:val="none"/>
          <w:lang w:val="en-US" w:eastAsia="zh-CN" w:bidi="ar"/>
        </w:rPr>
      </w:pPr>
    </w:p>
    <w:p w14:paraId="7CEFBEC1">
      <w:pPr>
        <w:keepNext w:val="0"/>
        <w:keepLines w:val="0"/>
        <w:pageBreakBefore w:val="0"/>
        <w:widowControl/>
        <w:kinsoku/>
        <w:wordWrap/>
        <w:overflowPunct/>
        <w:topLinePunct w:val="0"/>
        <w:autoSpaceDE w:val="0"/>
        <w:autoSpaceDN w:val="0"/>
        <w:bidi w:val="0"/>
        <w:adjustRightInd w:val="0"/>
        <w:snapToGrid w:val="0"/>
        <w:spacing w:afterAutospacing="0" w:line="360" w:lineRule="auto"/>
        <w:ind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完善矿山环境动态监测。</w:t>
      </w:r>
      <w:r>
        <w:rPr>
          <w:rFonts w:hint="default" w:ascii="Times New Roman" w:hAnsi="Times New Roman" w:eastAsia="仿宋_GB2312" w:cs="Times New Roman"/>
          <w:color w:val="auto"/>
          <w:spacing w:val="5"/>
          <w:sz w:val="32"/>
          <w:szCs w:val="32"/>
          <w:highlight w:val="none"/>
          <w:lang w:val="en-US" w:eastAsia="zh-CN"/>
        </w:rPr>
        <w:t>开展监督企业建设自主监测网，对开采区及影响区内可能发生的矿山地质环境问题及土地损毁情况进行监测，并及时汇报监测成果，公示监测情况，全面掌握和和监控鹿泉区内非煤矿山环境动态变化情况，提升监测数据综合分析能力，高效服务监督管理。</w:t>
      </w:r>
    </w:p>
    <w:p w14:paraId="1CE01DDC">
      <w:pPr>
        <w:keepNext w:val="0"/>
        <w:keepLines w:val="0"/>
        <w:pageBreakBefore w:val="0"/>
        <w:widowControl/>
        <w:kinsoku/>
        <w:wordWrap/>
        <w:overflowPunct/>
        <w:topLinePunct w:val="0"/>
        <w:autoSpaceDE w:val="0"/>
        <w:autoSpaceDN w:val="0"/>
        <w:bidi w:val="0"/>
        <w:adjustRightInd w:val="0"/>
        <w:snapToGrid w:val="0"/>
        <w:spacing w:afterAutospacing="0" w:line="360" w:lineRule="auto"/>
        <w:ind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严格管控矿山固体废弃物。</w:t>
      </w:r>
      <w:r>
        <w:rPr>
          <w:rFonts w:hint="default" w:ascii="Times New Roman" w:hAnsi="Times New Roman" w:eastAsia="仿宋_GB2312" w:cs="Times New Roman"/>
          <w:color w:val="auto"/>
          <w:spacing w:val="5"/>
          <w:sz w:val="32"/>
          <w:szCs w:val="32"/>
          <w:highlight w:val="none"/>
          <w:lang w:val="en-US" w:eastAsia="zh-CN"/>
        </w:rPr>
        <w:t>对矿山开发利用过程中产生的废土、石进行统一的堆放，堆放中形成的边坡及时开展治理与恢复工作，避免大面积的土、石裸露；不断提高矿山开发利用水平，变废为宝，推进废土（石）综合利用，提高非煤矿山综合利用水平；加强对矿山降尘措施的管控，降低粉尘对矿山环境的影响。</w:t>
      </w:r>
    </w:p>
    <w:p w14:paraId="559D33A8">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lang w:val="en-US" w:eastAsia="zh-CN"/>
        </w:rPr>
      </w:pPr>
      <w:bookmarkStart w:id="32" w:name="_Toc31593"/>
      <w:r>
        <w:rPr>
          <w:rFonts w:hint="default" w:ascii="Times New Roman" w:hAnsi="Times New Roman" w:eastAsia="黑体" w:cs="Times New Roman"/>
          <w:color w:val="auto"/>
          <w:spacing w:val="4"/>
          <w:sz w:val="32"/>
          <w:szCs w:val="32"/>
          <w:highlight w:val="none"/>
          <w:lang w:val="en-US" w:eastAsia="zh-CN"/>
        </w:rPr>
        <w:t>第三节 扎实推进关闭矿山修复治理</w:t>
      </w:r>
      <w:bookmarkEnd w:id="32"/>
    </w:p>
    <w:p w14:paraId="29564D22">
      <w:pPr>
        <w:keepNext w:val="0"/>
        <w:keepLines w:val="0"/>
        <w:pageBreakBefore w:val="0"/>
        <w:widowControl/>
        <w:kinsoku/>
        <w:wordWrap/>
        <w:overflowPunct/>
        <w:topLinePunct w:val="0"/>
        <w:autoSpaceDE w:val="0"/>
        <w:autoSpaceDN w:val="0"/>
        <w:bidi w:val="0"/>
        <w:adjustRightInd w:val="0"/>
        <w:snapToGrid w:val="0"/>
        <w:spacing w:afterAutospacing="0" w:line="360" w:lineRule="auto"/>
        <w:ind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有序推进关闭矿山治理工作。</w:t>
      </w:r>
      <w:r>
        <w:rPr>
          <w:rFonts w:hint="default" w:ascii="Times New Roman" w:hAnsi="Times New Roman" w:eastAsia="仿宋_GB2312" w:cs="Times New Roman"/>
          <w:color w:val="auto"/>
          <w:spacing w:val="5"/>
          <w:sz w:val="32"/>
          <w:szCs w:val="32"/>
          <w:highlight w:val="none"/>
          <w:lang w:val="en-US" w:eastAsia="zh-CN"/>
        </w:rPr>
        <w:t>积极推进已关闭非煤矿山的综合治理工作，根据已关闭非煤矿山所在地的地理位置、区位条件和环境功能要求，结合周边生态环境，按照“整体生态功能恢复”和“景观相似性原则”，优先突出做好“三区三线”直观可视范围内已关闭非煤矿山的治理恢复工作，已关闭非煤矿山得到有效综合治理，达到全面治理，实现经济效益、环境效益和社会效益的最大化。</w:t>
      </w:r>
    </w:p>
    <w:p w14:paraId="7AF0C737">
      <w:pPr>
        <w:keepNext w:val="0"/>
        <w:keepLines w:val="0"/>
        <w:pageBreakBefore w:val="0"/>
        <w:widowControl/>
        <w:kinsoku/>
        <w:wordWrap/>
        <w:overflowPunct/>
        <w:topLinePunct w:val="0"/>
        <w:autoSpaceDE w:val="0"/>
        <w:autoSpaceDN w:val="0"/>
        <w:bidi w:val="0"/>
        <w:adjustRightInd w:val="0"/>
        <w:snapToGrid w:val="0"/>
        <w:spacing w:afterAutospacing="0" w:line="360" w:lineRule="auto"/>
        <w:ind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加强对关闭矿山的监管工作。</w:t>
      </w:r>
      <w:r>
        <w:rPr>
          <w:rFonts w:hint="default" w:ascii="Times New Roman" w:hAnsi="Times New Roman" w:eastAsia="仿宋_GB2312" w:cs="Times New Roman"/>
          <w:color w:val="auto"/>
          <w:spacing w:val="5"/>
          <w:sz w:val="32"/>
          <w:szCs w:val="32"/>
          <w:highlight w:val="none"/>
          <w:lang w:val="en-US" w:eastAsia="zh-CN"/>
        </w:rPr>
        <w:t>采矿权人主动申请注销采矿权的，区自然资源主管部门要在收到申请后对矿山地质环境保护与土地复垦方案执行情况进行验收；验收不合格的，责令整改</w:t>
      </w:r>
      <w:r>
        <w:rPr>
          <w:rFonts w:hint="eastAsia" w:ascii="Times New Roman" w:hAnsi="Times New Roman" w:eastAsia="仿宋_GB2312" w:cs="Times New Roman"/>
          <w:color w:val="auto"/>
          <w:spacing w:val="5"/>
          <w:sz w:val="32"/>
          <w:szCs w:val="32"/>
          <w:highlight w:val="none"/>
          <w:lang w:val="en-US" w:eastAsia="zh-CN"/>
        </w:rPr>
        <w:t>，</w:t>
      </w:r>
      <w:r>
        <w:rPr>
          <w:rFonts w:hint="default" w:ascii="Times New Roman" w:hAnsi="Times New Roman" w:eastAsia="仿宋_GB2312" w:cs="Times New Roman"/>
          <w:color w:val="auto"/>
          <w:spacing w:val="5"/>
          <w:sz w:val="32"/>
          <w:szCs w:val="32"/>
          <w:highlight w:val="none"/>
          <w:lang w:val="en-US" w:eastAsia="zh-CN"/>
        </w:rPr>
        <w:t>逾期未完成整改的，委托第三方开展修复治理</w:t>
      </w:r>
      <w:r>
        <w:rPr>
          <w:rFonts w:hint="eastAsia" w:ascii="Times New Roman" w:hAnsi="Times New Roman" w:eastAsia="仿宋_GB2312" w:cs="Times New Roman"/>
          <w:color w:val="auto"/>
          <w:spacing w:val="5"/>
          <w:sz w:val="32"/>
          <w:szCs w:val="32"/>
          <w:highlight w:val="none"/>
          <w:lang w:val="en-US" w:eastAsia="zh-CN"/>
        </w:rPr>
        <w:t>，</w:t>
      </w:r>
      <w:r>
        <w:rPr>
          <w:rFonts w:hint="default" w:ascii="Times New Roman" w:hAnsi="Times New Roman" w:eastAsia="仿宋_GB2312" w:cs="Times New Roman"/>
          <w:color w:val="auto"/>
          <w:spacing w:val="5"/>
          <w:sz w:val="32"/>
          <w:szCs w:val="32"/>
          <w:highlight w:val="none"/>
          <w:lang w:val="en-US" w:eastAsia="zh-CN"/>
        </w:rPr>
        <w:t>相关费用由矿业权人承担。关闭矿山，区人民政府应明确修复治理责任主体并向社会公告，由原矿山企业负责修复治理的，原矿山企业要编制修复治理方案，由区人民政府或受区人民政府委托机构组织专家对方案进行评审，区级自然资源主管部门要督促矿山企业严格按照评审通过的方案完成修复治理；由区人民政府负责修复治理的，应当纳入当地规划统筹推进，完成修复治理后区人民政府应组织有关部门进行验收。</w:t>
      </w:r>
    </w:p>
    <w:p w14:paraId="57E9179D">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33" w:name="_Toc9283"/>
      <w:bookmarkStart w:id="34" w:name="_Toc23724"/>
      <w:r>
        <w:rPr>
          <w:rFonts w:hint="default" w:ascii="Times New Roman" w:hAnsi="Times New Roman" w:eastAsia="黑体" w:cs="Times New Roman"/>
          <w:color w:val="auto"/>
          <w:spacing w:val="4"/>
          <w:sz w:val="32"/>
          <w:szCs w:val="32"/>
          <w:highlight w:val="none"/>
        </w:rPr>
        <w:t>第</w:t>
      </w:r>
      <w:r>
        <w:rPr>
          <w:rFonts w:hint="default" w:ascii="Times New Roman" w:hAnsi="Times New Roman" w:eastAsia="黑体" w:cs="Times New Roman"/>
          <w:color w:val="auto"/>
          <w:spacing w:val="4"/>
          <w:sz w:val="32"/>
          <w:szCs w:val="32"/>
          <w:highlight w:val="none"/>
          <w:lang w:val="en-US" w:eastAsia="zh-CN"/>
        </w:rPr>
        <w:t>四</w:t>
      </w:r>
      <w:r>
        <w:rPr>
          <w:rFonts w:hint="default" w:ascii="Times New Roman" w:hAnsi="Times New Roman" w:eastAsia="黑体" w:cs="Times New Roman"/>
          <w:color w:val="auto"/>
          <w:spacing w:val="4"/>
          <w:sz w:val="32"/>
          <w:szCs w:val="32"/>
          <w:highlight w:val="none"/>
        </w:rPr>
        <w:t>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研究推广适用矿山治理模式</w:t>
      </w:r>
      <w:bookmarkEnd w:id="33"/>
      <w:bookmarkEnd w:id="34"/>
    </w:p>
    <w:p w14:paraId="39A65F9B">
      <w:pPr>
        <w:keepNext w:val="0"/>
        <w:keepLines w:val="0"/>
        <w:pageBreakBefore w:val="0"/>
        <w:widowControl/>
        <w:kinsoku/>
        <w:wordWrap/>
        <w:overflowPunct/>
        <w:topLinePunct w:val="0"/>
        <w:autoSpaceDE w:val="0"/>
        <w:autoSpaceDN w:val="0"/>
        <w:bidi w:val="0"/>
        <w:adjustRightInd w:val="0"/>
        <w:snapToGrid w:val="0"/>
        <w:spacing w:afterAutospacing="0" w:line="360" w:lineRule="auto"/>
        <w:ind w:left="0" w:right="0" w:firstLine="644" w:firstLineChars="200"/>
        <w:jc w:val="both"/>
        <w:textAlignment w:val="baseline"/>
        <w:rPr>
          <w:rFonts w:hint="default" w:ascii="Times New Roman" w:hAnsi="Times New Roman" w:eastAsia="仿宋" w:cs="Times New Roman"/>
          <w:color w:val="auto"/>
          <w:sz w:val="31"/>
          <w:szCs w:val="31"/>
          <w:highlight w:val="none"/>
        </w:rPr>
        <w:sectPr>
          <w:footerReference r:id="rId12" w:type="default"/>
          <w:pgSz w:w="11906" w:h="16839"/>
          <w:pgMar w:top="1431" w:right="1368" w:bottom="1556" w:left="1597" w:header="0" w:footer="1303" w:gutter="0"/>
          <w:pgNumType w:fmt="decimal"/>
          <w:cols w:space="720" w:num="1"/>
        </w:sectPr>
      </w:pPr>
      <w:r>
        <w:rPr>
          <w:rFonts w:hint="default" w:ascii="Times New Roman" w:hAnsi="Times New Roman" w:eastAsia="楷体" w:cs="Times New Roman"/>
          <w:color w:val="auto"/>
          <w:spacing w:val="1"/>
          <w:sz w:val="32"/>
          <w:szCs w:val="32"/>
          <w:highlight w:val="none"/>
        </w:rPr>
        <w:t>加强修复治理技术研究</w:t>
      </w:r>
      <w:r>
        <w:rPr>
          <w:rFonts w:hint="default" w:ascii="Times New Roman" w:hAnsi="Times New Roman" w:eastAsia="楷体" w:cs="Times New Roman"/>
          <w:color w:val="auto"/>
          <w:spacing w:val="1"/>
          <w:sz w:val="32"/>
          <w:szCs w:val="32"/>
          <w:highlight w:val="none"/>
          <w:lang w:eastAsia="zh-CN"/>
        </w:rPr>
        <w:t>，</w:t>
      </w:r>
      <w:r>
        <w:rPr>
          <w:rFonts w:hint="default" w:ascii="Times New Roman" w:hAnsi="Times New Roman" w:eastAsia="楷体" w:cs="Times New Roman"/>
          <w:color w:val="auto"/>
          <w:spacing w:val="1"/>
          <w:sz w:val="32"/>
          <w:szCs w:val="32"/>
          <w:highlight w:val="none"/>
        </w:rPr>
        <w:t>推广先进适用治理模式。</w:t>
      </w:r>
      <w:r>
        <w:rPr>
          <w:rFonts w:hint="default" w:ascii="Times New Roman" w:hAnsi="Times New Roman" w:eastAsia="仿宋_GB2312" w:cs="Times New Roman"/>
          <w:color w:val="auto"/>
          <w:spacing w:val="5"/>
          <w:sz w:val="32"/>
          <w:szCs w:val="32"/>
          <w:highlight w:val="none"/>
          <w:lang w:val="en-US" w:eastAsia="zh-CN"/>
        </w:rPr>
        <w:t>鼓励矿山投资环境科学技术研究，推广应用先进技术和方法；鼓励企业不断引进和研发新技术，对现有生产工艺及装备进行升级改造，实现矿产资源的高效利用；加强与区内先进科技创新企业、高等院校的合作与交流，学习和引进先进的矿山修复治理技术。</w:t>
      </w:r>
    </w:p>
    <w:p w14:paraId="5EDE72C4">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35" w:name="_Toc12092"/>
      <w:bookmarkStart w:id="36" w:name="_Toc14851"/>
      <w:r>
        <w:rPr>
          <w:rFonts w:hint="default" w:ascii="Times New Roman" w:hAnsi="Times New Roman" w:eastAsia="方正小标宋_GBK" w:cs="Times New Roman"/>
          <w:b w:val="0"/>
          <w:bCs w:val="0"/>
          <w:color w:val="auto"/>
          <w:spacing w:val="5"/>
          <w:sz w:val="43"/>
          <w:szCs w:val="43"/>
          <w:highlight w:val="none"/>
        </w:rPr>
        <w:t>第五章</w:t>
      </w:r>
      <w:r>
        <w:rPr>
          <w:rFonts w:hint="default" w:ascii="Times New Roman" w:hAnsi="Times New Roman" w:eastAsia="方正小标宋_GBK" w:cs="Times New Roman"/>
          <w:b w:val="0"/>
          <w:bCs w:val="0"/>
          <w:color w:val="auto"/>
          <w:spacing w:val="5"/>
          <w:sz w:val="43"/>
          <w:szCs w:val="43"/>
          <w:highlight w:val="none"/>
          <w:lang w:val="en-US" w:eastAsia="zh-CN"/>
        </w:rPr>
        <w:t xml:space="preserve">  提升</w:t>
      </w:r>
      <w:r>
        <w:rPr>
          <w:rFonts w:hint="default" w:ascii="Times New Roman" w:hAnsi="Times New Roman" w:eastAsia="方正小标宋_GBK" w:cs="Times New Roman"/>
          <w:b w:val="0"/>
          <w:bCs w:val="0"/>
          <w:color w:val="auto"/>
          <w:spacing w:val="5"/>
          <w:sz w:val="43"/>
          <w:szCs w:val="43"/>
          <w:highlight w:val="none"/>
        </w:rPr>
        <w:t>非煤矿山开发</w:t>
      </w:r>
      <w:bookmarkEnd w:id="35"/>
      <w:r>
        <w:rPr>
          <w:rFonts w:hint="default" w:ascii="Times New Roman" w:hAnsi="Times New Roman" w:eastAsia="方正小标宋_GBK" w:cs="Times New Roman"/>
          <w:b w:val="0"/>
          <w:bCs w:val="0"/>
          <w:color w:val="auto"/>
          <w:spacing w:val="5"/>
          <w:sz w:val="43"/>
          <w:szCs w:val="43"/>
          <w:highlight w:val="none"/>
          <w:lang w:val="en-US" w:eastAsia="zh-CN"/>
        </w:rPr>
        <w:t>质量和水平</w:t>
      </w:r>
      <w:bookmarkEnd w:id="36"/>
    </w:p>
    <w:p w14:paraId="0EDEB725">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坚持以矿业高质量发展为导向，严格规划准入管理，加强矿山开发治理，优化矿山开发布局，提升资源利用效率，提高矿山本质安全水平，推进矿山绿色发展，激发矿业发展活力。</w:t>
      </w:r>
    </w:p>
    <w:p w14:paraId="20E076A9">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37" w:name="_Toc1290"/>
      <w:bookmarkStart w:id="38" w:name="_Toc7344"/>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优化开发布局结构</w:t>
      </w:r>
      <w:bookmarkEnd w:id="37"/>
      <w:bookmarkEnd w:id="38"/>
    </w:p>
    <w:p w14:paraId="2BB9E19E">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楷体" w:cs="Times New Roman"/>
          <w:color w:val="auto"/>
          <w:spacing w:val="6"/>
          <w:sz w:val="31"/>
          <w:szCs w:val="31"/>
          <w:highlight w:val="none"/>
          <w:lang w:eastAsia="zh-CN"/>
        </w:rPr>
      </w:pPr>
      <w:r>
        <w:rPr>
          <w:rFonts w:hint="default" w:ascii="Times New Roman" w:hAnsi="Times New Roman" w:eastAsia="楷体" w:cs="Times New Roman"/>
          <w:color w:val="auto"/>
          <w:spacing w:val="1"/>
          <w:sz w:val="32"/>
          <w:szCs w:val="32"/>
          <w:highlight w:val="none"/>
          <w:lang w:eastAsia="zh-CN"/>
        </w:rPr>
        <w:t>严格规划管控</w:t>
      </w:r>
      <w:r>
        <w:rPr>
          <w:rFonts w:hint="default" w:ascii="Times New Roman" w:hAnsi="Times New Roman" w:eastAsia="楷体" w:cs="Times New Roman"/>
          <w:color w:val="auto"/>
          <w:spacing w:val="1"/>
          <w:sz w:val="32"/>
          <w:szCs w:val="32"/>
          <w:highlight w:val="none"/>
        </w:rPr>
        <w:t>。</w:t>
      </w:r>
      <w:r>
        <w:rPr>
          <w:rFonts w:hint="default" w:ascii="Times New Roman" w:hAnsi="Times New Roman" w:eastAsia="仿宋_GB2312" w:cs="Times New Roman"/>
          <w:color w:val="auto"/>
          <w:spacing w:val="5"/>
          <w:sz w:val="32"/>
          <w:szCs w:val="32"/>
          <w:highlight w:val="none"/>
          <w:lang w:val="en-US" w:eastAsia="zh-CN"/>
        </w:rPr>
        <w:t>强化矿业权准入要求，严格执行新建矿山最低开采规模要求；加强矿产资源开发利用方案审查工作，严禁在生态保护红线内、永久基本农田、城镇开发边界内、自然保护区、风景名胜区、饮用水水源保护区、地质遗迹保护区、文物保护单位的保护范围内和铁路高速公路国道两侧</w:t>
      </w:r>
      <w:r>
        <w:rPr>
          <w:rFonts w:hint="eastAsia" w:ascii="Times New Roman" w:hAnsi="Times New Roman" w:eastAsia="仿宋_GB2312" w:cs="Times New Roman"/>
          <w:color w:val="auto"/>
          <w:spacing w:val="5"/>
          <w:sz w:val="32"/>
          <w:szCs w:val="32"/>
          <w:highlight w:val="none"/>
          <w:lang w:val="en-US" w:eastAsia="zh-CN"/>
        </w:rPr>
        <w:t>规定</w:t>
      </w:r>
      <w:r>
        <w:rPr>
          <w:rFonts w:hint="default" w:ascii="Times New Roman" w:hAnsi="Times New Roman" w:eastAsia="仿宋_GB2312" w:cs="Times New Roman"/>
          <w:color w:val="auto"/>
          <w:spacing w:val="5"/>
          <w:sz w:val="32"/>
          <w:szCs w:val="32"/>
          <w:highlight w:val="none"/>
          <w:lang w:val="en-US" w:eastAsia="zh-CN"/>
        </w:rPr>
        <w:t>范围内新批固体矿产资源开发项目。</w:t>
      </w:r>
    </w:p>
    <w:p w14:paraId="50C308B5">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优化</w:t>
      </w:r>
      <w:r>
        <w:rPr>
          <w:rFonts w:hint="default" w:ascii="Times New Roman" w:hAnsi="Times New Roman" w:eastAsia="楷体" w:cs="Times New Roman"/>
          <w:color w:val="auto"/>
          <w:spacing w:val="1"/>
          <w:sz w:val="32"/>
          <w:szCs w:val="32"/>
          <w:highlight w:val="none"/>
          <w:lang w:eastAsia="zh-CN"/>
        </w:rPr>
        <w:t>调整开发布局。</w:t>
      </w:r>
      <w:r>
        <w:rPr>
          <w:rFonts w:hint="default" w:ascii="Times New Roman" w:hAnsi="Times New Roman" w:eastAsia="仿宋_GB2312" w:cs="Times New Roman"/>
          <w:color w:val="auto"/>
          <w:spacing w:val="5"/>
          <w:sz w:val="32"/>
          <w:szCs w:val="32"/>
          <w:highlight w:val="none"/>
          <w:lang w:val="en-US" w:eastAsia="zh-CN"/>
        </w:rPr>
        <w:t>根据鹿泉区内矿产资源分布特点及经济需求，优化矿产资源开发布局结构，提高非煤矿产资源开发与集约节约利用水平；突出水泥用石灰岩资源重点发展区域，鹿泉五岔口-小栈道村水泥用灰岩重点发展区和鹿泉东焦水泥用灰岩重点发展区，提升资源保障能力。</w:t>
      </w:r>
    </w:p>
    <w:p w14:paraId="799B9CDA">
      <w:pPr>
        <w:keepNext w:val="0"/>
        <w:keepLines w:val="0"/>
        <w:pageBreakBefore w:val="0"/>
        <w:widowControl/>
        <w:kinsoku/>
        <w:wordWrap/>
        <w:overflowPunct/>
        <w:topLinePunct w:val="0"/>
        <w:autoSpaceDE w:val="0"/>
        <w:autoSpaceDN w:val="0"/>
        <w:bidi w:val="0"/>
        <w:adjustRightInd w:val="0"/>
        <w:snapToGrid w:val="0"/>
        <w:spacing w:line="360" w:lineRule="auto"/>
        <w:ind w:left="17" w:firstLine="660" w:firstLineChars="200"/>
        <w:textAlignment w:val="baseline"/>
        <w:rPr>
          <w:rFonts w:hint="default" w:ascii="Times New Roman" w:hAnsi="Times New Roman" w:eastAsia="仿宋_GB2312" w:cs="Times New Roman"/>
          <w:color w:val="auto"/>
          <w:spacing w:val="5"/>
          <w:sz w:val="32"/>
          <w:szCs w:val="32"/>
          <w:highlight w:val="none"/>
          <w:lang w:val="en-US" w:eastAsia="zh-CN"/>
        </w:rPr>
      </w:pPr>
    </w:p>
    <w:p w14:paraId="6121AEF7">
      <w:pPr>
        <w:rPr>
          <w:rFonts w:hint="default" w:ascii="Times New Roman" w:hAnsi="Times New Roman" w:eastAsia="黑体" w:cs="Times New Roman"/>
          <w:color w:val="auto"/>
          <w:spacing w:val="4"/>
          <w:sz w:val="32"/>
          <w:szCs w:val="32"/>
          <w:highlight w:val="none"/>
          <w:lang w:eastAsia="zh-CN"/>
        </w:rPr>
      </w:pPr>
      <w:bookmarkStart w:id="39" w:name="_Toc1936"/>
      <w:bookmarkStart w:id="40" w:name="_Toc8856"/>
      <w:r>
        <w:rPr>
          <w:rFonts w:hint="default" w:ascii="Times New Roman" w:hAnsi="Times New Roman" w:eastAsia="黑体" w:cs="Times New Roman"/>
          <w:color w:val="auto"/>
          <w:spacing w:val="4"/>
          <w:sz w:val="32"/>
          <w:szCs w:val="32"/>
          <w:highlight w:val="none"/>
          <w:lang w:eastAsia="zh-CN"/>
        </w:rPr>
        <w:br w:type="page"/>
      </w:r>
    </w:p>
    <w:p w14:paraId="281BE4C6">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r>
        <w:rPr>
          <w:rFonts w:hint="default" w:ascii="Times New Roman" w:hAnsi="Times New Roman" w:eastAsia="黑体" w:cs="Times New Roman"/>
          <w:color w:val="auto"/>
          <w:spacing w:val="4"/>
          <w:sz w:val="32"/>
          <w:szCs w:val="32"/>
          <w:highlight w:val="none"/>
          <w:lang w:eastAsia="zh-CN"/>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提</w:t>
      </w:r>
      <w:r>
        <w:rPr>
          <w:rFonts w:hint="default" w:ascii="Times New Roman" w:hAnsi="Times New Roman" w:eastAsia="黑体" w:cs="Times New Roman"/>
          <w:color w:val="auto"/>
          <w:spacing w:val="4"/>
          <w:sz w:val="32"/>
          <w:szCs w:val="32"/>
          <w:highlight w:val="none"/>
          <w:lang w:val="en-US" w:eastAsia="zh-CN"/>
        </w:rPr>
        <w:t>高</w:t>
      </w:r>
      <w:r>
        <w:rPr>
          <w:rFonts w:hint="default" w:ascii="Times New Roman" w:hAnsi="Times New Roman" w:eastAsia="黑体" w:cs="Times New Roman"/>
          <w:color w:val="auto"/>
          <w:spacing w:val="4"/>
          <w:sz w:val="32"/>
          <w:szCs w:val="32"/>
          <w:highlight w:val="none"/>
        </w:rPr>
        <w:t>资源利用效率</w:t>
      </w:r>
      <w:bookmarkEnd w:id="39"/>
      <w:bookmarkEnd w:id="40"/>
    </w:p>
    <w:p w14:paraId="0DCF43F5">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 w:cs="Times New Roman"/>
          <w:color w:val="auto"/>
          <w:spacing w:val="5"/>
          <w:sz w:val="32"/>
          <w:szCs w:val="32"/>
          <w:highlight w:val="none"/>
          <w:lang w:eastAsia="zh-CN"/>
        </w:rPr>
      </w:pPr>
      <w:r>
        <w:rPr>
          <w:rFonts w:hint="default" w:ascii="Times New Roman" w:hAnsi="Times New Roman" w:eastAsia="楷体" w:cs="Times New Roman"/>
          <w:color w:val="auto"/>
          <w:spacing w:val="1"/>
          <w:sz w:val="32"/>
          <w:szCs w:val="32"/>
          <w:highlight w:val="none"/>
          <w:lang w:eastAsia="zh-CN"/>
        </w:rPr>
        <w:t>推进资源节约集约和高效利用。</w:t>
      </w:r>
      <w:r>
        <w:rPr>
          <w:rFonts w:hint="default" w:ascii="Times New Roman" w:hAnsi="Times New Roman" w:eastAsia="仿宋_GB2312" w:cs="Times New Roman"/>
          <w:color w:val="auto"/>
          <w:spacing w:val="5"/>
          <w:sz w:val="32"/>
          <w:szCs w:val="32"/>
          <w:highlight w:val="none"/>
          <w:lang w:val="en-US" w:eastAsia="zh-CN"/>
        </w:rPr>
        <w:t>加强非煤矿山领域先进技术装备推广应用，推广使用高效采矿、高效利用的技术，禁止采用落后、浪费资源的开采技术；严格执行国家“三率”指标要求，支持企业不断研发、引进先进生产工艺和设备，提升“三率”水平。</w:t>
      </w:r>
    </w:p>
    <w:p w14:paraId="0B61AC19">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 w:cs="Times New Roman"/>
          <w:color w:val="auto"/>
          <w:spacing w:val="4"/>
          <w:sz w:val="31"/>
          <w:szCs w:val="31"/>
          <w:highlight w:val="none"/>
        </w:rPr>
      </w:pPr>
      <w:r>
        <w:rPr>
          <w:rFonts w:hint="default" w:ascii="Times New Roman" w:hAnsi="Times New Roman" w:eastAsia="楷体" w:cs="Times New Roman"/>
          <w:color w:val="auto"/>
          <w:spacing w:val="1"/>
          <w:sz w:val="32"/>
          <w:szCs w:val="32"/>
          <w:highlight w:val="none"/>
          <w:lang w:val="en-US" w:eastAsia="zh-CN"/>
        </w:rPr>
        <w:t>提升矿山废弃物综合利用水平。</w:t>
      </w:r>
      <w:r>
        <w:rPr>
          <w:rFonts w:hint="default" w:ascii="Times New Roman" w:hAnsi="Times New Roman" w:eastAsia="仿宋_GB2312" w:cs="Times New Roman"/>
          <w:color w:val="auto"/>
          <w:spacing w:val="5"/>
          <w:sz w:val="32"/>
          <w:szCs w:val="32"/>
          <w:highlight w:val="none"/>
          <w:lang w:val="en-US" w:eastAsia="zh-CN"/>
        </w:rPr>
        <w:t>推进矿山固废的综合利用。鼓励矿山对固废开展综合利用，努力降低资源消耗。非煤矿山开采过程中剥离的低品位矿石可作为建筑石料或作为水泥生产配料掺入生产水泥，即可充分利用资源，又提升矿山生态环境。</w:t>
      </w:r>
    </w:p>
    <w:p w14:paraId="3EA8166D">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41" w:name="_Toc31710"/>
      <w:bookmarkStart w:id="42" w:name="_Toc27906"/>
      <w:r>
        <w:rPr>
          <w:rFonts w:hint="default" w:ascii="Times New Roman" w:hAnsi="Times New Roman" w:eastAsia="黑体" w:cs="Times New Roman"/>
          <w:color w:val="auto"/>
          <w:spacing w:val="4"/>
          <w:sz w:val="32"/>
          <w:szCs w:val="32"/>
          <w:highlight w:val="none"/>
        </w:rPr>
        <w:t>第三节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提</w:t>
      </w:r>
      <w:r>
        <w:rPr>
          <w:rFonts w:hint="default" w:ascii="Times New Roman" w:hAnsi="Times New Roman" w:eastAsia="黑体" w:cs="Times New Roman"/>
          <w:color w:val="auto"/>
          <w:spacing w:val="4"/>
          <w:sz w:val="32"/>
          <w:szCs w:val="32"/>
          <w:highlight w:val="none"/>
          <w:lang w:val="en-US" w:eastAsia="zh-CN"/>
        </w:rPr>
        <w:t>升</w:t>
      </w:r>
      <w:r>
        <w:rPr>
          <w:rFonts w:hint="default" w:ascii="Times New Roman" w:hAnsi="Times New Roman" w:eastAsia="黑体" w:cs="Times New Roman"/>
          <w:color w:val="auto"/>
          <w:spacing w:val="4"/>
          <w:sz w:val="32"/>
          <w:szCs w:val="32"/>
          <w:highlight w:val="none"/>
          <w:lang w:eastAsia="zh-CN"/>
        </w:rPr>
        <w:t>本质安全</w:t>
      </w:r>
      <w:r>
        <w:rPr>
          <w:rFonts w:hint="default" w:ascii="Times New Roman" w:hAnsi="Times New Roman" w:eastAsia="黑体" w:cs="Times New Roman"/>
          <w:color w:val="auto"/>
          <w:spacing w:val="4"/>
          <w:sz w:val="32"/>
          <w:szCs w:val="32"/>
          <w:highlight w:val="none"/>
        </w:rPr>
        <w:t>水平</w:t>
      </w:r>
      <w:bookmarkEnd w:id="41"/>
      <w:bookmarkEnd w:id="42"/>
    </w:p>
    <w:p w14:paraId="2A94348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强化非煤矿山安全管理。</w:t>
      </w:r>
      <w:r>
        <w:rPr>
          <w:rFonts w:hint="default" w:ascii="Times New Roman" w:hAnsi="Times New Roman" w:eastAsia="仿宋_GB2312" w:cs="Times New Roman"/>
          <w:color w:val="auto"/>
          <w:spacing w:val="5"/>
          <w:sz w:val="32"/>
          <w:szCs w:val="32"/>
          <w:highlight w:val="none"/>
          <w:lang w:val="en-US" w:eastAsia="zh-CN"/>
        </w:rPr>
        <w:t>新设立采矿权的非煤矿山必须符合矿山安全生产规定及相应的安全设施，安全设施设计必须依法通过</w:t>
      </w:r>
      <w:r>
        <w:rPr>
          <w:rFonts w:hint="eastAsia" w:ascii="Times New Roman" w:hAnsi="Times New Roman" w:eastAsia="仿宋_GB2312" w:cs="Times New Roman"/>
          <w:color w:val="auto"/>
          <w:spacing w:val="5"/>
          <w:sz w:val="32"/>
          <w:szCs w:val="32"/>
          <w:highlight w:val="none"/>
          <w:lang w:val="en-US" w:eastAsia="zh-CN"/>
        </w:rPr>
        <w:t>应急</w:t>
      </w:r>
      <w:r>
        <w:rPr>
          <w:rFonts w:hint="default" w:ascii="Times New Roman" w:hAnsi="Times New Roman" w:eastAsia="仿宋_GB2312" w:cs="Times New Roman"/>
          <w:color w:val="auto"/>
          <w:spacing w:val="5"/>
          <w:sz w:val="32"/>
          <w:szCs w:val="32"/>
          <w:highlight w:val="none"/>
          <w:lang w:val="en-US" w:eastAsia="zh-CN"/>
        </w:rPr>
        <w:t>部门审查审批；非煤矿山需取得《安全生产许可证》后方可开展矿山生产活动；矿山建设项目安全设施必须与主体工程同时设计、同时施工、同时投入生产和使用；矿山企业应当严格按照经审查批准的安全设施设计建设、生产；定期开展应急演练，制定应急预案；完善安全生产基本条件，推广安全生产适用技术及装备。</w:t>
      </w:r>
    </w:p>
    <w:p w14:paraId="7080A24F">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 w:cs="Times New Roman"/>
          <w:color w:val="auto"/>
          <w:spacing w:val="4"/>
          <w:sz w:val="31"/>
          <w:szCs w:val="31"/>
          <w:highlight w:val="none"/>
        </w:rPr>
      </w:pPr>
      <w:r>
        <w:rPr>
          <w:rFonts w:hint="default" w:ascii="Times New Roman" w:hAnsi="Times New Roman" w:eastAsia="楷体" w:cs="Times New Roman"/>
          <w:color w:val="auto"/>
          <w:spacing w:val="1"/>
          <w:sz w:val="32"/>
          <w:szCs w:val="32"/>
          <w:highlight w:val="none"/>
        </w:rPr>
        <w:t>筑牢企业安全生产根基。</w:t>
      </w:r>
      <w:r>
        <w:rPr>
          <w:rFonts w:hint="default" w:ascii="Times New Roman" w:hAnsi="Times New Roman" w:eastAsia="仿宋_GB2312" w:cs="Times New Roman"/>
          <w:color w:val="auto"/>
          <w:spacing w:val="5"/>
          <w:sz w:val="32"/>
          <w:szCs w:val="32"/>
          <w:highlight w:val="none"/>
          <w:lang w:val="en-US" w:eastAsia="zh-CN"/>
        </w:rPr>
        <w:t>建立并落实全员安全生产岗位责任制、安全生产管理制度、重大违法违规信息公示制度、联合惩戒制度和举报奖励制度；健全以安全风险分级管控和隐患排查治理双重预防机制为核心的安全生产标准化管理体系，强化风险监测预警处置，加强应急处置能力建设。加强安全生产标准化建设，提高非煤矿山企业技术装备和本质安全水平；严格落实党政领导矿山安全领导责任，组织开展区域性矿山隐蔽致灾因素普查治理。严厉打击非法盗采矿产资源行为。</w:t>
      </w:r>
    </w:p>
    <w:p w14:paraId="51100EC5">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lang w:val="en-US" w:eastAsia="zh-CN"/>
        </w:rPr>
      </w:pPr>
      <w:bookmarkStart w:id="43" w:name="_Toc25745"/>
      <w:bookmarkStart w:id="44" w:name="_Toc30526"/>
      <w:r>
        <w:rPr>
          <w:rFonts w:hint="default" w:ascii="Times New Roman" w:hAnsi="Times New Roman" w:eastAsia="黑体" w:cs="Times New Roman"/>
          <w:color w:val="auto"/>
          <w:spacing w:val="4"/>
          <w:sz w:val="32"/>
          <w:szCs w:val="32"/>
          <w:highlight w:val="none"/>
        </w:rPr>
        <w:t>第四节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推进矿山绿色</w:t>
      </w:r>
      <w:bookmarkEnd w:id="43"/>
      <w:r>
        <w:rPr>
          <w:rFonts w:hint="default" w:ascii="Times New Roman" w:hAnsi="Times New Roman" w:eastAsia="黑体" w:cs="Times New Roman"/>
          <w:color w:val="auto"/>
          <w:spacing w:val="4"/>
          <w:sz w:val="32"/>
          <w:szCs w:val="32"/>
          <w:highlight w:val="none"/>
          <w:lang w:val="en-US" w:eastAsia="zh-CN"/>
        </w:rPr>
        <w:t>建设</w:t>
      </w:r>
      <w:bookmarkEnd w:id="44"/>
    </w:p>
    <w:p w14:paraId="44341D5C">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践行绿色发展理念。</w:t>
      </w:r>
      <w:r>
        <w:rPr>
          <w:rFonts w:hint="default" w:ascii="Times New Roman" w:hAnsi="Times New Roman" w:eastAsia="仿宋_GB2312" w:cs="Times New Roman"/>
          <w:color w:val="auto"/>
          <w:spacing w:val="5"/>
          <w:sz w:val="32"/>
          <w:szCs w:val="32"/>
          <w:highlight w:val="none"/>
          <w:lang w:val="en-US" w:eastAsia="zh-CN"/>
        </w:rPr>
        <w:t>树立“绿水青山就是金山银山”理念，将绿色发展贯穿于矿产资源开发利用与保护全过程，在制度、技术、监管等方面，推进矿业绿色低碳转型发展；落实绿色矿山建设标准，推动矿山企业数字化、智能化、低碳化发展；鼓励矿山企业技术创新，推动关键技术研究，促进绿色低碳新技术、新工艺、新装备应用。</w:t>
      </w:r>
    </w:p>
    <w:p w14:paraId="4A4ABF33">
      <w:pPr>
        <w:keepNext w:val="0"/>
        <w:keepLines w:val="0"/>
        <w:pageBreakBefore w:val="0"/>
        <w:widowControl/>
        <w:kinsoku/>
        <w:wordWrap/>
        <w:overflowPunct/>
        <w:topLinePunct w:val="0"/>
        <w:autoSpaceDE w:val="0"/>
        <w:autoSpaceDN w:val="0"/>
        <w:bidi w:val="0"/>
        <w:adjustRightInd w:val="0"/>
        <w:snapToGrid w:val="0"/>
        <w:spacing w:line="360" w:lineRule="auto"/>
        <w:ind w:lef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推进绿色矿山建设。</w:t>
      </w:r>
      <w:r>
        <w:rPr>
          <w:rFonts w:hint="default" w:ascii="Times New Roman" w:hAnsi="Times New Roman" w:eastAsia="仿宋_GB2312" w:cs="Times New Roman"/>
          <w:color w:val="auto"/>
          <w:spacing w:val="5"/>
          <w:sz w:val="32"/>
          <w:szCs w:val="32"/>
          <w:highlight w:val="none"/>
          <w:lang w:val="en-US" w:eastAsia="zh-CN"/>
        </w:rPr>
        <w:t>新设立矿权的非煤矿山从勘查、开发、利用、生态修复等方面全方位融入绿色发展理念，依法对非煤矿山的生态环境保护措施落实情况进行监督检查；未进入绿色矿山名录的非煤矿山，落实绿色矿山建设责任主体，制定绿色矿山年度推进计划，按照绿色矿山标准加快升级改造，达到绿色矿山建设标准；已纳入绿色矿山名录的非煤矿山，要不断巩固建设成果，提升资源开发利用和保护水平，发挥示范带头作用；规划期末，绿色矿山建设工作机制更加完善，持证在产矿山全部达到绿色矿山标准要求，力争全部通过绿色矿山评估核查，进入国家绿色矿山名录。</w:t>
      </w:r>
    </w:p>
    <w:p w14:paraId="3146BF8A">
      <w:pPr>
        <w:keepNext w:val="0"/>
        <w:keepLines w:val="0"/>
        <w:pageBreakBefore w:val="0"/>
        <w:widowControl/>
        <w:kinsoku/>
        <w:wordWrap/>
        <w:overflowPunct/>
        <w:topLinePunct w:val="0"/>
        <w:autoSpaceDE w:val="0"/>
        <w:autoSpaceDN w:val="0"/>
        <w:bidi w:val="0"/>
        <w:adjustRightInd w:val="0"/>
        <w:snapToGrid w:val="0"/>
        <w:spacing w:before="1" w:line="360" w:lineRule="auto"/>
        <w:ind w:left="11" w:firstLine="640" w:firstLineChars="200"/>
        <w:textAlignment w:val="baseline"/>
        <w:rPr>
          <w:rFonts w:hint="default" w:ascii="Times New Roman" w:hAnsi="Times New Roman" w:eastAsia="仿宋_GB2312" w:cs="Times New Roman"/>
          <w:color w:val="auto"/>
          <w:sz w:val="32"/>
          <w:szCs w:val="32"/>
          <w:highlight w:val="none"/>
        </w:rPr>
      </w:pPr>
    </w:p>
    <w:p w14:paraId="5248A38D">
      <w:pPr>
        <w:keepNext w:val="0"/>
        <w:keepLines w:val="0"/>
        <w:pageBreakBefore w:val="0"/>
        <w:widowControl/>
        <w:kinsoku/>
        <w:wordWrap/>
        <w:overflowPunct/>
        <w:topLinePunct w:val="0"/>
        <w:autoSpaceDE w:val="0"/>
        <w:autoSpaceDN w:val="0"/>
        <w:bidi w:val="0"/>
        <w:adjustRightInd w:val="0"/>
        <w:snapToGrid w:val="0"/>
        <w:spacing w:before="1" w:line="360" w:lineRule="auto"/>
        <w:ind w:left="11" w:firstLine="640" w:firstLineChars="200"/>
        <w:textAlignment w:val="baseline"/>
        <w:rPr>
          <w:rFonts w:hint="default" w:ascii="Times New Roman" w:hAnsi="Times New Roman" w:eastAsia="仿宋_GB2312" w:cs="Times New Roman"/>
          <w:color w:val="auto"/>
          <w:sz w:val="32"/>
          <w:szCs w:val="32"/>
          <w:highlight w:val="none"/>
        </w:rPr>
        <w:sectPr>
          <w:footerReference r:id="rId13" w:type="default"/>
          <w:pgSz w:w="11906" w:h="16839"/>
          <w:pgMar w:top="1431" w:right="1368" w:bottom="1556" w:left="1597" w:header="0" w:footer="1303" w:gutter="0"/>
          <w:pgNumType w:fmt="decimal"/>
          <w:cols w:space="720" w:num="1"/>
        </w:sectPr>
      </w:pPr>
    </w:p>
    <w:p w14:paraId="3594E7E7">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45" w:name="_Toc30703"/>
      <w:bookmarkStart w:id="46" w:name="_Toc22644"/>
      <w:r>
        <w:rPr>
          <w:rFonts w:hint="default" w:ascii="Times New Roman" w:hAnsi="Times New Roman" w:eastAsia="方正小标宋_GBK" w:cs="Times New Roman"/>
          <w:b w:val="0"/>
          <w:bCs w:val="0"/>
          <w:color w:val="auto"/>
          <w:spacing w:val="5"/>
          <w:sz w:val="43"/>
          <w:szCs w:val="43"/>
          <w:highlight w:val="none"/>
        </w:rPr>
        <w:t>第六章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推进非煤矿山治理能力建设</w:t>
      </w:r>
      <w:bookmarkEnd w:id="45"/>
      <w:bookmarkEnd w:id="46"/>
    </w:p>
    <w:p w14:paraId="1E6E5BC0">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完善非煤矿山开发、环境保护、安全生产、资源利用等方面的管理制度，提升监督管理效能，提升非煤矿山的治理能力，促进非煤矿山行业的健康、安全和可持续发展。</w:t>
      </w:r>
    </w:p>
    <w:p w14:paraId="7C004A73">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47" w:name="_Toc26180"/>
      <w:bookmarkStart w:id="48" w:name="_Toc5223"/>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加强</w:t>
      </w:r>
      <w:r>
        <w:rPr>
          <w:rFonts w:hint="default" w:ascii="Times New Roman" w:hAnsi="Times New Roman" w:eastAsia="黑体" w:cs="Times New Roman"/>
          <w:color w:val="auto"/>
          <w:spacing w:val="4"/>
          <w:sz w:val="32"/>
          <w:szCs w:val="32"/>
          <w:highlight w:val="none"/>
        </w:rPr>
        <w:t>管理制度</w:t>
      </w:r>
      <w:bookmarkEnd w:id="47"/>
      <w:bookmarkEnd w:id="48"/>
    </w:p>
    <w:p w14:paraId="0659F269">
      <w:pPr>
        <w:keepNext w:val="0"/>
        <w:keepLines w:val="0"/>
        <w:pageBreakBefore w:val="0"/>
        <w:widowControl/>
        <w:numPr>
          <w:ilvl w:val="0"/>
          <w:numId w:val="0"/>
        </w:numPr>
        <w:suppressLineNumbers w:val="0"/>
        <w:kinsoku/>
        <w:wordWrap/>
        <w:overflowPunct/>
        <w:topLinePunct w:val="0"/>
        <w:autoSpaceDE w:val="0"/>
        <w:autoSpaceDN w:val="0"/>
        <w:bidi w:val="0"/>
        <w:adjustRightInd w:val="0"/>
        <w:snapToGrid w:val="0"/>
        <w:spacing w:beforeAutospacing="0" w:after="0" w:afterAutospacing="0"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eastAsia="zh-CN"/>
        </w:rPr>
        <w:t>落实矿产开发综合论证制度。</w:t>
      </w:r>
      <w:r>
        <w:rPr>
          <w:rFonts w:hint="default" w:ascii="Times New Roman" w:hAnsi="Times New Roman" w:eastAsia="仿宋_GB2312" w:cs="Times New Roman"/>
          <w:color w:val="auto"/>
          <w:spacing w:val="5"/>
          <w:sz w:val="32"/>
          <w:szCs w:val="32"/>
          <w:highlight w:val="none"/>
          <w:lang w:val="en-US" w:eastAsia="zh-CN"/>
        </w:rPr>
        <w:t>严格矿业权出让程序，根据矿产资源规划和资源保障需求，由区人民政府制定年度新设矿业权出让计划，征求当地有关部门、乡镇人民政府和干部群众代表意见后，向市级人民政府提交下年度矿业权出让计划。由市级人民政府组织有关部门和专家，对计划出让的矿业权逐个进行矿产资源利用效益、公共安全、生态环境影响、水资源节约利用、水土流失防治及生态恢复成本等综合论证，将论证通过的矿业权出让计划报省自然资源厅。</w:t>
      </w:r>
    </w:p>
    <w:p w14:paraId="5CD55000">
      <w:pPr>
        <w:keepNext w:val="0"/>
        <w:keepLines w:val="0"/>
        <w:pageBreakBefore w:val="0"/>
        <w:widowControl/>
        <w:numPr>
          <w:ilvl w:val="0"/>
          <w:numId w:val="0"/>
        </w:numPr>
        <w:suppressLineNumbers w:val="0"/>
        <w:kinsoku/>
        <w:wordWrap/>
        <w:overflowPunct/>
        <w:topLinePunct w:val="0"/>
        <w:autoSpaceDE w:val="0"/>
        <w:autoSpaceDN w:val="0"/>
        <w:bidi w:val="0"/>
        <w:adjustRightInd w:val="0"/>
        <w:snapToGrid w:val="0"/>
        <w:spacing w:beforeAutospacing="0" w:after="0" w:afterAutospacing="0"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eastAsia="zh-CN"/>
        </w:rPr>
        <w:t>落实矿山地质环境治理恢复基金计提制度。</w:t>
      </w:r>
      <w:r>
        <w:rPr>
          <w:rFonts w:hint="default" w:ascii="Times New Roman" w:hAnsi="Times New Roman" w:eastAsia="仿宋_GB2312" w:cs="Times New Roman"/>
          <w:color w:val="auto"/>
          <w:spacing w:val="5"/>
          <w:sz w:val="32"/>
          <w:szCs w:val="32"/>
          <w:highlight w:val="none"/>
          <w:lang w:val="en-US" w:eastAsia="zh-CN"/>
        </w:rPr>
        <w:t>矿山企业应在其银行账户中设立基金账户，用以核算基金的提取与使用。按照满足实际需要的原则，根据审查批准的《矿山地质环境保护与恢复治理方案》</w:t>
      </w:r>
      <w:r>
        <w:rPr>
          <w:rFonts w:hint="eastAsia" w:ascii="Times New Roman" w:hAnsi="Times New Roman" w:eastAsia="仿宋_GB2312" w:cs="Times New Roman"/>
          <w:color w:val="auto"/>
          <w:spacing w:val="5"/>
          <w:sz w:val="32"/>
          <w:szCs w:val="32"/>
          <w:highlight w:val="none"/>
          <w:lang w:val="en-US" w:eastAsia="zh-CN"/>
        </w:rPr>
        <w:t>，</w:t>
      </w:r>
      <w:r>
        <w:rPr>
          <w:rFonts w:hint="default" w:ascii="Times New Roman" w:hAnsi="Times New Roman" w:eastAsia="仿宋_GB2312" w:cs="Times New Roman"/>
          <w:color w:val="auto"/>
          <w:spacing w:val="5"/>
          <w:sz w:val="32"/>
          <w:szCs w:val="32"/>
          <w:highlight w:val="none"/>
          <w:lang w:val="en-US" w:eastAsia="zh-CN"/>
        </w:rPr>
        <w:t>将矿山地质环境治理恢复费用按照企业会计准则相关规定预计弃置费用，计入相关资产的入账成本</w:t>
      </w:r>
      <w:r>
        <w:rPr>
          <w:rFonts w:hint="eastAsia" w:ascii="Times New Roman" w:hAnsi="Times New Roman" w:eastAsia="仿宋_GB2312" w:cs="Times New Roman"/>
          <w:color w:val="auto"/>
          <w:spacing w:val="5"/>
          <w:sz w:val="32"/>
          <w:szCs w:val="32"/>
          <w:highlight w:val="none"/>
          <w:lang w:val="en-US" w:eastAsia="zh-CN"/>
        </w:rPr>
        <w:t>，</w:t>
      </w:r>
      <w:r>
        <w:rPr>
          <w:rFonts w:hint="default" w:ascii="Times New Roman" w:hAnsi="Times New Roman" w:eastAsia="仿宋_GB2312" w:cs="Times New Roman"/>
          <w:color w:val="auto"/>
          <w:spacing w:val="5"/>
          <w:sz w:val="32"/>
          <w:szCs w:val="32"/>
          <w:highlight w:val="none"/>
          <w:lang w:val="en-US" w:eastAsia="zh-CN"/>
        </w:rPr>
        <w:t>按照预计开采年限分年度提取、摊销，并将摊销的金额计入当年生产成本。基金的摊销数应等于提取数。基金由采矿权人(矿山企业)自主使用，专项用于因矿产资源勘查开采活动造成的矿区地面塌陷、地裂缝、崩塌滑坡、泥石流、地形地貌景观破坏</w:t>
      </w:r>
      <w:r>
        <w:rPr>
          <w:rFonts w:hint="eastAsia" w:ascii="Times New Roman" w:hAnsi="Times New Roman" w:eastAsia="仿宋_GB2312" w:cs="Times New Roman"/>
          <w:color w:val="auto"/>
          <w:spacing w:val="5"/>
          <w:sz w:val="32"/>
          <w:szCs w:val="32"/>
          <w:highlight w:val="none"/>
          <w:lang w:val="en-US" w:eastAsia="zh-CN"/>
        </w:rPr>
        <w:t>，</w:t>
      </w:r>
      <w:r>
        <w:rPr>
          <w:rFonts w:hint="default" w:ascii="Times New Roman" w:hAnsi="Times New Roman" w:eastAsia="仿宋_GB2312" w:cs="Times New Roman"/>
          <w:color w:val="auto"/>
          <w:spacing w:val="5"/>
          <w:sz w:val="32"/>
          <w:szCs w:val="32"/>
          <w:highlight w:val="none"/>
          <w:lang w:val="en-US" w:eastAsia="zh-CN"/>
        </w:rPr>
        <w:t>地下水含水层破坏、地表植被损毁预防和修复治理，以及矿山地质环境监测等(不含土地复垦)。采矿权人应编制基金年度提取和使用计划，按照国家税收管理、企业财务管理等相关规定，规范基金的提取与使用。基金提取与使用情况录入矿业权人勘查开采信息公示系统，及时向社会公示，接受社会监督。</w:t>
      </w:r>
    </w:p>
    <w:p w14:paraId="2E9087B3">
      <w:pPr>
        <w:keepNext w:val="0"/>
        <w:keepLines w:val="0"/>
        <w:pageBreakBefore w:val="0"/>
        <w:widowControl/>
        <w:kinsoku/>
        <w:wordWrap/>
        <w:overflowPunct/>
        <w:topLinePunct w:val="0"/>
        <w:autoSpaceDE w:val="0"/>
        <w:autoSpaceDN w:val="0"/>
        <w:bidi w:val="0"/>
        <w:adjustRightInd w:val="0"/>
        <w:snapToGrid w:val="0"/>
        <w:spacing w:beforeAutospacing="0" w:afterAutospacing="0"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val="en-US" w:eastAsia="zh-CN"/>
        </w:rPr>
        <w:t>实施矿产资源违法线索举报制度</w:t>
      </w:r>
      <w:r>
        <w:rPr>
          <w:rFonts w:hint="default" w:ascii="Times New Roman" w:hAnsi="Times New Roman" w:eastAsia="楷体" w:cs="Times New Roman"/>
          <w:color w:val="auto"/>
          <w:spacing w:val="1"/>
          <w:sz w:val="32"/>
          <w:szCs w:val="32"/>
          <w:highlight w:val="none"/>
          <w:lang w:eastAsia="zh-CN"/>
        </w:rPr>
        <w:t>。</w:t>
      </w:r>
      <w:r>
        <w:rPr>
          <w:rFonts w:hint="default" w:ascii="Times New Roman" w:hAnsi="Times New Roman" w:eastAsia="仿宋_GB2312" w:cs="Times New Roman"/>
          <w:color w:val="auto"/>
          <w:spacing w:val="5"/>
          <w:sz w:val="32"/>
          <w:szCs w:val="32"/>
          <w:highlight w:val="none"/>
          <w:lang w:val="en-US" w:eastAsia="zh-CN"/>
        </w:rPr>
        <w:t>鼓励举报人实名举报。举报和奖励遵循“属地管理、分级负责”和“谁受理、谁奖励”原则。对矿产资源违法行为，一般应逐级举报。各级自然资源主管部门按照职责权限和管辖层级受理举报事项。受理举报的自然资源主管部门根据举报线索核查处置结果负责实施奖励。受理举报的自然资源主管部门及其工作人员应当严格遵守保密制度，妥善保管和使用举报材料，不得私自摘抄、复制、扣压、销毁，不得以任何方式泄露举报人的身份信息、有关案情及奖励情况。</w:t>
      </w:r>
    </w:p>
    <w:p w14:paraId="11010C3A">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49" w:name="_Toc11573"/>
      <w:bookmarkStart w:id="50" w:name="_Toc26153"/>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强化监督</w:t>
      </w:r>
      <w:r>
        <w:rPr>
          <w:rFonts w:hint="default" w:ascii="Times New Roman" w:hAnsi="Times New Roman" w:eastAsia="黑体" w:cs="Times New Roman"/>
          <w:color w:val="auto"/>
          <w:spacing w:val="4"/>
          <w:sz w:val="32"/>
          <w:szCs w:val="32"/>
          <w:highlight w:val="none"/>
        </w:rPr>
        <w:t>管理效能</w:t>
      </w:r>
      <w:bookmarkEnd w:id="49"/>
      <w:bookmarkEnd w:id="50"/>
    </w:p>
    <w:p w14:paraId="44D9BC85">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健全工作协调机制。</w:t>
      </w:r>
      <w:r>
        <w:rPr>
          <w:rFonts w:hint="default" w:ascii="Times New Roman" w:hAnsi="Times New Roman" w:eastAsia="仿宋_GB2312" w:cs="Times New Roman"/>
          <w:color w:val="auto"/>
          <w:spacing w:val="5"/>
          <w:sz w:val="32"/>
          <w:szCs w:val="32"/>
          <w:highlight w:val="none"/>
          <w:lang w:val="en-US" w:eastAsia="zh-CN"/>
        </w:rPr>
        <w:t>强化督导指导和跟踪问效，积极主动抓好工作落实，加强信息沟通，健全“上下联动、横向协同”综合治理工作协调机制，形成齐抓共管工作合力，共同做好非煤矿山综合治理工作，切实加强部门间沟通协调，督促非煤矿山企业高标准建设、严要求开采、规范化管理，共同做好非煤矿山综合治理工作，为全市经济社会高质量发展提供有力支撑。</w:t>
      </w:r>
    </w:p>
    <w:p w14:paraId="1304049B">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规范矿山建设管理。</w:t>
      </w:r>
      <w:r>
        <w:rPr>
          <w:rFonts w:hint="default" w:ascii="Times New Roman" w:hAnsi="Times New Roman" w:eastAsia="仿宋_GB2312" w:cs="Times New Roman"/>
          <w:color w:val="auto"/>
          <w:spacing w:val="5"/>
          <w:sz w:val="32"/>
          <w:szCs w:val="32"/>
          <w:highlight w:val="none"/>
          <w:lang w:val="en-US" w:eastAsia="zh-CN"/>
        </w:rPr>
        <w:t>矿山建设必须符合国家相关的宏观调控政策。依据政府核准的投资项目目录，实施非煤矿山建设项目核准或备案管理。严格新建、改扩建非煤矿山设计文件专家论证及备案管理，设计文件发生变更时需重新进行备案，加强设计文件实施情况监督管理。规范非煤矿山设计、施工、监理单位资质管理，依法严惩出借或挂靠资质等行为。</w:t>
      </w:r>
    </w:p>
    <w:p w14:paraId="0A16FC6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提升执法监管水平。</w:t>
      </w:r>
      <w:r>
        <w:rPr>
          <w:rFonts w:hint="default" w:ascii="Times New Roman" w:hAnsi="Times New Roman" w:eastAsia="仿宋_GB2312" w:cs="Times New Roman"/>
          <w:color w:val="auto"/>
          <w:spacing w:val="5"/>
          <w:sz w:val="32"/>
          <w:szCs w:val="32"/>
          <w:highlight w:val="none"/>
          <w:lang w:val="en-US" w:eastAsia="zh-CN"/>
        </w:rPr>
        <w:t>全面排查非法采矿问题，根据矿产执法卫片，结合乡镇日常巡查，对发现的违法问题，坚决依法依规查处到位。集中查处违法违规采矿案件，严肃查处矿产资源违法的突出问题，持续深化矿产资源日常执法，着力纠正矿产执法不严的问题。对非法采矿造成的生态破坏立即恢复治理整改到位，确保矿产违法违规问题有效</w:t>
      </w:r>
      <w:r>
        <w:rPr>
          <w:rFonts w:hint="eastAsia" w:ascii="Times New Roman" w:hAnsi="Times New Roman" w:eastAsia="仿宋_GB2312" w:cs="Times New Roman"/>
          <w:color w:val="auto"/>
          <w:spacing w:val="5"/>
          <w:sz w:val="32"/>
          <w:szCs w:val="32"/>
          <w:highlight w:val="none"/>
          <w:lang w:val="en-US" w:eastAsia="zh-CN"/>
        </w:rPr>
        <w:t>遏</w:t>
      </w:r>
      <w:r>
        <w:rPr>
          <w:rFonts w:hint="default" w:ascii="Times New Roman" w:hAnsi="Times New Roman" w:eastAsia="仿宋_GB2312" w:cs="Times New Roman"/>
          <w:color w:val="auto"/>
          <w:spacing w:val="5"/>
          <w:sz w:val="32"/>
          <w:szCs w:val="32"/>
          <w:highlight w:val="none"/>
          <w:lang w:val="en-US" w:eastAsia="zh-CN"/>
        </w:rPr>
        <w:t>制。严肃查处无证开采、越界开采、破坏性开采，特别是以各类工程名义违法开采矿产资源的行为，落实“早发现、早制止、严查处”的要求，进行严厉打击取缔，并建立长效监管机制。努力形成齐抓共管的强大合力，保护环境和资源，推动矿产资源开发秩序稳定向好。</w:t>
      </w:r>
      <w:bookmarkStart w:id="65" w:name="_GoBack"/>
      <w:bookmarkEnd w:id="65"/>
    </w:p>
    <w:p w14:paraId="4EF49534">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lang w:eastAsia="zh-CN"/>
        </w:rPr>
        <w:t>推进诚信体系建设</w:t>
      </w:r>
      <w:r>
        <w:rPr>
          <w:rFonts w:hint="default" w:ascii="Times New Roman" w:hAnsi="Times New Roman" w:eastAsia="楷体" w:cs="Times New Roman"/>
          <w:color w:val="auto"/>
          <w:spacing w:val="1"/>
          <w:sz w:val="32"/>
          <w:szCs w:val="32"/>
          <w:highlight w:val="none"/>
        </w:rPr>
        <w:t>。</w:t>
      </w:r>
      <w:r>
        <w:rPr>
          <w:rFonts w:hint="default" w:ascii="Times New Roman" w:hAnsi="Times New Roman" w:eastAsia="仿宋_GB2312" w:cs="Times New Roman"/>
          <w:color w:val="auto"/>
          <w:spacing w:val="5"/>
          <w:sz w:val="32"/>
          <w:szCs w:val="32"/>
          <w:highlight w:val="none"/>
          <w:lang w:val="en-US" w:eastAsia="zh-CN"/>
        </w:rPr>
        <w:t>加强非煤矿山行业信用监管，自然资源等主管部门应当推进非煤矿山企业诚信体系建设，将矿山地质环境治理恢复基金计提情况、非煤矿山企业治理工作完成情况等纳入社会信用体系。在登记注册、行政审批等环节推动信用承诺，强化信用意识，明确失信惩戒措施，对违法失信企业实施约束惩戒，并加大信用信息公示力度。有关部门和单位按照有关规定，在行政审批、政府扶持、融资信贷、市场准入等方面，对严重失信企业，依法实施联合惩戒。</w:t>
      </w:r>
    </w:p>
    <w:p w14:paraId="0AE2C30C">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51" w:name="_Toc29035"/>
      <w:bookmarkStart w:id="52" w:name="_Toc604"/>
      <w:r>
        <w:rPr>
          <w:rFonts w:hint="default" w:ascii="Times New Roman" w:hAnsi="Times New Roman" w:eastAsia="黑体" w:cs="Times New Roman"/>
          <w:color w:val="auto"/>
          <w:spacing w:val="4"/>
          <w:sz w:val="32"/>
          <w:szCs w:val="32"/>
          <w:highlight w:val="none"/>
        </w:rPr>
        <w:t>第三节</w:t>
      </w:r>
      <w:r>
        <w:rPr>
          <w:rFonts w:hint="default" w:ascii="Times New Roman" w:hAnsi="Times New Roman" w:eastAsia="黑体" w:cs="Times New Roman"/>
          <w:color w:val="auto"/>
          <w:spacing w:val="4"/>
          <w:sz w:val="32"/>
          <w:szCs w:val="32"/>
          <w:highlight w:val="none"/>
          <w:lang w:val="en-US" w:eastAsia="zh-CN"/>
        </w:rPr>
        <w:t xml:space="preserve">  提升</w:t>
      </w:r>
      <w:r>
        <w:rPr>
          <w:rFonts w:hint="default" w:ascii="Times New Roman" w:hAnsi="Times New Roman" w:eastAsia="黑体" w:cs="Times New Roman"/>
          <w:color w:val="auto"/>
          <w:spacing w:val="4"/>
          <w:sz w:val="32"/>
          <w:szCs w:val="32"/>
          <w:highlight w:val="none"/>
        </w:rPr>
        <w:t>科技</w:t>
      </w:r>
      <w:r>
        <w:rPr>
          <w:rFonts w:hint="default" w:ascii="Times New Roman" w:hAnsi="Times New Roman" w:eastAsia="黑体" w:cs="Times New Roman"/>
          <w:color w:val="auto"/>
          <w:spacing w:val="4"/>
          <w:sz w:val="32"/>
          <w:szCs w:val="32"/>
          <w:highlight w:val="none"/>
          <w:lang w:val="en-US" w:eastAsia="zh-CN"/>
        </w:rPr>
        <w:t>创新</w:t>
      </w:r>
      <w:r>
        <w:rPr>
          <w:rFonts w:hint="default" w:ascii="Times New Roman" w:hAnsi="Times New Roman" w:eastAsia="黑体" w:cs="Times New Roman"/>
          <w:color w:val="auto"/>
          <w:spacing w:val="4"/>
          <w:sz w:val="32"/>
          <w:szCs w:val="32"/>
          <w:highlight w:val="none"/>
        </w:rPr>
        <w:t>力度</w:t>
      </w:r>
      <w:bookmarkEnd w:id="51"/>
      <w:bookmarkEnd w:id="52"/>
    </w:p>
    <w:p w14:paraId="67604668">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强化科技创新示范引领。</w:t>
      </w:r>
      <w:r>
        <w:rPr>
          <w:rFonts w:hint="default" w:ascii="Times New Roman" w:hAnsi="Times New Roman" w:eastAsia="仿宋_GB2312" w:cs="Times New Roman"/>
          <w:color w:val="auto"/>
          <w:spacing w:val="5"/>
          <w:sz w:val="32"/>
          <w:szCs w:val="32"/>
          <w:highlight w:val="none"/>
          <w:lang w:val="en-US" w:eastAsia="zh-CN"/>
        </w:rPr>
        <w:t>鼓励矿山企业增加科技创新的研发投入，保持研发经费的持续增长，建立以企业为主导的产学研深度融合创新体系，解决创新过程中的关键问题，促进创新主体的活力和创新链条的有机衔接。支持矿山企业围绕关键核心技术开展攻关，提升自主创新能力，掌握更多具有自主知识产权的技术，推进矿山智能化建设，加快智能装备和系统的研发与应用，实现矿山生产少人化、无人化。加强矿山数据的采集、存储、治理、应用、共享和开放，建立全流程、全链条的数据资源管理体系，鼓励矿山企业采用绿色低碳技术工艺装备，促进节能减排和生态修复。发挥典型示范引领作用，选树培育一批创新型非煤矿山企业，推动非煤矿山行业创新发展。</w:t>
      </w:r>
    </w:p>
    <w:p w14:paraId="2D46671A">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加大科技创新支持力度。</w:t>
      </w:r>
      <w:r>
        <w:rPr>
          <w:rFonts w:hint="default" w:ascii="Times New Roman" w:hAnsi="Times New Roman" w:eastAsia="仿宋_GB2312" w:cs="Times New Roman"/>
          <w:color w:val="auto"/>
          <w:spacing w:val="5"/>
          <w:sz w:val="32"/>
          <w:szCs w:val="32"/>
          <w:highlight w:val="none"/>
          <w:lang w:val="en-US" w:eastAsia="zh-CN"/>
        </w:rPr>
        <w:t>鼓励多渠道开展非煤矿山综合治理科学研究、技术开发，推广使用非煤矿山综合治理新技术、新工艺、新材料和新产品，提高非煤矿山综合治理的研发水平。充分发挥鹿泉区区位优势和高端科技人才优势，鼓励矿山企业与高校、科研机构合作，共同开展关键技术、前沿技术的研发，解决矿山安全生产和资源高效利用的技术难题。加强矿山科技创新人才的培养和引进，提高从业人员的科技素养和创新能力，构建多层次的人才梯队。开展技术研发和基础研究，提升矿山开发和综合治理科技创新能力和水平</w:t>
      </w:r>
      <w:r>
        <w:rPr>
          <w:rFonts w:hint="eastAsia" w:ascii="Times New Roman" w:hAnsi="Times New Roman" w:eastAsia="仿宋_GB2312" w:cs="Times New Roman"/>
          <w:color w:val="auto"/>
          <w:spacing w:val="5"/>
          <w:sz w:val="32"/>
          <w:szCs w:val="32"/>
          <w:highlight w:val="none"/>
          <w:lang w:val="en-US" w:eastAsia="zh-CN"/>
        </w:rPr>
        <w:t>。</w:t>
      </w:r>
    </w:p>
    <w:p w14:paraId="3CDF861D">
      <w:pPr>
        <w:keepNext w:val="0"/>
        <w:keepLines w:val="0"/>
        <w:pageBreakBefore w:val="0"/>
        <w:widowControl/>
        <w:kinsoku/>
        <w:wordWrap/>
        <w:overflowPunct/>
        <w:topLinePunct w:val="0"/>
        <w:autoSpaceDE w:val="0"/>
        <w:autoSpaceDN w:val="0"/>
        <w:bidi w:val="0"/>
        <w:adjustRightInd w:val="0"/>
        <w:snapToGrid w:val="0"/>
        <w:spacing w:line="360" w:lineRule="auto"/>
        <w:ind w:left="0" w:right="0" w:firstLine="644" w:firstLineChars="200"/>
        <w:jc w:val="both"/>
        <w:textAlignment w:val="baseline"/>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楷体" w:cs="Times New Roman"/>
          <w:color w:val="auto"/>
          <w:spacing w:val="1"/>
          <w:sz w:val="32"/>
          <w:szCs w:val="32"/>
          <w:highlight w:val="none"/>
        </w:rPr>
        <w:t>加速科技成果转化应用。</w:t>
      </w:r>
      <w:r>
        <w:rPr>
          <w:rFonts w:hint="default" w:ascii="Times New Roman" w:hAnsi="Times New Roman" w:eastAsia="仿宋_GB2312" w:cs="Times New Roman"/>
          <w:color w:val="auto"/>
          <w:spacing w:val="5"/>
          <w:sz w:val="32"/>
          <w:szCs w:val="32"/>
          <w:highlight w:val="none"/>
          <w:lang w:val="en-US" w:eastAsia="zh-CN"/>
        </w:rPr>
        <w:t>加强非煤矿山行业信息化建设，利用物联网、云计算、大数据等现代信息技术，推动矿山企业数字化、绿色化发展。引导和激励矿山企业发挥主导作用，推进新技术、新工艺的工程化、设备化应用，加速科技成果转化及产业化应用。</w:t>
      </w:r>
    </w:p>
    <w:p w14:paraId="739C713F">
      <w:pPr>
        <w:pStyle w:val="2"/>
        <w:keepNext w:val="0"/>
        <w:keepLines w:val="0"/>
        <w:pageBreakBefore w:val="0"/>
        <w:kinsoku/>
        <w:wordWrap/>
        <w:overflowPunct/>
        <w:topLinePunct w:val="0"/>
        <w:bidi w:val="0"/>
        <w:spacing w:line="276" w:lineRule="auto"/>
        <w:rPr>
          <w:rFonts w:hint="default" w:ascii="Times New Roman" w:hAnsi="Times New Roman" w:cs="Times New Roman"/>
          <w:color w:val="auto"/>
          <w:highlight w:val="none"/>
        </w:rPr>
      </w:pPr>
    </w:p>
    <w:p w14:paraId="24FC4619">
      <w:pPr>
        <w:rPr>
          <w:rFonts w:hint="default" w:ascii="Times New Roman" w:hAnsi="Times New Roman" w:eastAsia="微软雅黑" w:cs="Times New Roman"/>
          <w:color w:val="auto"/>
          <w:spacing w:val="8"/>
          <w:sz w:val="43"/>
          <w:szCs w:val="43"/>
          <w:highlight w:val="none"/>
        </w:rPr>
      </w:pPr>
      <w:bookmarkStart w:id="53" w:name="_Toc9634"/>
      <w:r>
        <w:rPr>
          <w:rFonts w:hint="default" w:ascii="Times New Roman" w:hAnsi="Times New Roman" w:eastAsia="微软雅黑" w:cs="Times New Roman"/>
          <w:color w:val="auto"/>
          <w:spacing w:val="8"/>
          <w:sz w:val="43"/>
          <w:szCs w:val="43"/>
          <w:highlight w:val="none"/>
        </w:rPr>
        <w:br w:type="page"/>
      </w:r>
    </w:p>
    <w:p w14:paraId="4FF54166">
      <w:pPr>
        <w:bidi w:val="0"/>
        <w:rPr>
          <w:rFonts w:hint="default" w:ascii="Times New Roman" w:hAnsi="Times New Roman" w:cs="Times New Roman"/>
          <w:color w:val="auto"/>
          <w:highlight w:val="none"/>
        </w:rPr>
      </w:pPr>
    </w:p>
    <w:p w14:paraId="6EEDB9AE">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54" w:name="_Toc23042"/>
      <w:r>
        <w:rPr>
          <w:rFonts w:hint="default" w:ascii="Times New Roman" w:hAnsi="Times New Roman" w:eastAsia="方正小标宋_GBK" w:cs="Times New Roman"/>
          <w:b w:val="0"/>
          <w:bCs w:val="0"/>
          <w:color w:val="auto"/>
          <w:spacing w:val="5"/>
          <w:sz w:val="43"/>
          <w:szCs w:val="43"/>
          <w:highlight w:val="none"/>
        </w:rPr>
        <w:t>第七章</w:t>
      </w:r>
      <w:r>
        <w:rPr>
          <w:rFonts w:hint="default" w:ascii="Times New Roman" w:hAnsi="Times New Roman" w:eastAsia="方正小标宋_GBK" w:cs="Times New Roman"/>
          <w:b w:val="0"/>
          <w:bCs w:val="0"/>
          <w:color w:val="auto"/>
          <w:spacing w:val="5"/>
          <w:sz w:val="43"/>
          <w:szCs w:val="43"/>
          <w:highlight w:val="none"/>
          <w:lang w:val="en-US" w:eastAsia="zh-CN"/>
        </w:rPr>
        <w:t xml:space="preserve">  </w:t>
      </w:r>
      <w:r>
        <w:rPr>
          <w:rFonts w:hint="default" w:ascii="Times New Roman" w:hAnsi="Times New Roman" w:eastAsia="方正小标宋_GBK" w:cs="Times New Roman"/>
          <w:b w:val="0"/>
          <w:bCs w:val="0"/>
          <w:color w:val="auto"/>
          <w:spacing w:val="5"/>
          <w:sz w:val="43"/>
          <w:szCs w:val="43"/>
          <w:highlight w:val="none"/>
        </w:rPr>
        <w:t>强化规划实施保障</w:t>
      </w:r>
      <w:bookmarkEnd w:id="53"/>
      <w:bookmarkEnd w:id="54"/>
    </w:p>
    <w:p w14:paraId="5BEF840A">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加强组织领导，统筹协调。强化政策支持和资金保障，注重宣传引导，做好规划衔接，保障规划的顺利实施。</w:t>
      </w:r>
    </w:p>
    <w:p w14:paraId="5E1C2937">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55" w:name="_Toc3920"/>
      <w:bookmarkStart w:id="56" w:name="_Toc16278"/>
      <w:r>
        <w:rPr>
          <w:rFonts w:hint="default" w:ascii="Times New Roman" w:hAnsi="Times New Roman" w:eastAsia="黑体" w:cs="Times New Roman"/>
          <w:color w:val="auto"/>
          <w:spacing w:val="4"/>
          <w:sz w:val="32"/>
          <w:szCs w:val="32"/>
          <w:highlight w:val="none"/>
        </w:rPr>
        <w:t>第一节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加强组织领导</w:t>
      </w:r>
      <w:bookmarkEnd w:id="55"/>
      <w:bookmarkEnd w:id="56"/>
    </w:p>
    <w:p w14:paraId="2FA284A5">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在区政府统一领导下，参照市非煤矿山行业管理责任清单，各有关部门根据职责各司其职、各尽其责、齐抓共管、形成合力，共同推进规划实施。有关县（区）政府要落实非煤矿山综合治理主体责任，及时协调解决有关问题，确保规划目标和任务落地见效</w:t>
      </w:r>
      <w:r>
        <w:rPr>
          <w:rFonts w:hint="eastAsia" w:ascii="Times New Roman" w:hAnsi="Times New Roman" w:eastAsia="仿宋_GB2312" w:cs="Times New Roman"/>
          <w:color w:val="auto"/>
          <w:spacing w:val="5"/>
          <w:sz w:val="32"/>
          <w:szCs w:val="32"/>
          <w:highlight w:val="none"/>
          <w:lang w:val="en-US" w:eastAsia="zh-CN"/>
        </w:rPr>
        <w:t>。</w:t>
      </w:r>
    </w:p>
    <w:p w14:paraId="73827C09">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57" w:name="_Toc13695"/>
      <w:bookmarkStart w:id="58" w:name="_Toc25786"/>
      <w:r>
        <w:rPr>
          <w:rFonts w:hint="default" w:ascii="Times New Roman" w:hAnsi="Times New Roman" w:eastAsia="黑体" w:cs="Times New Roman"/>
          <w:color w:val="auto"/>
          <w:spacing w:val="4"/>
          <w:sz w:val="32"/>
          <w:szCs w:val="32"/>
          <w:highlight w:val="none"/>
        </w:rPr>
        <w:t>第二节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强化监督评估</w:t>
      </w:r>
      <w:bookmarkEnd w:id="57"/>
      <w:bookmarkEnd w:id="58"/>
    </w:p>
    <w:p w14:paraId="6EE24FCA">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加强规划目标指标、重点任务、重要措施落实情况的监督检查，及时向有关部门通报检查结果。加强跟踪分析和动态评估，及时了解规划实施情况及存在问题，根据规划实施情况及经济发展、产业政策变化等，结合非煤矿山综合治理实际情况，研究制定解决办法，提高规划实施成效。</w:t>
      </w:r>
    </w:p>
    <w:p w14:paraId="08BB28B7">
      <w:pPr>
        <w:rPr>
          <w:rFonts w:hint="default" w:ascii="Times New Roman" w:hAnsi="Times New Roman" w:eastAsia="黑体" w:cs="Times New Roman"/>
          <w:color w:val="auto"/>
          <w:spacing w:val="4"/>
          <w:sz w:val="32"/>
          <w:szCs w:val="32"/>
          <w:highlight w:val="none"/>
        </w:rPr>
      </w:pPr>
      <w:bookmarkStart w:id="59" w:name="_Toc4552"/>
      <w:bookmarkStart w:id="60" w:name="_Toc17998"/>
      <w:r>
        <w:rPr>
          <w:rFonts w:hint="default" w:ascii="Times New Roman" w:hAnsi="Times New Roman" w:eastAsia="黑体" w:cs="Times New Roman"/>
          <w:color w:val="auto"/>
          <w:spacing w:val="4"/>
          <w:sz w:val="32"/>
          <w:szCs w:val="32"/>
          <w:highlight w:val="none"/>
        </w:rPr>
        <w:br w:type="page"/>
      </w:r>
    </w:p>
    <w:p w14:paraId="54FD544F">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r>
        <w:rPr>
          <w:rFonts w:hint="default" w:ascii="Times New Roman" w:hAnsi="Times New Roman" w:eastAsia="黑体" w:cs="Times New Roman"/>
          <w:color w:val="auto"/>
          <w:spacing w:val="4"/>
          <w:sz w:val="32"/>
          <w:szCs w:val="32"/>
          <w:highlight w:val="none"/>
        </w:rPr>
        <w:t>第三节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加大</w:t>
      </w:r>
      <w:r>
        <w:rPr>
          <w:rFonts w:hint="default" w:ascii="Times New Roman" w:hAnsi="Times New Roman" w:eastAsia="黑体" w:cs="Times New Roman"/>
          <w:color w:val="auto"/>
          <w:spacing w:val="4"/>
          <w:sz w:val="32"/>
          <w:szCs w:val="32"/>
          <w:highlight w:val="none"/>
          <w:lang w:val="en-US" w:eastAsia="zh-CN"/>
        </w:rPr>
        <w:t>资金</w:t>
      </w:r>
      <w:r>
        <w:rPr>
          <w:rFonts w:hint="default" w:ascii="Times New Roman" w:hAnsi="Times New Roman" w:eastAsia="黑体" w:cs="Times New Roman"/>
          <w:color w:val="auto"/>
          <w:spacing w:val="4"/>
          <w:sz w:val="32"/>
          <w:szCs w:val="32"/>
          <w:highlight w:val="none"/>
        </w:rPr>
        <w:t>保障</w:t>
      </w:r>
      <w:bookmarkEnd w:id="59"/>
      <w:bookmarkEnd w:id="60"/>
    </w:p>
    <w:p w14:paraId="243F127C">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jc w:val="both"/>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建立财政投资牵引、金融投资支持和社会投资多元化资金保障机制，优化矿业营商环境，引导社会资本积极参与地质找矿、矿产资源开发、矿山生态修复治理。充分利用市场机制，吸引社会资金，拓展投融资渠道，加强对矿产资源勘查开发、矿山生态修复治理、先进技术装备推广应用、产业优化升级等方面投入力度，统筹使用各项支持资金，保障非煤矿山综合治理顺利开展。</w:t>
      </w:r>
    </w:p>
    <w:p w14:paraId="1290FDD0">
      <w:pPr>
        <w:keepNext w:val="0"/>
        <w:keepLines w:val="0"/>
        <w:pageBreakBefore w:val="0"/>
        <w:widowControl/>
        <w:kinsoku/>
        <w:wordWrap/>
        <w:overflowPunct/>
        <w:topLinePunct w:val="0"/>
        <w:autoSpaceDE w:val="0"/>
        <w:autoSpaceDN w:val="0"/>
        <w:bidi w:val="0"/>
        <w:adjustRightInd w:val="0"/>
        <w:snapToGrid w:val="0"/>
        <w:spacing w:before="0" w:beforeLines="200" w:after="0" w:afterLines="100" w:line="360" w:lineRule="auto"/>
        <w:ind w:left="0"/>
        <w:jc w:val="center"/>
        <w:textAlignment w:val="baseline"/>
        <w:outlineLvl w:val="1"/>
        <w:rPr>
          <w:rFonts w:hint="default" w:ascii="Times New Roman" w:hAnsi="Times New Roman" w:eastAsia="黑体" w:cs="Times New Roman"/>
          <w:color w:val="auto"/>
          <w:spacing w:val="4"/>
          <w:sz w:val="32"/>
          <w:szCs w:val="32"/>
          <w:highlight w:val="none"/>
        </w:rPr>
      </w:pPr>
      <w:bookmarkStart w:id="61" w:name="_Toc28812"/>
      <w:bookmarkStart w:id="62" w:name="_Toc27919"/>
      <w:r>
        <w:rPr>
          <w:rFonts w:hint="default" w:ascii="Times New Roman" w:hAnsi="Times New Roman" w:eastAsia="黑体" w:cs="Times New Roman"/>
          <w:color w:val="auto"/>
          <w:spacing w:val="4"/>
          <w:sz w:val="32"/>
          <w:szCs w:val="32"/>
          <w:highlight w:val="none"/>
        </w:rPr>
        <w:t>第四节</w:t>
      </w:r>
      <w:r>
        <w:rPr>
          <w:rFonts w:hint="default" w:ascii="Times New Roman" w:hAnsi="Times New Roman" w:eastAsia="黑体" w:cs="Times New Roman"/>
          <w:color w:val="auto"/>
          <w:spacing w:val="4"/>
          <w:sz w:val="32"/>
          <w:szCs w:val="32"/>
          <w:highlight w:val="none"/>
          <w:lang w:val="en-US" w:eastAsia="zh-CN"/>
        </w:rPr>
        <w:t xml:space="preserve">  </w:t>
      </w:r>
      <w:r>
        <w:rPr>
          <w:rFonts w:hint="default" w:ascii="Times New Roman" w:hAnsi="Times New Roman" w:eastAsia="黑体" w:cs="Times New Roman"/>
          <w:color w:val="auto"/>
          <w:spacing w:val="4"/>
          <w:sz w:val="32"/>
          <w:szCs w:val="32"/>
          <w:highlight w:val="none"/>
        </w:rPr>
        <w:t>注重宣传引导</w:t>
      </w:r>
      <w:bookmarkEnd w:id="61"/>
      <w:bookmarkEnd w:id="62"/>
    </w:p>
    <w:p w14:paraId="4A3D94F8">
      <w:pPr>
        <w:keepNext w:val="0"/>
        <w:keepLines w:val="0"/>
        <w:pageBreakBefore w:val="0"/>
        <w:widowControl/>
        <w:kinsoku/>
        <w:wordWrap/>
        <w:overflowPunct/>
        <w:topLinePunct w:val="0"/>
        <w:autoSpaceDE w:val="0"/>
        <w:autoSpaceDN w:val="0"/>
        <w:bidi w:val="0"/>
        <w:adjustRightInd w:val="0"/>
        <w:snapToGrid w:val="0"/>
        <w:spacing w:line="360" w:lineRule="auto"/>
        <w:ind w:firstLine="641"/>
        <w:jc w:val="both"/>
        <w:textAlignment w:val="baseline"/>
        <w:outlineLvl w:val="9"/>
        <w:rPr>
          <w:rFonts w:hint="default" w:ascii="Times New Roman" w:hAnsi="Times New Roman" w:eastAsia="仿宋" w:cs="Times New Roman"/>
          <w:color w:val="auto"/>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通过网站、公众号等媒介，广泛宣传非煤矿山综合治理重要意义，增强公众对非煤矿山环境保护与治理意识，积极引导广大群众和社会各界的参与，创新公众参与方式，多方收集意见和建议，为非煤矿山综合治理工作营造良好的舆论氛围和环境。</w:t>
      </w:r>
    </w:p>
    <w:p w14:paraId="6ED5E691">
      <w:pPr>
        <w:keepNext w:val="0"/>
        <w:keepLines w:val="0"/>
        <w:pageBreakBefore w:val="0"/>
        <w:kinsoku/>
        <w:wordWrap/>
        <w:overflowPunct/>
        <w:topLinePunct w:val="0"/>
        <w:bidi w:val="0"/>
        <w:spacing w:before="101" w:line="333" w:lineRule="auto"/>
        <w:ind w:left="19" w:firstLine="634"/>
        <w:jc w:val="both"/>
        <w:rPr>
          <w:rFonts w:hint="default" w:ascii="Times New Roman" w:hAnsi="Times New Roman" w:eastAsia="仿宋" w:cs="Times New Roman"/>
          <w:color w:val="auto"/>
          <w:spacing w:val="4"/>
          <w:sz w:val="31"/>
          <w:szCs w:val="31"/>
          <w:highlight w:val="none"/>
        </w:rPr>
        <w:sectPr>
          <w:footerReference r:id="rId14" w:type="default"/>
          <w:pgSz w:w="11906" w:h="16839"/>
          <w:pgMar w:top="1431" w:right="1385" w:bottom="1672" w:left="1600" w:header="0" w:footer="1419" w:gutter="0"/>
          <w:pgNumType w:fmt="decimal"/>
          <w:cols w:space="720" w:num="1"/>
        </w:sectPr>
      </w:pPr>
    </w:p>
    <w:p w14:paraId="326B60C6">
      <w:pPr>
        <w:keepNext w:val="0"/>
        <w:keepLines w:val="0"/>
        <w:pageBreakBefore w:val="0"/>
        <w:widowControl/>
        <w:kinsoku/>
        <w:wordWrap/>
        <w:overflowPunct/>
        <w:topLinePunct w:val="0"/>
        <w:autoSpaceDE w:val="0"/>
        <w:autoSpaceDN w:val="0"/>
        <w:bidi w:val="0"/>
        <w:adjustRightInd w:val="0"/>
        <w:snapToGrid w:val="0"/>
        <w:spacing w:before="0" w:beforeLines="300" w:after="0" w:afterLines="100" w:line="480" w:lineRule="auto"/>
        <w:ind w:left="0"/>
        <w:jc w:val="center"/>
        <w:textAlignment w:val="baseline"/>
        <w:outlineLvl w:val="0"/>
        <w:rPr>
          <w:rFonts w:hint="default" w:ascii="Times New Roman" w:hAnsi="Times New Roman" w:eastAsia="方正小标宋_GBK" w:cs="Times New Roman"/>
          <w:b w:val="0"/>
          <w:bCs w:val="0"/>
          <w:color w:val="auto"/>
          <w:spacing w:val="5"/>
          <w:sz w:val="43"/>
          <w:szCs w:val="43"/>
          <w:highlight w:val="none"/>
        </w:rPr>
      </w:pPr>
      <w:bookmarkStart w:id="63" w:name="_Toc178501581"/>
      <w:bookmarkStart w:id="64" w:name="_Toc19526"/>
      <w:r>
        <w:rPr>
          <w:rFonts w:hint="default" w:ascii="Times New Roman" w:hAnsi="Times New Roman" w:eastAsia="方正小标宋_GBK" w:cs="Times New Roman"/>
          <w:b w:val="0"/>
          <w:bCs w:val="0"/>
          <w:color w:val="auto"/>
          <w:spacing w:val="5"/>
          <w:sz w:val="43"/>
          <w:szCs w:val="43"/>
          <w:highlight w:val="none"/>
        </w:rPr>
        <w:t>附    则</w:t>
      </w:r>
      <w:bookmarkEnd w:id="63"/>
      <w:bookmarkEnd w:id="64"/>
    </w:p>
    <w:p w14:paraId="4C85837D">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本《规划》由文本、附表、附图组成，具有同等效力；</w:t>
      </w:r>
    </w:p>
    <w:p w14:paraId="0A66C85E">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本《规划》经鹿泉区人民政府批准后发布实施；</w:t>
      </w:r>
    </w:p>
    <w:p w14:paraId="3F763C36">
      <w:pPr>
        <w:keepNext w:val="0"/>
        <w:keepLines w:val="0"/>
        <w:pageBreakBefore w:val="0"/>
        <w:widowControl w:val="0"/>
        <w:kinsoku/>
        <w:wordWrap/>
        <w:overflowPunct/>
        <w:topLinePunct w:val="0"/>
        <w:autoSpaceDE/>
        <w:autoSpaceDN/>
        <w:bidi w:val="0"/>
        <w:adjustRightInd w:val="0"/>
        <w:snapToGrid w:val="0"/>
        <w:spacing w:line="360" w:lineRule="auto"/>
        <w:ind w:firstLine="660" w:firstLineChars="200"/>
        <w:textAlignment w:val="auto"/>
        <w:rPr>
          <w:rFonts w:hint="default" w:ascii="Times New Roman" w:hAnsi="Times New Roman" w:eastAsia="仿宋_GB2312" w:cs="Times New Roman"/>
          <w:color w:val="auto"/>
          <w:spacing w:val="5"/>
          <w:sz w:val="32"/>
          <w:szCs w:val="32"/>
          <w:highlight w:val="none"/>
          <w:lang w:val="en-US" w:eastAsia="zh-CN"/>
        </w:rPr>
      </w:pPr>
      <w:r>
        <w:rPr>
          <w:rFonts w:hint="default" w:ascii="Times New Roman" w:hAnsi="Times New Roman" w:eastAsia="仿宋_GB2312" w:cs="Times New Roman"/>
          <w:color w:val="auto"/>
          <w:spacing w:val="5"/>
          <w:sz w:val="32"/>
          <w:szCs w:val="32"/>
          <w:highlight w:val="none"/>
          <w:lang w:val="en-US" w:eastAsia="zh-CN"/>
        </w:rPr>
        <w:t>本《规划》自发布之日起施行，由石家庄市自然资源和规划局鹿泉分局负责解释。</w:t>
      </w:r>
    </w:p>
    <w:sectPr>
      <w:pgSz w:w="11906" w:h="16839"/>
      <w:pgMar w:top="1431" w:right="1385" w:bottom="1672" w:left="1600" w:header="0" w:footer="1419" w:gutter="0"/>
      <w:pgNumType w:fmt="decimal"/>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C179405">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85285">
    <w:pPr>
      <w:spacing w:line="178" w:lineRule="auto"/>
      <w:jc w:val="right"/>
      <w:rPr>
        <w:rFonts w:ascii="Times New Roman" w:hAnsi="Times New Roman" w:eastAsia="Times New Roman" w:cs="Times New Roman"/>
        <w:sz w:val="28"/>
        <w:szCs w:val="28"/>
      </w:rPr>
    </w:pPr>
    <w:r>
      <w:rPr>
        <w:rFonts w:ascii="Times New Roman" w:hAnsi="Times New Roman" w:eastAsia="Times New Roman" w:cs="Times New Roman"/>
        <w:spacing w:val="-7"/>
        <w:sz w:val="28"/>
        <w:szCs w:val="28"/>
      </w:rPr>
      <w:t>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DD0AF5">
    <w:pPr>
      <w:keepNext w:val="0"/>
      <w:keepLines w:val="0"/>
      <w:pageBreakBefore w:val="0"/>
      <w:widowControl/>
      <w:kinsoku w:val="0"/>
      <w:wordWrap/>
      <w:overflowPunct/>
      <w:topLinePunct w:val="0"/>
      <w:bidi w:val="0"/>
      <w:adjustRightInd w:val="0"/>
      <w:snapToGrid w:val="0"/>
      <w:spacing w:line="178" w:lineRule="auto"/>
      <w:jc w:val="both"/>
      <w:textAlignment w:val="baseline"/>
      <w:rPr>
        <w:rFonts w:ascii="Times New Roman" w:hAnsi="Times New Roman" w:eastAsia="Times New Roman" w:cs="Times New Roman"/>
        <w:spacing w:val="-7"/>
        <w:sz w:val="28"/>
        <w:szCs w:val="28"/>
      </w:rPr>
    </w:pPr>
    <w:r>
      <w:rPr>
        <w:rFonts w:hint="eastAsia" w:ascii="Times New Roman" w:hAnsi="Times New Roman" w:eastAsia="Times New Roman" w:cs="Times New Roman"/>
        <w:spacing w:val="-7"/>
        <w:sz w:val="28"/>
        <w:szCs w:val="28"/>
      </w:rPr>
      <w:t>Ⅱ</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BF20C">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2C127B">
                          <w:pPr>
                            <w:pStyle w:val="4"/>
                            <w:keepNext w:val="0"/>
                            <w:keepLines w:val="0"/>
                            <w:pageBreakBefore w:val="0"/>
                            <w:widowControl/>
                            <w:kinsoku w:val="0"/>
                            <w:wordWrap/>
                            <w:overflowPunct/>
                            <w:topLinePunct w:val="0"/>
                            <w:bidi w:val="0"/>
                            <w:adjustRightInd w:val="0"/>
                            <w:snapToGrid w:val="0"/>
                            <w:ind w:left="315" w:leftChars="150" w:right="315" w:rightChars="150"/>
                            <w:textAlignment w:val="baseline"/>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682C127B">
                    <w:pPr>
                      <w:pStyle w:val="4"/>
                      <w:keepNext w:val="0"/>
                      <w:keepLines w:val="0"/>
                      <w:pageBreakBefore w:val="0"/>
                      <w:widowControl/>
                      <w:kinsoku w:val="0"/>
                      <w:wordWrap/>
                      <w:overflowPunct/>
                      <w:topLinePunct w:val="0"/>
                      <w:bidi w:val="0"/>
                      <w:adjustRightInd w:val="0"/>
                      <w:snapToGrid w:val="0"/>
                      <w:ind w:left="315" w:leftChars="150" w:right="315" w:rightChars="150"/>
                      <w:textAlignment w:val="baseline"/>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38437B">
    <w:pPr>
      <w:pStyle w:val="4"/>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7C10229">
                          <w:pPr>
                            <w:pStyle w:val="4"/>
                            <w:keepNext w:val="0"/>
                            <w:keepLines w:val="0"/>
                            <w:pageBreakBefore w:val="0"/>
                            <w:widowControl/>
                            <w:kinsoku w:val="0"/>
                            <w:wordWrap/>
                            <w:overflowPunct/>
                            <w:topLinePunct w:val="0"/>
                            <w:bidi w:val="0"/>
                            <w:adjustRightInd w:val="0"/>
                            <w:snapToGrid w:val="0"/>
                            <w:ind w:left="315" w:leftChars="150" w:right="315" w:rightChars="150"/>
                            <w:textAlignment w:val="baseline"/>
                          </w:pPr>
                          <w:r>
                            <w:t xml:space="preserve">— </w:t>
                          </w:r>
                          <w:r>
                            <w:fldChar w:fldCharType="begin"/>
                          </w:r>
                          <w:r>
                            <w:instrText xml:space="preserve"> PAGE  \* MERGEFORMAT </w:instrText>
                          </w:r>
                          <w:r>
                            <w:fldChar w:fldCharType="separate"/>
                          </w:r>
                          <w:r>
                            <w:t>2</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rADh6MQIAAGMEAAAOAAAAAAAAAAEAIAAAAB8BAABkcnMvZTJvRG9jLnhtbFBLBQYA&#10;AAAABgAGAFkBAADCBQAAAAA=&#10;">
              <v:fill on="f" focussize="0,0"/>
              <v:stroke on="f" weight="0.5pt"/>
              <v:imagedata o:title=""/>
              <o:lock v:ext="edit" aspectratio="f"/>
              <v:textbox inset="0mm,0mm,0mm,0mm" style="mso-fit-shape-to-text:t;">
                <w:txbxContent>
                  <w:p w14:paraId="37C10229">
                    <w:pPr>
                      <w:pStyle w:val="4"/>
                      <w:keepNext w:val="0"/>
                      <w:keepLines w:val="0"/>
                      <w:pageBreakBefore w:val="0"/>
                      <w:widowControl/>
                      <w:kinsoku w:val="0"/>
                      <w:wordWrap/>
                      <w:overflowPunct/>
                      <w:topLinePunct w:val="0"/>
                      <w:bidi w:val="0"/>
                      <w:adjustRightInd w:val="0"/>
                      <w:snapToGrid w:val="0"/>
                      <w:ind w:left="315" w:leftChars="150" w:right="315" w:rightChars="150"/>
                      <w:textAlignment w:val="baseline"/>
                    </w:pPr>
                    <w:r>
                      <w:t xml:space="preserve">— </w:t>
                    </w:r>
                    <w:r>
                      <w:fldChar w:fldCharType="begin"/>
                    </w:r>
                    <w:r>
                      <w:instrText xml:space="preserve"> PAGE  \* MERGEFORMAT </w:instrText>
                    </w:r>
                    <w:r>
                      <w:fldChar w:fldCharType="separate"/>
                    </w:r>
                    <w:r>
                      <w:t>2</w:t>
                    </w:r>
                    <w:r>
                      <w:fldChar w:fldCharType="end"/>
                    </w:r>
                    <w:r>
                      <w:t xml:space="preserve"> —</w:t>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E6034A">
    <w:pPr>
      <w:pStyle w:val="4"/>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286BA9">
                          <w:pPr>
                            <w:pStyle w:val="4"/>
                          </w:pPr>
                          <w:r>
                            <w:t xml:space="preserve">— </w:t>
                          </w:r>
                          <w:r>
                            <w:fldChar w:fldCharType="begin"/>
                          </w:r>
                          <w:r>
                            <w:instrText xml:space="preserve"> PAGE  \* MERGEFORMAT </w:instrText>
                          </w:r>
                          <w:r>
                            <w:fldChar w:fldCharType="separate"/>
                          </w:r>
                          <w:r>
                            <w:t>6</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z+8ZE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s/vGRMQIAAGMEAAAOAAAAAAAAAAEAIAAAAB8BAABkcnMvZTJvRG9jLnhtbFBLBQYA&#10;AAAABgAGAFkBAADCBQAAAAA=&#10;">
              <v:fill on="f" focussize="0,0"/>
              <v:stroke on="f" weight="0.5pt"/>
              <v:imagedata o:title=""/>
              <o:lock v:ext="edit" aspectratio="f"/>
              <v:textbox inset="0mm,0mm,0mm,0mm" style="mso-fit-shape-to-text:t;">
                <w:txbxContent>
                  <w:p w14:paraId="16286BA9">
                    <w:pPr>
                      <w:pStyle w:val="4"/>
                    </w:pPr>
                    <w:r>
                      <w:t xml:space="preserve">— </w:t>
                    </w:r>
                    <w:r>
                      <w:fldChar w:fldCharType="begin"/>
                    </w:r>
                    <w:r>
                      <w:instrText xml:space="preserve"> PAGE  \* MERGEFORMAT </w:instrText>
                    </w:r>
                    <w:r>
                      <w:fldChar w:fldCharType="separate"/>
                    </w:r>
                    <w:r>
                      <w:t>6</w:t>
                    </w:r>
                    <w:r>
                      <w:fldChar w:fldCharType="end"/>
                    </w:r>
                    <w:r>
                      <w:t xml:space="preserve"> —</w:t>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1BA48E">
    <w:pPr>
      <w:pStyle w:val="4"/>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8D00747">
                          <w:pPr>
                            <w:pStyle w:val="4"/>
                          </w:pPr>
                          <w:r>
                            <w:t xml:space="preserve">— </w:t>
                          </w:r>
                          <w:r>
                            <w:fldChar w:fldCharType="begin"/>
                          </w:r>
                          <w:r>
                            <w:instrText xml:space="preserve"> PAGE  \* MERGEFORMAT </w:instrText>
                          </w:r>
                          <w:r>
                            <w:fldChar w:fldCharType="separate"/>
                          </w:r>
                          <w:r>
                            <w:t>9</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thHIzAgAAY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Wgg3X1vuouoPMs&#10;C1v9YHlME4X0dnUIEDNpHAXqVOl1Q++lKvVzEpv7z32Kevo3LB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GGthHIzAgAAYwQAAA4AAAAAAAAAAQAgAAAAHwEAAGRycy9lMm9Eb2MueG1sUEsF&#10;BgAAAAAGAAYAWQEAAMQFAAAAAA==&#10;">
              <v:fill on="f" focussize="0,0"/>
              <v:stroke on="f" weight="0.5pt"/>
              <v:imagedata o:title=""/>
              <o:lock v:ext="edit" aspectratio="f"/>
              <v:textbox inset="0mm,0mm,0mm,0mm" style="mso-fit-shape-to-text:t;">
                <w:txbxContent>
                  <w:p w14:paraId="68D00747">
                    <w:pPr>
                      <w:pStyle w:val="4"/>
                    </w:pPr>
                    <w:r>
                      <w:t xml:space="preserve">— </w:t>
                    </w:r>
                    <w:r>
                      <w:fldChar w:fldCharType="begin"/>
                    </w:r>
                    <w:r>
                      <w:instrText xml:space="preserve"> PAGE  \* MERGEFORMAT </w:instrText>
                    </w:r>
                    <w:r>
                      <w:fldChar w:fldCharType="separate"/>
                    </w:r>
                    <w:r>
                      <w:t>9</w:t>
                    </w:r>
                    <w:r>
                      <w:fldChar w:fldCharType="end"/>
                    </w:r>
                    <w:r>
                      <w:t xml:space="preserve"> —</w:t>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084626">
    <w:pPr>
      <w:pStyle w:val="4"/>
    </w:pPr>
    <w:r>
      <w:rPr>
        <w:sz w:val="18"/>
      </w:rPr>
      <mc:AlternateContent>
        <mc:Choice Requires="wps">
          <w:drawing>
            <wp:anchor distT="0" distB="0" distL="114300" distR="114300" simplePos="0" relativeHeight="25166336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1128FF">
                          <w:pPr>
                            <w:pStyle w:val="4"/>
                          </w:pPr>
                          <w:r>
                            <w:t xml:space="preserve">— </w:t>
                          </w:r>
                          <w:r>
                            <w:fldChar w:fldCharType="begin"/>
                          </w:r>
                          <w:r>
                            <w:instrText xml:space="preserve"> PAGE  \* MERGEFORMAT </w:instrText>
                          </w:r>
                          <w:r>
                            <w:fldChar w:fldCharType="separate"/>
                          </w:r>
                          <w:r>
                            <w:t>17</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ZTTZkyAgAAYw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5lNNmTICAABjBAAADgAAAAAAAAABACAAAAAfAQAAZHJzL2Uyb0RvYy54bWxQSwUG&#10;AAAAAAYABgBZAQAAwwUAAAAA&#10;">
              <v:fill on="f" focussize="0,0"/>
              <v:stroke on="f" weight="0.5pt"/>
              <v:imagedata o:title=""/>
              <o:lock v:ext="edit" aspectratio="f"/>
              <v:textbox inset="0mm,0mm,0mm,0mm" style="mso-fit-shape-to-text:t;">
                <w:txbxContent>
                  <w:p w14:paraId="761128FF">
                    <w:pPr>
                      <w:pStyle w:val="4"/>
                    </w:pPr>
                    <w:r>
                      <w:t xml:space="preserve">— </w:t>
                    </w:r>
                    <w:r>
                      <w:fldChar w:fldCharType="begin"/>
                    </w:r>
                    <w:r>
                      <w:instrText xml:space="preserve"> PAGE  \* MERGEFORMAT </w:instrText>
                    </w:r>
                    <w:r>
                      <w:fldChar w:fldCharType="separate"/>
                    </w:r>
                    <w:r>
                      <w:t>17</w:t>
                    </w:r>
                    <w:r>
                      <w:fldChar w:fldCharType="end"/>
                    </w:r>
                    <w:r>
                      <w:t xml:space="preserve"> —</w:t>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A92C89">
    <w:pPr>
      <w:pStyle w:val="4"/>
    </w:pPr>
    <w:r>
      <w:rPr>
        <w:sz w:val="18"/>
      </w:rPr>
      <mc:AlternateContent>
        <mc:Choice Requires="wps">
          <w:drawing>
            <wp:anchor distT="0" distB="0" distL="114300" distR="114300" simplePos="0" relativeHeight="25166438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DC38B09">
                          <w:pPr>
                            <w:pStyle w:val="4"/>
                          </w:pPr>
                          <w:r>
                            <w:t xml:space="preserve">— </w:t>
                          </w:r>
                          <w:r>
                            <w:fldChar w:fldCharType="begin"/>
                          </w:r>
                          <w:r>
                            <w:instrText xml:space="preserve"> PAGE  \* MERGEFORMAT </w:instrText>
                          </w:r>
                          <w:r>
                            <w:fldChar w:fldCharType="separate"/>
                          </w:r>
                          <w:r>
                            <w:t>21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3z1oQ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989aEMQIAAGMEAAAOAAAAAAAAAAEAIAAAAB8BAABkcnMvZTJvRG9jLnhtbFBLBQYA&#10;AAAABgAGAFkBAADCBQAAAAA=&#10;">
              <v:fill on="f" focussize="0,0"/>
              <v:stroke on="f" weight="0.5pt"/>
              <v:imagedata o:title=""/>
              <o:lock v:ext="edit" aspectratio="f"/>
              <v:textbox inset="0mm,0mm,0mm,0mm" style="mso-fit-shape-to-text:t;">
                <w:txbxContent>
                  <w:p w14:paraId="0DC38B09">
                    <w:pPr>
                      <w:pStyle w:val="4"/>
                    </w:pPr>
                    <w:r>
                      <w:t xml:space="preserve">— </w:t>
                    </w:r>
                    <w:r>
                      <w:fldChar w:fldCharType="begin"/>
                    </w:r>
                    <w:r>
                      <w:instrText xml:space="preserve"> PAGE  \* MERGEFORMAT </w:instrText>
                    </w:r>
                    <w:r>
                      <w:fldChar w:fldCharType="separate"/>
                    </w:r>
                    <w:r>
                      <w:t>21</w:t>
                    </w:r>
                    <w:r>
                      <w:fldChar w:fldCharType="end"/>
                    </w:r>
                    <w:r>
                      <w:t xml:space="preserve"> —</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80E491">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99"/>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zcwZGM3OWUzNmUyNmE4M2E1ZWMxN2ViNmQ4NzYxMTgifQ=="/>
  </w:docVars>
  <w:rsids>
    <w:rsidRoot w:val="00000000"/>
    <w:rsid w:val="00292BAB"/>
    <w:rsid w:val="005C710F"/>
    <w:rsid w:val="00641E35"/>
    <w:rsid w:val="00BE6247"/>
    <w:rsid w:val="01422633"/>
    <w:rsid w:val="014974A5"/>
    <w:rsid w:val="016620CE"/>
    <w:rsid w:val="01D370EE"/>
    <w:rsid w:val="01F65F44"/>
    <w:rsid w:val="01FA47FF"/>
    <w:rsid w:val="021533E7"/>
    <w:rsid w:val="02175E3E"/>
    <w:rsid w:val="023B4FA2"/>
    <w:rsid w:val="02510197"/>
    <w:rsid w:val="02671768"/>
    <w:rsid w:val="026A3D04"/>
    <w:rsid w:val="027A5940"/>
    <w:rsid w:val="029A7D90"/>
    <w:rsid w:val="02CB3070"/>
    <w:rsid w:val="031B797A"/>
    <w:rsid w:val="0324150A"/>
    <w:rsid w:val="03292E3E"/>
    <w:rsid w:val="03F37758"/>
    <w:rsid w:val="042C2C6A"/>
    <w:rsid w:val="045D1075"/>
    <w:rsid w:val="04B019C0"/>
    <w:rsid w:val="04C64E6C"/>
    <w:rsid w:val="04D035F5"/>
    <w:rsid w:val="04DB77D9"/>
    <w:rsid w:val="04E672BC"/>
    <w:rsid w:val="053D21C5"/>
    <w:rsid w:val="05557F9E"/>
    <w:rsid w:val="055F273E"/>
    <w:rsid w:val="05873418"/>
    <w:rsid w:val="05A52C62"/>
    <w:rsid w:val="05EF3F4F"/>
    <w:rsid w:val="05F45A47"/>
    <w:rsid w:val="05FB27AB"/>
    <w:rsid w:val="06007F0A"/>
    <w:rsid w:val="06061CCE"/>
    <w:rsid w:val="06360079"/>
    <w:rsid w:val="06415533"/>
    <w:rsid w:val="06734B80"/>
    <w:rsid w:val="069A6F62"/>
    <w:rsid w:val="07227392"/>
    <w:rsid w:val="07342561"/>
    <w:rsid w:val="075D1DD8"/>
    <w:rsid w:val="075F6EB2"/>
    <w:rsid w:val="078D1C71"/>
    <w:rsid w:val="078F1A97"/>
    <w:rsid w:val="07C33395"/>
    <w:rsid w:val="07D433FC"/>
    <w:rsid w:val="084817E2"/>
    <w:rsid w:val="08585DDB"/>
    <w:rsid w:val="08843074"/>
    <w:rsid w:val="08A2174C"/>
    <w:rsid w:val="08D12032"/>
    <w:rsid w:val="091A5787"/>
    <w:rsid w:val="091D26CD"/>
    <w:rsid w:val="091D7025"/>
    <w:rsid w:val="096B5FE2"/>
    <w:rsid w:val="097A3797"/>
    <w:rsid w:val="098A290C"/>
    <w:rsid w:val="09BA2032"/>
    <w:rsid w:val="0A002BCE"/>
    <w:rsid w:val="0A0623A7"/>
    <w:rsid w:val="0A09040F"/>
    <w:rsid w:val="0A2543E3"/>
    <w:rsid w:val="0A285C81"/>
    <w:rsid w:val="0A650C83"/>
    <w:rsid w:val="0A80786B"/>
    <w:rsid w:val="0A857C3B"/>
    <w:rsid w:val="0AFE36B8"/>
    <w:rsid w:val="0B1306DF"/>
    <w:rsid w:val="0B1D155E"/>
    <w:rsid w:val="0BA97D6C"/>
    <w:rsid w:val="0BEA7692"/>
    <w:rsid w:val="0C160487"/>
    <w:rsid w:val="0C25691C"/>
    <w:rsid w:val="0C3B1C9C"/>
    <w:rsid w:val="0C3C5A14"/>
    <w:rsid w:val="0C5C1C12"/>
    <w:rsid w:val="0C5E48A7"/>
    <w:rsid w:val="0C6102CA"/>
    <w:rsid w:val="0C6A7972"/>
    <w:rsid w:val="0CE716A4"/>
    <w:rsid w:val="0D0D7157"/>
    <w:rsid w:val="0D2E1801"/>
    <w:rsid w:val="0D395E10"/>
    <w:rsid w:val="0D4528D3"/>
    <w:rsid w:val="0D495D4A"/>
    <w:rsid w:val="0D552F52"/>
    <w:rsid w:val="0DA41AC3"/>
    <w:rsid w:val="0DA46F35"/>
    <w:rsid w:val="0DB36808"/>
    <w:rsid w:val="0DEB76F2"/>
    <w:rsid w:val="0E216F1A"/>
    <w:rsid w:val="0E5057A7"/>
    <w:rsid w:val="0E60538A"/>
    <w:rsid w:val="0E947708"/>
    <w:rsid w:val="0EEB03B8"/>
    <w:rsid w:val="0F026AA1"/>
    <w:rsid w:val="0F307035"/>
    <w:rsid w:val="0F84395A"/>
    <w:rsid w:val="0F97049A"/>
    <w:rsid w:val="0FAB6CE3"/>
    <w:rsid w:val="0FB00BF3"/>
    <w:rsid w:val="0FC140C6"/>
    <w:rsid w:val="0FDF5034"/>
    <w:rsid w:val="0FF07241"/>
    <w:rsid w:val="10125409"/>
    <w:rsid w:val="102869DB"/>
    <w:rsid w:val="104233B1"/>
    <w:rsid w:val="10564052"/>
    <w:rsid w:val="109776BD"/>
    <w:rsid w:val="10993435"/>
    <w:rsid w:val="10B269C4"/>
    <w:rsid w:val="10B4201D"/>
    <w:rsid w:val="10FD4D23"/>
    <w:rsid w:val="110D69A7"/>
    <w:rsid w:val="11205904"/>
    <w:rsid w:val="11731ED8"/>
    <w:rsid w:val="117B15EC"/>
    <w:rsid w:val="11AF4141"/>
    <w:rsid w:val="11B10549"/>
    <w:rsid w:val="11C223EB"/>
    <w:rsid w:val="11F254F3"/>
    <w:rsid w:val="11F25817"/>
    <w:rsid w:val="11FB0426"/>
    <w:rsid w:val="12086AC4"/>
    <w:rsid w:val="12121331"/>
    <w:rsid w:val="122767DE"/>
    <w:rsid w:val="122D02D9"/>
    <w:rsid w:val="1233032B"/>
    <w:rsid w:val="12575356"/>
    <w:rsid w:val="126D4B79"/>
    <w:rsid w:val="12DA1AE3"/>
    <w:rsid w:val="12E34E3B"/>
    <w:rsid w:val="1319766D"/>
    <w:rsid w:val="13A75E69"/>
    <w:rsid w:val="13CE5AEB"/>
    <w:rsid w:val="13EB4F00"/>
    <w:rsid w:val="140212F1"/>
    <w:rsid w:val="144731A8"/>
    <w:rsid w:val="14812B5E"/>
    <w:rsid w:val="149F581F"/>
    <w:rsid w:val="14BA7E1E"/>
    <w:rsid w:val="14D15DDE"/>
    <w:rsid w:val="15121A08"/>
    <w:rsid w:val="15472268"/>
    <w:rsid w:val="15610299"/>
    <w:rsid w:val="15A9236C"/>
    <w:rsid w:val="1606156C"/>
    <w:rsid w:val="1640086D"/>
    <w:rsid w:val="169133EE"/>
    <w:rsid w:val="16A155C2"/>
    <w:rsid w:val="16B30B4B"/>
    <w:rsid w:val="16B30DE3"/>
    <w:rsid w:val="16B51656"/>
    <w:rsid w:val="16BE1E47"/>
    <w:rsid w:val="16DC4732"/>
    <w:rsid w:val="17602EFE"/>
    <w:rsid w:val="17CE60BA"/>
    <w:rsid w:val="17EC02EE"/>
    <w:rsid w:val="17F673BF"/>
    <w:rsid w:val="18095344"/>
    <w:rsid w:val="180A31F3"/>
    <w:rsid w:val="182518E4"/>
    <w:rsid w:val="18635AC6"/>
    <w:rsid w:val="188C5B67"/>
    <w:rsid w:val="18956BD8"/>
    <w:rsid w:val="18AB5F6B"/>
    <w:rsid w:val="18EC56F3"/>
    <w:rsid w:val="18EE0BF6"/>
    <w:rsid w:val="19510D51"/>
    <w:rsid w:val="198A6011"/>
    <w:rsid w:val="19D84FCE"/>
    <w:rsid w:val="19F33BB6"/>
    <w:rsid w:val="1A1254D5"/>
    <w:rsid w:val="1A1678A4"/>
    <w:rsid w:val="1A2A15A2"/>
    <w:rsid w:val="1A571CAA"/>
    <w:rsid w:val="1A9F3D3E"/>
    <w:rsid w:val="1ACE4623"/>
    <w:rsid w:val="1B122762"/>
    <w:rsid w:val="1B2A7AAB"/>
    <w:rsid w:val="1B2E0C1E"/>
    <w:rsid w:val="1B3E30E1"/>
    <w:rsid w:val="1B6034CD"/>
    <w:rsid w:val="1BB455C7"/>
    <w:rsid w:val="1BBE1E85"/>
    <w:rsid w:val="1BC81CEE"/>
    <w:rsid w:val="1BCA4DEA"/>
    <w:rsid w:val="1BD17F27"/>
    <w:rsid w:val="1C155B9F"/>
    <w:rsid w:val="1C330BE1"/>
    <w:rsid w:val="1C5A616E"/>
    <w:rsid w:val="1CB25FAA"/>
    <w:rsid w:val="1CF3211F"/>
    <w:rsid w:val="1D076C34"/>
    <w:rsid w:val="1D1F2F14"/>
    <w:rsid w:val="1D5E1E58"/>
    <w:rsid w:val="1D835251"/>
    <w:rsid w:val="1D921938"/>
    <w:rsid w:val="1DDE4B7D"/>
    <w:rsid w:val="1DE017F0"/>
    <w:rsid w:val="1E236A34"/>
    <w:rsid w:val="1E2C7696"/>
    <w:rsid w:val="1E3D7AF5"/>
    <w:rsid w:val="1E50650A"/>
    <w:rsid w:val="1E7C4A27"/>
    <w:rsid w:val="1EA5569B"/>
    <w:rsid w:val="1EBD29E4"/>
    <w:rsid w:val="1EDD3086"/>
    <w:rsid w:val="1EE77A61"/>
    <w:rsid w:val="1EFD0012"/>
    <w:rsid w:val="1F022AED"/>
    <w:rsid w:val="1F4B6242"/>
    <w:rsid w:val="1F75506D"/>
    <w:rsid w:val="1F91539C"/>
    <w:rsid w:val="1FD06747"/>
    <w:rsid w:val="1FDC0E9E"/>
    <w:rsid w:val="1FDF698A"/>
    <w:rsid w:val="1FE346CD"/>
    <w:rsid w:val="1FF16DE9"/>
    <w:rsid w:val="1FF73CD4"/>
    <w:rsid w:val="204248F8"/>
    <w:rsid w:val="206F41B2"/>
    <w:rsid w:val="20710D0B"/>
    <w:rsid w:val="20757D2A"/>
    <w:rsid w:val="208D0D40"/>
    <w:rsid w:val="2099122F"/>
    <w:rsid w:val="20AD0837"/>
    <w:rsid w:val="214825F7"/>
    <w:rsid w:val="215869F4"/>
    <w:rsid w:val="21617F9F"/>
    <w:rsid w:val="217472F0"/>
    <w:rsid w:val="21D05329"/>
    <w:rsid w:val="21F7620D"/>
    <w:rsid w:val="22001566"/>
    <w:rsid w:val="22032E04"/>
    <w:rsid w:val="220C261C"/>
    <w:rsid w:val="221B014E"/>
    <w:rsid w:val="2262481A"/>
    <w:rsid w:val="22837AA1"/>
    <w:rsid w:val="22A55C69"/>
    <w:rsid w:val="22B713B3"/>
    <w:rsid w:val="22B81E40"/>
    <w:rsid w:val="22ED766D"/>
    <w:rsid w:val="230230BC"/>
    <w:rsid w:val="23370256"/>
    <w:rsid w:val="2383701D"/>
    <w:rsid w:val="23CD148E"/>
    <w:rsid w:val="23CE7442"/>
    <w:rsid w:val="23FA0237"/>
    <w:rsid w:val="23FE0866"/>
    <w:rsid w:val="2403533D"/>
    <w:rsid w:val="24694C85"/>
    <w:rsid w:val="24942439"/>
    <w:rsid w:val="24C70119"/>
    <w:rsid w:val="24D16B95"/>
    <w:rsid w:val="24D6035C"/>
    <w:rsid w:val="24F42ED8"/>
    <w:rsid w:val="250F7ADC"/>
    <w:rsid w:val="25581738"/>
    <w:rsid w:val="258E7571"/>
    <w:rsid w:val="25910727"/>
    <w:rsid w:val="25E87F6B"/>
    <w:rsid w:val="261502D4"/>
    <w:rsid w:val="26732139"/>
    <w:rsid w:val="267C449B"/>
    <w:rsid w:val="26914E82"/>
    <w:rsid w:val="26AB75C6"/>
    <w:rsid w:val="26E86A6C"/>
    <w:rsid w:val="270F224B"/>
    <w:rsid w:val="27133AE9"/>
    <w:rsid w:val="273677D8"/>
    <w:rsid w:val="27637EA1"/>
    <w:rsid w:val="2766606C"/>
    <w:rsid w:val="27AE2EFD"/>
    <w:rsid w:val="27B35806"/>
    <w:rsid w:val="27DA63B5"/>
    <w:rsid w:val="282249BA"/>
    <w:rsid w:val="285717B4"/>
    <w:rsid w:val="286C5EC7"/>
    <w:rsid w:val="28785FE2"/>
    <w:rsid w:val="29053906"/>
    <w:rsid w:val="290C7562"/>
    <w:rsid w:val="292A511A"/>
    <w:rsid w:val="292A6EC8"/>
    <w:rsid w:val="29420E4C"/>
    <w:rsid w:val="295462A4"/>
    <w:rsid w:val="29822370"/>
    <w:rsid w:val="29892243"/>
    <w:rsid w:val="298A7967"/>
    <w:rsid w:val="298E3023"/>
    <w:rsid w:val="29930F11"/>
    <w:rsid w:val="29976175"/>
    <w:rsid w:val="29B31B60"/>
    <w:rsid w:val="29C9048F"/>
    <w:rsid w:val="2A5A6D09"/>
    <w:rsid w:val="2A9E7B6E"/>
    <w:rsid w:val="2AAD7DB1"/>
    <w:rsid w:val="2AB831E2"/>
    <w:rsid w:val="2B1A4D1A"/>
    <w:rsid w:val="2B843EBF"/>
    <w:rsid w:val="2B9B5E5B"/>
    <w:rsid w:val="2BA128A4"/>
    <w:rsid w:val="2BDF54E9"/>
    <w:rsid w:val="2C027C88"/>
    <w:rsid w:val="2C0D21B1"/>
    <w:rsid w:val="2C145C5E"/>
    <w:rsid w:val="2C2E653B"/>
    <w:rsid w:val="2CA429E2"/>
    <w:rsid w:val="2CE72F1B"/>
    <w:rsid w:val="2CEC58D0"/>
    <w:rsid w:val="2D834DF9"/>
    <w:rsid w:val="2DD85705"/>
    <w:rsid w:val="2DFB52D7"/>
    <w:rsid w:val="2E100D83"/>
    <w:rsid w:val="2E652751"/>
    <w:rsid w:val="2E774BF1"/>
    <w:rsid w:val="2EBD258D"/>
    <w:rsid w:val="2EC23710"/>
    <w:rsid w:val="2EE9041C"/>
    <w:rsid w:val="2F015E10"/>
    <w:rsid w:val="2F7E343D"/>
    <w:rsid w:val="2F9E23BE"/>
    <w:rsid w:val="2FC516F9"/>
    <w:rsid w:val="2FCD4A51"/>
    <w:rsid w:val="2FEF73D0"/>
    <w:rsid w:val="30120F5C"/>
    <w:rsid w:val="30474804"/>
    <w:rsid w:val="30BD1574"/>
    <w:rsid w:val="30BF439A"/>
    <w:rsid w:val="30E47124"/>
    <w:rsid w:val="30EC5650"/>
    <w:rsid w:val="30F2145C"/>
    <w:rsid w:val="310F7B6C"/>
    <w:rsid w:val="31505D7F"/>
    <w:rsid w:val="3195417A"/>
    <w:rsid w:val="31C37EBA"/>
    <w:rsid w:val="31F17657"/>
    <w:rsid w:val="321D581C"/>
    <w:rsid w:val="322A7F39"/>
    <w:rsid w:val="32406A05"/>
    <w:rsid w:val="32C803B8"/>
    <w:rsid w:val="32D55349"/>
    <w:rsid w:val="33281F09"/>
    <w:rsid w:val="33423060"/>
    <w:rsid w:val="33541711"/>
    <w:rsid w:val="337162D2"/>
    <w:rsid w:val="33943B57"/>
    <w:rsid w:val="34272982"/>
    <w:rsid w:val="347B4A7C"/>
    <w:rsid w:val="34AF2977"/>
    <w:rsid w:val="34E6283D"/>
    <w:rsid w:val="351F5471"/>
    <w:rsid w:val="355377A7"/>
    <w:rsid w:val="35762C4A"/>
    <w:rsid w:val="35880EBA"/>
    <w:rsid w:val="358F1580"/>
    <w:rsid w:val="35AD6EB7"/>
    <w:rsid w:val="35AF31CD"/>
    <w:rsid w:val="35C27393"/>
    <w:rsid w:val="36101908"/>
    <w:rsid w:val="363E2205"/>
    <w:rsid w:val="36721EAF"/>
    <w:rsid w:val="36A82604"/>
    <w:rsid w:val="36D14E27"/>
    <w:rsid w:val="37250DEE"/>
    <w:rsid w:val="37841E99"/>
    <w:rsid w:val="37874E28"/>
    <w:rsid w:val="37A91900"/>
    <w:rsid w:val="37B33EA9"/>
    <w:rsid w:val="37B564F7"/>
    <w:rsid w:val="37EA7BDA"/>
    <w:rsid w:val="37EF1A09"/>
    <w:rsid w:val="38247DE8"/>
    <w:rsid w:val="382E0623"/>
    <w:rsid w:val="38304F26"/>
    <w:rsid w:val="388C54AA"/>
    <w:rsid w:val="38975BFC"/>
    <w:rsid w:val="38F87063"/>
    <w:rsid w:val="3906674B"/>
    <w:rsid w:val="39B8407C"/>
    <w:rsid w:val="39FD3633"/>
    <w:rsid w:val="3A337AA2"/>
    <w:rsid w:val="3A396F6B"/>
    <w:rsid w:val="3AD35612"/>
    <w:rsid w:val="3AE36D1D"/>
    <w:rsid w:val="3B133C60"/>
    <w:rsid w:val="3B1D688D"/>
    <w:rsid w:val="3B1F0857"/>
    <w:rsid w:val="3B2A71FC"/>
    <w:rsid w:val="3B2B2377"/>
    <w:rsid w:val="3B3E47CB"/>
    <w:rsid w:val="3B457B92"/>
    <w:rsid w:val="3B5E66F2"/>
    <w:rsid w:val="3B842468"/>
    <w:rsid w:val="3C065573"/>
    <w:rsid w:val="3C0C10A1"/>
    <w:rsid w:val="3C243C4B"/>
    <w:rsid w:val="3C2D38F6"/>
    <w:rsid w:val="3C37397E"/>
    <w:rsid w:val="3C8B6ACE"/>
    <w:rsid w:val="3CB572C5"/>
    <w:rsid w:val="3CED6733"/>
    <w:rsid w:val="3D1F3E2E"/>
    <w:rsid w:val="3DAE7C70"/>
    <w:rsid w:val="3DC2371B"/>
    <w:rsid w:val="3DCB25D0"/>
    <w:rsid w:val="3E654298"/>
    <w:rsid w:val="3E6B1BF8"/>
    <w:rsid w:val="3EBE0387"/>
    <w:rsid w:val="3ECE2DDE"/>
    <w:rsid w:val="3F24070A"/>
    <w:rsid w:val="3F2C3542"/>
    <w:rsid w:val="3F982986"/>
    <w:rsid w:val="3FA7706D"/>
    <w:rsid w:val="3FE0432D"/>
    <w:rsid w:val="3FE51248"/>
    <w:rsid w:val="3FFC1AB1"/>
    <w:rsid w:val="4059264D"/>
    <w:rsid w:val="4064171F"/>
    <w:rsid w:val="40D7128C"/>
    <w:rsid w:val="414D154E"/>
    <w:rsid w:val="415648A7"/>
    <w:rsid w:val="4177481D"/>
    <w:rsid w:val="418022DC"/>
    <w:rsid w:val="41881C2B"/>
    <w:rsid w:val="41A53138"/>
    <w:rsid w:val="41A817EC"/>
    <w:rsid w:val="41C2018E"/>
    <w:rsid w:val="41C30EF6"/>
    <w:rsid w:val="41D41C6F"/>
    <w:rsid w:val="42333799"/>
    <w:rsid w:val="425B415D"/>
    <w:rsid w:val="425C5EED"/>
    <w:rsid w:val="42823479"/>
    <w:rsid w:val="42C65A5C"/>
    <w:rsid w:val="42FE51F6"/>
    <w:rsid w:val="432437C0"/>
    <w:rsid w:val="433312EB"/>
    <w:rsid w:val="43340C18"/>
    <w:rsid w:val="437B23A2"/>
    <w:rsid w:val="43803E5D"/>
    <w:rsid w:val="439B27FA"/>
    <w:rsid w:val="43BD329E"/>
    <w:rsid w:val="43D30430"/>
    <w:rsid w:val="4407632C"/>
    <w:rsid w:val="443919D7"/>
    <w:rsid w:val="445441A7"/>
    <w:rsid w:val="448F5C77"/>
    <w:rsid w:val="44A8366B"/>
    <w:rsid w:val="44EB17AA"/>
    <w:rsid w:val="44EE129A"/>
    <w:rsid w:val="450D7972"/>
    <w:rsid w:val="453A6A58"/>
    <w:rsid w:val="453B7D3E"/>
    <w:rsid w:val="454D5FC1"/>
    <w:rsid w:val="455C26A8"/>
    <w:rsid w:val="4585575A"/>
    <w:rsid w:val="460F14C8"/>
    <w:rsid w:val="4618037D"/>
    <w:rsid w:val="464B69A4"/>
    <w:rsid w:val="466E4440"/>
    <w:rsid w:val="46720BD5"/>
    <w:rsid w:val="467400B4"/>
    <w:rsid w:val="469E666E"/>
    <w:rsid w:val="46A60BE4"/>
    <w:rsid w:val="46F459EC"/>
    <w:rsid w:val="47595FEC"/>
    <w:rsid w:val="475A2C17"/>
    <w:rsid w:val="477D7ED7"/>
    <w:rsid w:val="47EE6326"/>
    <w:rsid w:val="4805375F"/>
    <w:rsid w:val="48217291"/>
    <w:rsid w:val="4829517C"/>
    <w:rsid w:val="487B4BF3"/>
    <w:rsid w:val="489B7043"/>
    <w:rsid w:val="48CF7122"/>
    <w:rsid w:val="48F84300"/>
    <w:rsid w:val="491A7D9B"/>
    <w:rsid w:val="49227764"/>
    <w:rsid w:val="49455BD7"/>
    <w:rsid w:val="494D658F"/>
    <w:rsid w:val="49757894"/>
    <w:rsid w:val="49E21BFF"/>
    <w:rsid w:val="4A5D7E56"/>
    <w:rsid w:val="4A644A12"/>
    <w:rsid w:val="4A8C0C16"/>
    <w:rsid w:val="4AB72EFA"/>
    <w:rsid w:val="4AC20E61"/>
    <w:rsid w:val="4ACB00B3"/>
    <w:rsid w:val="4B0776BD"/>
    <w:rsid w:val="4B223A4B"/>
    <w:rsid w:val="4B3D0885"/>
    <w:rsid w:val="4B5512E3"/>
    <w:rsid w:val="4B5A1437"/>
    <w:rsid w:val="4B754A99"/>
    <w:rsid w:val="4B7651B4"/>
    <w:rsid w:val="4B865320"/>
    <w:rsid w:val="4BE51282"/>
    <w:rsid w:val="4C0B2731"/>
    <w:rsid w:val="4C11709C"/>
    <w:rsid w:val="4C404189"/>
    <w:rsid w:val="4C5E0CEA"/>
    <w:rsid w:val="4CBC66F9"/>
    <w:rsid w:val="4D13189E"/>
    <w:rsid w:val="4D6C1414"/>
    <w:rsid w:val="4D7B7092"/>
    <w:rsid w:val="4DA25E92"/>
    <w:rsid w:val="4DF416CF"/>
    <w:rsid w:val="4E067654"/>
    <w:rsid w:val="4E141D71"/>
    <w:rsid w:val="4E577EB0"/>
    <w:rsid w:val="4E5B722D"/>
    <w:rsid w:val="4E5C1022"/>
    <w:rsid w:val="4E6509DC"/>
    <w:rsid w:val="4EB62E28"/>
    <w:rsid w:val="4ED74DB7"/>
    <w:rsid w:val="4F02606E"/>
    <w:rsid w:val="4FA211F2"/>
    <w:rsid w:val="4FCD3101"/>
    <w:rsid w:val="4FE44462"/>
    <w:rsid w:val="4FF51726"/>
    <w:rsid w:val="4FFA6D45"/>
    <w:rsid w:val="4FFE43AD"/>
    <w:rsid w:val="508825A3"/>
    <w:rsid w:val="50AC6291"/>
    <w:rsid w:val="50D53746"/>
    <w:rsid w:val="50E05F3B"/>
    <w:rsid w:val="50E7551B"/>
    <w:rsid w:val="50EA6DB9"/>
    <w:rsid w:val="5167040A"/>
    <w:rsid w:val="516C3C72"/>
    <w:rsid w:val="51DC608C"/>
    <w:rsid w:val="51FB0B52"/>
    <w:rsid w:val="52045FA6"/>
    <w:rsid w:val="520B5239"/>
    <w:rsid w:val="52210B4A"/>
    <w:rsid w:val="52285DEB"/>
    <w:rsid w:val="52884ADC"/>
    <w:rsid w:val="52C75604"/>
    <w:rsid w:val="52E975F0"/>
    <w:rsid w:val="52FD2C85"/>
    <w:rsid w:val="533A5A74"/>
    <w:rsid w:val="533E65F3"/>
    <w:rsid w:val="53AE33B0"/>
    <w:rsid w:val="53E915AA"/>
    <w:rsid w:val="53EF36C4"/>
    <w:rsid w:val="540C51D3"/>
    <w:rsid w:val="540F5E79"/>
    <w:rsid w:val="541B6053"/>
    <w:rsid w:val="541C586F"/>
    <w:rsid w:val="544662D1"/>
    <w:rsid w:val="54510997"/>
    <w:rsid w:val="54AD25D8"/>
    <w:rsid w:val="54CA68AA"/>
    <w:rsid w:val="54CB0CB0"/>
    <w:rsid w:val="54ED5420"/>
    <w:rsid w:val="550D751A"/>
    <w:rsid w:val="550F5041"/>
    <w:rsid w:val="551B39E5"/>
    <w:rsid w:val="55350E01"/>
    <w:rsid w:val="553B037D"/>
    <w:rsid w:val="554A42CB"/>
    <w:rsid w:val="55693404"/>
    <w:rsid w:val="55C53951"/>
    <w:rsid w:val="55E77D6B"/>
    <w:rsid w:val="56006729"/>
    <w:rsid w:val="56244B1C"/>
    <w:rsid w:val="563977FA"/>
    <w:rsid w:val="56743D30"/>
    <w:rsid w:val="567E3E8F"/>
    <w:rsid w:val="56B02306"/>
    <w:rsid w:val="56D51C18"/>
    <w:rsid w:val="56E46059"/>
    <w:rsid w:val="56E9366F"/>
    <w:rsid w:val="56FB56C7"/>
    <w:rsid w:val="57087F99"/>
    <w:rsid w:val="575817A3"/>
    <w:rsid w:val="576A47B0"/>
    <w:rsid w:val="576F6420"/>
    <w:rsid w:val="579C48DF"/>
    <w:rsid w:val="57B7551B"/>
    <w:rsid w:val="57D367F9"/>
    <w:rsid w:val="57DE4147"/>
    <w:rsid w:val="581C2D20"/>
    <w:rsid w:val="58365C18"/>
    <w:rsid w:val="583F3E8F"/>
    <w:rsid w:val="5842572D"/>
    <w:rsid w:val="584C114E"/>
    <w:rsid w:val="584C587A"/>
    <w:rsid w:val="58AA7FF8"/>
    <w:rsid w:val="58E10BDE"/>
    <w:rsid w:val="58E34FDC"/>
    <w:rsid w:val="591B5A06"/>
    <w:rsid w:val="591F45EF"/>
    <w:rsid w:val="595E182C"/>
    <w:rsid w:val="59601C33"/>
    <w:rsid w:val="599B62C6"/>
    <w:rsid w:val="59DB6423"/>
    <w:rsid w:val="59E7404A"/>
    <w:rsid w:val="5A3D61AC"/>
    <w:rsid w:val="5AAD0254"/>
    <w:rsid w:val="5AC4067B"/>
    <w:rsid w:val="5ADD699F"/>
    <w:rsid w:val="5B1F58B2"/>
    <w:rsid w:val="5B3F7D02"/>
    <w:rsid w:val="5B45008A"/>
    <w:rsid w:val="5B6D2AC1"/>
    <w:rsid w:val="5B962018"/>
    <w:rsid w:val="5BC16969"/>
    <w:rsid w:val="5C1473E0"/>
    <w:rsid w:val="5C317F92"/>
    <w:rsid w:val="5C390E5B"/>
    <w:rsid w:val="5C470A30"/>
    <w:rsid w:val="5C622D9E"/>
    <w:rsid w:val="5C677510"/>
    <w:rsid w:val="5C7F3436"/>
    <w:rsid w:val="5CA00684"/>
    <w:rsid w:val="5CB52971"/>
    <w:rsid w:val="5CBF734C"/>
    <w:rsid w:val="5D254662"/>
    <w:rsid w:val="5D2E6280"/>
    <w:rsid w:val="5D431239"/>
    <w:rsid w:val="5D535CE6"/>
    <w:rsid w:val="5D5F6439"/>
    <w:rsid w:val="5D706898"/>
    <w:rsid w:val="5DF251B5"/>
    <w:rsid w:val="5E055233"/>
    <w:rsid w:val="5E08087F"/>
    <w:rsid w:val="5E0B4FCC"/>
    <w:rsid w:val="5E5A35CD"/>
    <w:rsid w:val="5EB32EE1"/>
    <w:rsid w:val="5EBE2AAA"/>
    <w:rsid w:val="5EE5345C"/>
    <w:rsid w:val="5EE57C39"/>
    <w:rsid w:val="5F335DCF"/>
    <w:rsid w:val="5FAB5D44"/>
    <w:rsid w:val="5FB76A00"/>
    <w:rsid w:val="5FFC4413"/>
    <w:rsid w:val="60065292"/>
    <w:rsid w:val="601E082E"/>
    <w:rsid w:val="60397415"/>
    <w:rsid w:val="604C539B"/>
    <w:rsid w:val="60530A95"/>
    <w:rsid w:val="605779F2"/>
    <w:rsid w:val="605A31FA"/>
    <w:rsid w:val="60C211B9"/>
    <w:rsid w:val="618F2A1B"/>
    <w:rsid w:val="619B7E0D"/>
    <w:rsid w:val="619F599E"/>
    <w:rsid w:val="61A86601"/>
    <w:rsid w:val="61C413CE"/>
    <w:rsid w:val="61CA1837"/>
    <w:rsid w:val="61F12AC0"/>
    <w:rsid w:val="62042A87"/>
    <w:rsid w:val="620F7FB0"/>
    <w:rsid w:val="621214A7"/>
    <w:rsid w:val="62265065"/>
    <w:rsid w:val="62437DAF"/>
    <w:rsid w:val="627604AD"/>
    <w:rsid w:val="62803AF9"/>
    <w:rsid w:val="629848C7"/>
    <w:rsid w:val="62C70D09"/>
    <w:rsid w:val="62FA10DE"/>
    <w:rsid w:val="633F4D43"/>
    <w:rsid w:val="638C3D00"/>
    <w:rsid w:val="6392733F"/>
    <w:rsid w:val="63A31776"/>
    <w:rsid w:val="63AC47AA"/>
    <w:rsid w:val="63C64D06"/>
    <w:rsid w:val="63CB4828"/>
    <w:rsid w:val="641E2BAA"/>
    <w:rsid w:val="643D0D5F"/>
    <w:rsid w:val="64915A72"/>
    <w:rsid w:val="64B81251"/>
    <w:rsid w:val="64F102BF"/>
    <w:rsid w:val="65053D6A"/>
    <w:rsid w:val="65092761"/>
    <w:rsid w:val="658729D1"/>
    <w:rsid w:val="65B23EF2"/>
    <w:rsid w:val="65F77B57"/>
    <w:rsid w:val="666D7E19"/>
    <w:rsid w:val="6679056C"/>
    <w:rsid w:val="66DB2FD4"/>
    <w:rsid w:val="67225BE3"/>
    <w:rsid w:val="67340937"/>
    <w:rsid w:val="67426770"/>
    <w:rsid w:val="676F7BC1"/>
    <w:rsid w:val="67E13554"/>
    <w:rsid w:val="68664B20"/>
    <w:rsid w:val="686B0388"/>
    <w:rsid w:val="68C20648"/>
    <w:rsid w:val="68CD14F3"/>
    <w:rsid w:val="68D110DA"/>
    <w:rsid w:val="68EA39A3"/>
    <w:rsid w:val="69252C2D"/>
    <w:rsid w:val="69431305"/>
    <w:rsid w:val="69643755"/>
    <w:rsid w:val="69A753F0"/>
    <w:rsid w:val="6A0E36C1"/>
    <w:rsid w:val="6ABB15B5"/>
    <w:rsid w:val="6AD23D0F"/>
    <w:rsid w:val="6AFB3C45"/>
    <w:rsid w:val="6B0C3838"/>
    <w:rsid w:val="6B317667"/>
    <w:rsid w:val="6B413622"/>
    <w:rsid w:val="6B60619E"/>
    <w:rsid w:val="6BDF5315"/>
    <w:rsid w:val="6C021003"/>
    <w:rsid w:val="6C1134DA"/>
    <w:rsid w:val="6C186A79"/>
    <w:rsid w:val="6C262F44"/>
    <w:rsid w:val="6C375549"/>
    <w:rsid w:val="6C724F76"/>
    <w:rsid w:val="6C8258A3"/>
    <w:rsid w:val="6C826B90"/>
    <w:rsid w:val="6C8B0FF9"/>
    <w:rsid w:val="6C924135"/>
    <w:rsid w:val="6C9A123C"/>
    <w:rsid w:val="6CB71DEE"/>
    <w:rsid w:val="6CD75FEC"/>
    <w:rsid w:val="6D1E00BF"/>
    <w:rsid w:val="6D6C5D15"/>
    <w:rsid w:val="6D756624"/>
    <w:rsid w:val="6D763A57"/>
    <w:rsid w:val="6D972C1C"/>
    <w:rsid w:val="6D9E2FAE"/>
    <w:rsid w:val="6DE61E6F"/>
    <w:rsid w:val="6DF5149A"/>
    <w:rsid w:val="6E1A0886"/>
    <w:rsid w:val="6E34121C"/>
    <w:rsid w:val="6E4679F8"/>
    <w:rsid w:val="6E4C2A0A"/>
    <w:rsid w:val="6E573394"/>
    <w:rsid w:val="6E75693F"/>
    <w:rsid w:val="6E7D71CC"/>
    <w:rsid w:val="6E9024D6"/>
    <w:rsid w:val="6ED44ED9"/>
    <w:rsid w:val="6EDD18B4"/>
    <w:rsid w:val="6F265009"/>
    <w:rsid w:val="6F307EE5"/>
    <w:rsid w:val="6F403633"/>
    <w:rsid w:val="6F5000F5"/>
    <w:rsid w:val="6F596B1B"/>
    <w:rsid w:val="6FE33A1C"/>
    <w:rsid w:val="70205EFC"/>
    <w:rsid w:val="704E4817"/>
    <w:rsid w:val="70585696"/>
    <w:rsid w:val="70827DCE"/>
    <w:rsid w:val="708446DD"/>
    <w:rsid w:val="70CD7E32"/>
    <w:rsid w:val="711315BD"/>
    <w:rsid w:val="717725DB"/>
    <w:rsid w:val="717F504A"/>
    <w:rsid w:val="71951CDD"/>
    <w:rsid w:val="71C07997"/>
    <w:rsid w:val="71D64AC4"/>
    <w:rsid w:val="729130E1"/>
    <w:rsid w:val="72924E5A"/>
    <w:rsid w:val="7294791E"/>
    <w:rsid w:val="72BA00C5"/>
    <w:rsid w:val="73012015"/>
    <w:rsid w:val="735C36EF"/>
    <w:rsid w:val="736856FA"/>
    <w:rsid w:val="73724CC1"/>
    <w:rsid w:val="73A3678C"/>
    <w:rsid w:val="740C6EC3"/>
    <w:rsid w:val="741A3431"/>
    <w:rsid w:val="743C0E2B"/>
    <w:rsid w:val="744A79EB"/>
    <w:rsid w:val="7460720F"/>
    <w:rsid w:val="74B90B5C"/>
    <w:rsid w:val="74DA2B1D"/>
    <w:rsid w:val="74EF5AE6"/>
    <w:rsid w:val="74F040EF"/>
    <w:rsid w:val="74F87447"/>
    <w:rsid w:val="75063912"/>
    <w:rsid w:val="750A2E36"/>
    <w:rsid w:val="751C63E4"/>
    <w:rsid w:val="754C4F04"/>
    <w:rsid w:val="75774810"/>
    <w:rsid w:val="757765BE"/>
    <w:rsid w:val="759F4A5F"/>
    <w:rsid w:val="75C64E50"/>
    <w:rsid w:val="75CE1F56"/>
    <w:rsid w:val="762027B2"/>
    <w:rsid w:val="762A1882"/>
    <w:rsid w:val="762E6518"/>
    <w:rsid w:val="766C59F7"/>
    <w:rsid w:val="767E6D31"/>
    <w:rsid w:val="76A258BD"/>
    <w:rsid w:val="76B529FB"/>
    <w:rsid w:val="76CA603A"/>
    <w:rsid w:val="7714410C"/>
    <w:rsid w:val="77514BED"/>
    <w:rsid w:val="775D1AD1"/>
    <w:rsid w:val="778B5D66"/>
    <w:rsid w:val="785726D7"/>
    <w:rsid w:val="7863107C"/>
    <w:rsid w:val="78715547"/>
    <w:rsid w:val="78F87B7D"/>
    <w:rsid w:val="79441835"/>
    <w:rsid w:val="7945438B"/>
    <w:rsid w:val="79591BF0"/>
    <w:rsid w:val="797A6C80"/>
    <w:rsid w:val="79954AEE"/>
    <w:rsid w:val="79960FDD"/>
    <w:rsid w:val="799C2A97"/>
    <w:rsid w:val="79EE5A0E"/>
    <w:rsid w:val="7A3A4D14"/>
    <w:rsid w:val="7A880C3C"/>
    <w:rsid w:val="7A925C48"/>
    <w:rsid w:val="7A94551C"/>
    <w:rsid w:val="7AE1082E"/>
    <w:rsid w:val="7AF01920"/>
    <w:rsid w:val="7B0B358B"/>
    <w:rsid w:val="7B221A0A"/>
    <w:rsid w:val="7B346CFF"/>
    <w:rsid w:val="7B9F205C"/>
    <w:rsid w:val="7BCD518A"/>
    <w:rsid w:val="7BFC305D"/>
    <w:rsid w:val="7C3C6F2C"/>
    <w:rsid w:val="7C7D684C"/>
    <w:rsid w:val="7C7E6484"/>
    <w:rsid w:val="7C905727"/>
    <w:rsid w:val="7CBA4FE2"/>
    <w:rsid w:val="7CC06955"/>
    <w:rsid w:val="7CCA1B4A"/>
    <w:rsid w:val="7CCA3D48"/>
    <w:rsid w:val="7CE3278B"/>
    <w:rsid w:val="7CFD384D"/>
    <w:rsid w:val="7D3354C1"/>
    <w:rsid w:val="7D3923AB"/>
    <w:rsid w:val="7D674E7C"/>
    <w:rsid w:val="7D7358BD"/>
    <w:rsid w:val="7D871368"/>
    <w:rsid w:val="7D9F23AA"/>
    <w:rsid w:val="7DB36601"/>
    <w:rsid w:val="7DDA1987"/>
    <w:rsid w:val="7DDC0A1F"/>
    <w:rsid w:val="7DF05160"/>
    <w:rsid w:val="7E221091"/>
    <w:rsid w:val="7E3A287F"/>
    <w:rsid w:val="7E6416AA"/>
    <w:rsid w:val="7E7933A7"/>
    <w:rsid w:val="7E7F5A54"/>
    <w:rsid w:val="7E924469"/>
    <w:rsid w:val="7E94162E"/>
    <w:rsid w:val="7ED00AED"/>
    <w:rsid w:val="7EE118C1"/>
    <w:rsid w:val="7F0A53F1"/>
    <w:rsid w:val="7F21759B"/>
    <w:rsid w:val="7F314A7F"/>
    <w:rsid w:val="7F700B93"/>
    <w:rsid w:val="7FCE14D1"/>
    <w:rsid w:val="7FEB1B8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11">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semiHidden/>
    <w:qFormat/>
    <w:uiPriority w:val="0"/>
    <w:rPr>
      <w:rFonts w:ascii="Arial" w:hAnsi="Arial" w:eastAsia="Arial" w:cs="Arial"/>
      <w:sz w:val="21"/>
      <w:szCs w:val="21"/>
      <w:lang w:val="en-US" w:eastAsia="en-US" w:bidi="ar-SA"/>
    </w:rPr>
  </w:style>
  <w:style w:type="paragraph" w:styleId="3">
    <w:name w:val="Body Text 2"/>
    <w:basedOn w:val="1"/>
    <w:qFormat/>
    <w:uiPriority w:val="0"/>
    <w:pPr>
      <w:spacing w:after="120" w:line="480" w:lineRule="auto"/>
      <w:ind w:firstLine="200" w:firstLineChars="200"/>
      <w:jc w:val="left"/>
    </w:pPr>
    <w:rPr>
      <w:sz w:val="28"/>
      <w:szCs w:val="4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qFormat/>
    <w:uiPriority w:val="0"/>
  </w:style>
  <w:style w:type="paragraph" w:styleId="7">
    <w:name w:val="toc 2"/>
    <w:basedOn w:val="1"/>
    <w:next w:val="1"/>
    <w:qFormat/>
    <w:uiPriority w:val="0"/>
    <w:pPr>
      <w:ind w:left="420" w:leftChars="200"/>
    </w:p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Strong"/>
    <w:basedOn w:val="11"/>
    <w:qFormat/>
    <w:uiPriority w:val="0"/>
    <w:rPr>
      <w:b/>
    </w:rPr>
  </w:style>
  <w:style w:type="character" w:styleId="13">
    <w:name w:val="Hyperlink"/>
    <w:basedOn w:val="11"/>
    <w:qFormat/>
    <w:uiPriority w:val="0"/>
    <w:rPr>
      <w:color w:val="0000FF"/>
      <w:u w:val="single"/>
    </w:rPr>
  </w:style>
  <w:style w:type="table" w:customStyle="1" w:styleId="14">
    <w:name w:val="Table Normal"/>
    <w:semiHidden/>
    <w:unhideWhenUsed/>
    <w:qFormat/>
    <w:uiPriority w:val="0"/>
    <w:tblPr>
      <w:tblCellMar>
        <w:top w:w="0" w:type="dxa"/>
        <w:left w:w="0" w:type="dxa"/>
        <w:bottom w:w="0" w:type="dxa"/>
        <w:right w:w="0" w:type="dxa"/>
      </w:tblCellMar>
    </w:tblPr>
  </w:style>
  <w:style w:type="paragraph" w:customStyle="1" w:styleId="15">
    <w:name w:val="Table Text"/>
    <w:basedOn w:val="1"/>
    <w:semiHidden/>
    <w:qFormat/>
    <w:uiPriority w:val="0"/>
    <w:rPr>
      <w:rFonts w:ascii="仿宋" w:hAnsi="仿宋" w:eastAsia="仿宋" w:cs="仿宋"/>
      <w:sz w:val="24"/>
      <w:szCs w:val="24"/>
      <w:lang w:val="en-US" w:eastAsia="en-US" w:bidi="ar-SA"/>
    </w:rPr>
  </w:style>
  <w:style w:type="paragraph" w:customStyle="1" w:styleId="16">
    <w:name w:val="WPSOffice手动目录 1"/>
    <w:qFormat/>
    <w:uiPriority w:val="0"/>
    <w:pPr>
      <w:ind w:leftChars="0"/>
    </w:pPr>
    <w:rPr>
      <w:rFonts w:ascii="Times New Roman" w:hAnsi="Times New Roman" w:eastAsia="宋体" w:cs="Times New Roman"/>
      <w:sz w:val="20"/>
      <w:szCs w:val="20"/>
    </w:rPr>
  </w:style>
  <w:style w:type="paragraph" w:customStyle="1" w:styleId="17">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xml"/><Relationship Id="rId15" Type="http://schemas.openxmlformats.org/officeDocument/2006/relationships/theme" Target="theme/theme1.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32</Pages>
  <Words>3294</Words>
  <Characters>3411</Characters>
  <TotalTime>5</TotalTime>
  <ScaleCrop>false</ScaleCrop>
  <LinksUpToDate>false</LinksUpToDate>
  <CharactersWithSpaces>31675</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2024-01-25T15:49:00Z</dcterms:created>
  <dc:creator>徐建兴</dc:creator>
  <cp:lastModifiedBy>Administrator</cp:lastModifiedBy>
  <cp:lastPrinted>2025-01-02T00:54:00Z</cp:lastPrinted>
  <dcterms:modified xsi:type="dcterms:W3CDTF">2025-05-08T07:14:03Z</dcterms:modified>
  <dc:title>河北省国土资源厅文件</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2024-04-01T15:37:24Z</vt:filetime>
  </property>
  <property fmtid="{D5CDD505-2E9C-101B-9397-08002B2CF9AE}" pid="4" name="KSOProductBuildVer">
    <vt:lpwstr>2052-12.1.0.20784</vt:lpwstr>
  </property>
  <property fmtid="{D5CDD505-2E9C-101B-9397-08002B2CF9AE}" pid="5" name="ICV">
    <vt:lpwstr>018FC71BD1D54367994AAA913E560672_12</vt:lpwstr>
  </property>
  <property fmtid="{D5CDD505-2E9C-101B-9397-08002B2CF9AE}" pid="6" name="KSOTemplateDocerSaveRecord">
    <vt:lpwstr>eyJoZGlkIjoiNWE0MmVmMWU3OTkwNDUwZDg1ZTk1YTFmZmZlYzVjNTIifQ==</vt:lpwstr>
  </property>
</Properties>
</file>