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DC4AB3">
      <w:pPr>
        <w:widowControl w:val="0"/>
        <w:wordWrap/>
        <w:spacing w:line="560" w:lineRule="exact"/>
        <w:ind w:left="0" w:leftChars="0" w:right="0"/>
        <w:jc w:val="both"/>
        <w:textAlignment w:val="auto"/>
        <w:outlineLvl w:val="9"/>
        <w:rPr>
          <w:rFonts w:hint="eastAsia" w:ascii="宋体" w:hAnsi="宋体" w:cs="宋体"/>
          <w:b/>
          <w:bCs/>
          <w:sz w:val="44"/>
          <w:szCs w:val="44"/>
        </w:rPr>
      </w:pPr>
    </w:p>
    <w:p w14:paraId="16BD7643">
      <w:pPr>
        <w:widowControl w:val="0"/>
        <w:wordWrap/>
        <w:spacing w:line="560" w:lineRule="exact"/>
        <w:ind w:left="0" w:leftChars="0" w:right="0"/>
        <w:jc w:val="center"/>
        <w:textAlignment w:val="auto"/>
        <w:outlineLvl w:val="9"/>
        <w:rPr>
          <w:rFonts w:hint="default" w:ascii="宋体" w:hAnsi="宋体" w:cs="宋体"/>
          <w:b/>
          <w:bCs/>
          <w:sz w:val="44"/>
          <w:szCs w:val="44"/>
          <w:lang w:val="en-US" w:eastAsia="zh-CN"/>
        </w:rPr>
      </w:pPr>
      <w:r>
        <w:rPr>
          <w:rFonts w:hint="eastAsia" w:ascii="宋体" w:hAnsi="宋体" w:cs="宋体"/>
          <w:b/>
          <w:bCs/>
          <w:sz w:val="44"/>
          <w:szCs w:val="44"/>
          <w:lang w:val="en-US" w:eastAsia="zh-CN"/>
        </w:rPr>
        <w:t>石家庄市鹿泉区城市管理综合执法大队</w:t>
      </w:r>
    </w:p>
    <w:p w14:paraId="66F35314">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2024年度整体支出绩效</w:t>
      </w:r>
      <w:r>
        <w:rPr>
          <w:rFonts w:hint="eastAsia" w:ascii="宋体" w:hAnsi="宋体" w:cs="宋体"/>
          <w:b/>
          <w:bCs/>
          <w:sz w:val="44"/>
          <w:szCs w:val="44"/>
        </w:rPr>
        <w:t>自评报告</w:t>
      </w:r>
    </w:p>
    <w:p w14:paraId="6BD7EE0B">
      <w:pPr>
        <w:widowControl w:val="0"/>
        <w:wordWrap/>
        <w:spacing w:line="560" w:lineRule="exact"/>
        <w:ind w:left="0" w:leftChars="0" w:right="0"/>
        <w:jc w:val="both"/>
        <w:textAlignment w:val="auto"/>
        <w:outlineLvl w:val="9"/>
        <w:rPr>
          <w:rFonts w:ascii="华文楷体" w:eastAsia="华文楷体"/>
          <w:sz w:val="32"/>
          <w:szCs w:val="32"/>
        </w:rPr>
      </w:pPr>
    </w:p>
    <w:p w14:paraId="49381847">
      <w:pPr>
        <w:widowControl w:val="0"/>
        <w:wordWrap/>
        <w:adjustRightInd w:val="0"/>
        <w:snapToGrid w:val="0"/>
        <w:spacing w:line="56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对石家庄市鹿泉区城市管理综合执法大队</w:t>
      </w:r>
      <w:r>
        <w:rPr>
          <w:rFonts w:hint="eastAsia" w:ascii="仿宋" w:hAnsi="仿宋" w:eastAsia="仿宋"/>
          <w:sz w:val="32"/>
          <w:szCs w:val="32"/>
          <w:lang w:eastAsia="zh-CN"/>
        </w:rPr>
        <w:t>部门</w:t>
      </w:r>
      <w:r>
        <w:rPr>
          <w:rFonts w:hint="eastAsia" w:ascii="仿宋" w:hAnsi="仿宋" w:eastAsia="仿宋"/>
          <w:sz w:val="32"/>
          <w:szCs w:val="32"/>
          <w:lang w:val="en-US" w:eastAsia="zh-CN"/>
        </w:rPr>
        <w:t>2024年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0E1CFB23">
      <w:pPr>
        <w:widowControl w:val="0"/>
        <w:wordWrap/>
        <w:adjustRightInd w:val="0"/>
        <w:snapToGrid w:val="0"/>
        <w:spacing w:line="56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3BFAC2D0">
      <w:pPr>
        <w:widowControl w:val="0"/>
        <w:wordWrap/>
        <w:adjustRightInd w:val="0"/>
        <w:snapToGrid w:val="0"/>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1B643406">
      <w:pPr>
        <w:pStyle w:val="11"/>
        <w:jc w:val="both"/>
        <w:rPr>
          <w:rFonts w:hint="default"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1、部门职能</w:t>
      </w:r>
    </w:p>
    <w:p w14:paraId="35909DBE">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（一）贯彻执行国家、省、市有关城市管理方面的方针政策和法律法规；拟定全区市容、环卫、渣土处置等城市管理规划、实施计划和地方性规范文件，并监督实施。</w:t>
      </w:r>
    </w:p>
    <w:p w14:paraId="5EC3C45A">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（二）负责查处审批前占用挖掘城市道路、砍伐移栽城市树木工作。</w:t>
      </w:r>
    </w:p>
    <w:p w14:paraId="3697A622">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（三）负责国有土地上违法占地巡查工作；配合乡镇（区）做好集体土地违法占地的巡查工作。</w:t>
      </w:r>
    </w:p>
    <w:p w14:paraId="0CD1BBEA">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（四）负责对未取得《建设工程规划许可证》或《临时建设工程规划许可证》（含市政工程类）违法建设行为的查处工作；负责配合乡镇（区）做好对未取得《乡村建设规划许可证》违法建设行为的查处工作。</w:t>
      </w:r>
    </w:p>
    <w:p w14:paraId="7B82143C">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（五）负责取得国有土地使用权的住宅小区内私搭乱建、侵占损毁公共绿地等违法行为的查处工作。</w:t>
      </w:r>
    </w:p>
    <w:p w14:paraId="70592DAE">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（六）负责主城区（不含开发区）市政道路两侧私搭乱建等违反市容管理行为的查处工作；负责配合获鹿镇政府及乡镇（区）做好主城区城中村及辖区范围内的私搭乱建等影响市容行为的查处工作。</w:t>
      </w:r>
    </w:p>
    <w:p w14:paraId="4DA72048">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（七）依法查处取缔主城区（不含开发区）占道无照商贩、店外或专业市场外经营行为。</w:t>
      </w:r>
    </w:p>
    <w:p w14:paraId="5181BFC8">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（八）负责牵头和督导相关单位对主城区（不含开发区）主要街道机动车乱停乱放侵占城市道路和公共场地行为进行查处。</w:t>
      </w:r>
    </w:p>
    <w:p w14:paraId="51D5638D">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67B6EB37">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52B4D74D">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（十一）负责城乡生活垃圾处置、利用和消纳日常管理；负责区域生活垃圾压缩转运站及配套设施、设备的建设、维护与管理；依法查处从事城市生活垃圾经营性清扫、收集、运输、处理服务的违规行为。</w:t>
      </w:r>
    </w:p>
    <w:p w14:paraId="7EAA204B">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1F1E045C">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76254E3E">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（十四）负责省政府决定调整的城市管理领域的其它行政处罚事项。</w:t>
      </w:r>
    </w:p>
    <w:p w14:paraId="741C197B">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（十五）负责城乡环境容貌考评工作。负责主城区及各乡镇（区）政府所在地和主要交通干道环境容貌考评工作；负责组织有关市容环境卫生专项整治行动；指导乡镇（区）城管中队工作。</w:t>
      </w:r>
    </w:p>
    <w:p w14:paraId="5467C12D">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备注：部分职能职责已划转，新的三定方案未批复</w:t>
      </w:r>
    </w:p>
    <w:p w14:paraId="38D1D04E">
      <w:pPr>
        <w:spacing w:line="580" w:lineRule="exact"/>
        <w:ind w:firstLine="640" w:firstLineChars="200"/>
        <w:jc w:val="both"/>
        <w:rPr>
          <w:rFonts w:hint="default"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2、组织机构及人员、资产情况</w:t>
      </w:r>
    </w:p>
    <w:p w14:paraId="77EB2F17">
      <w:pPr>
        <w:spacing w:line="580" w:lineRule="exact"/>
        <w:ind w:firstLine="640" w:firstLineChars="200"/>
        <w:jc w:val="both"/>
        <w:rPr>
          <w:rFonts w:hint="default" w:ascii="仿宋" w:hAnsi="仿宋" w:eastAsia="仿宋" w:cs="Times New Roman"/>
          <w:color w:val="auto"/>
          <w:sz w:val="32"/>
          <w:szCs w:val="32"/>
          <w:highlight w:val="none"/>
          <w:lang w:val="en-US" w:eastAsia="zh-CN"/>
        </w:rPr>
      </w:pPr>
      <w:r>
        <w:rPr>
          <w:rFonts w:hint="eastAsia" w:ascii="仿宋_GB2312" w:eastAsia="仿宋_GB2312" w:cs="仿宋_GB2312"/>
          <w:color w:val="auto"/>
          <w:kern w:val="0"/>
          <w:sz w:val="32"/>
          <w:szCs w:val="32"/>
          <w:highlight w:val="none"/>
          <w:lang w:val="en-US" w:eastAsia="zh-CN"/>
        </w:rPr>
        <w:t>我单位为财政补助事业单位，</w:t>
      </w:r>
      <w:r>
        <w:rPr>
          <w:rFonts w:hint="eastAsia" w:ascii="仿宋" w:hAnsi="仿宋" w:eastAsia="仿宋" w:cs="仿宋"/>
          <w:b w:val="0"/>
          <w:bCs w:val="0"/>
          <w:color w:val="auto"/>
          <w:kern w:val="2"/>
          <w:sz w:val="32"/>
          <w:szCs w:val="32"/>
          <w:highlight w:val="none"/>
        </w:rPr>
        <w:t>下</w:t>
      </w:r>
      <w:r>
        <w:rPr>
          <w:rFonts w:hint="eastAsia" w:ascii="仿宋_GB2312" w:eastAsia="仿宋_GB2312" w:cs="仿宋_GB2312"/>
          <w:color w:val="auto"/>
          <w:kern w:val="0"/>
          <w:sz w:val="32"/>
          <w:szCs w:val="32"/>
          <w:highlight w:val="none"/>
          <w:lang w:val="en-US" w:eastAsia="zh-CN"/>
        </w:rPr>
        <w:t>设</w:t>
      </w:r>
      <w:r>
        <w:rPr>
          <w:rFonts w:hint="eastAsia" w:ascii="仿宋_GB2312" w:eastAsia="仿宋_GB2312" w:cs="仿宋_GB2312"/>
          <w:color w:val="auto"/>
          <w:kern w:val="0"/>
          <w:sz w:val="32"/>
          <w:szCs w:val="32"/>
          <w:highlight w:val="none"/>
        </w:rPr>
        <w:t>石家庄市鹿泉区城镇服务管理中心</w:t>
      </w:r>
      <w:r>
        <w:rPr>
          <w:rFonts w:hint="eastAsia" w:ascii="仿宋_GB2312" w:eastAsia="仿宋_GB2312" w:cs="仿宋_GB2312"/>
          <w:color w:val="auto"/>
          <w:kern w:val="0"/>
          <w:sz w:val="32"/>
          <w:szCs w:val="32"/>
          <w:highlight w:val="none"/>
          <w:lang w:eastAsia="zh-CN"/>
        </w:rPr>
        <w:t>、</w:t>
      </w:r>
      <w:r>
        <w:rPr>
          <w:rFonts w:hint="eastAsia" w:ascii="仿宋_GB2312" w:eastAsia="仿宋_GB2312" w:cs="仿宋_GB2312"/>
          <w:color w:val="auto"/>
          <w:kern w:val="0"/>
          <w:sz w:val="32"/>
          <w:szCs w:val="32"/>
          <w:highlight w:val="none"/>
        </w:rPr>
        <w:t>石家庄市鹿泉区环境卫生管护中心</w:t>
      </w:r>
      <w:r>
        <w:rPr>
          <w:rFonts w:hint="eastAsia" w:ascii="仿宋_GB2312" w:eastAsia="仿宋_GB2312" w:cs="仿宋_GB2312"/>
          <w:color w:val="auto"/>
          <w:kern w:val="0"/>
          <w:sz w:val="32"/>
          <w:szCs w:val="32"/>
          <w:highlight w:val="none"/>
          <w:lang w:eastAsia="zh-CN"/>
        </w:rPr>
        <w:t>、</w:t>
      </w:r>
      <w:r>
        <w:rPr>
          <w:rFonts w:hint="eastAsia" w:ascii="仿宋_GB2312" w:eastAsia="仿宋_GB2312" w:cs="仿宋_GB2312"/>
          <w:color w:val="auto"/>
          <w:kern w:val="0"/>
          <w:sz w:val="32"/>
          <w:szCs w:val="32"/>
          <w:highlight w:val="none"/>
        </w:rPr>
        <w:t>石家庄市鹿泉区城乡卫生管护中心</w:t>
      </w:r>
      <w:r>
        <w:rPr>
          <w:rFonts w:hint="eastAsia" w:ascii="仿宋_GB2312" w:eastAsia="仿宋_GB2312" w:cs="仿宋_GB2312"/>
          <w:color w:val="auto"/>
          <w:kern w:val="0"/>
          <w:sz w:val="32"/>
          <w:szCs w:val="32"/>
          <w:highlight w:val="none"/>
          <w:lang w:val="en-US" w:eastAsia="zh-CN"/>
        </w:rPr>
        <w:t>3个下属单位。现有</w:t>
      </w:r>
      <w:r>
        <w:rPr>
          <w:rFonts w:hint="eastAsia" w:ascii="仿宋" w:hAnsi="仿宋" w:eastAsia="仿宋" w:cs="Times New Roman"/>
          <w:color w:val="auto"/>
          <w:sz w:val="32"/>
          <w:szCs w:val="32"/>
          <w:highlight w:val="none"/>
        </w:rPr>
        <w:t>事业</w:t>
      </w:r>
      <w:r>
        <w:rPr>
          <w:rFonts w:hint="eastAsia" w:ascii="仿宋" w:hAnsi="仿宋" w:eastAsia="仿宋" w:cs="Times New Roman"/>
          <w:color w:val="auto"/>
          <w:sz w:val="32"/>
          <w:szCs w:val="32"/>
          <w:highlight w:val="none"/>
          <w:lang w:val="en-US" w:eastAsia="zh-CN"/>
        </w:rPr>
        <w:t>在编人员134</w:t>
      </w:r>
      <w:r>
        <w:rPr>
          <w:rFonts w:hint="eastAsia" w:ascii="仿宋" w:hAnsi="仿宋" w:eastAsia="仿宋" w:cs="Times New Roman"/>
          <w:color w:val="auto"/>
          <w:sz w:val="32"/>
          <w:szCs w:val="32"/>
          <w:highlight w:val="none"/>
        </w:rPr>
        <w:t>人、</w:t>
      </w:r>
      <w:r>
        <w:rPr>
          <w:rFonts w:hint="eastAsia" w:ascii="仿宋" w:hAnsi="仿宋" w:eastAsia="仿宋" w:cs="Times New Roman"/>
          <w:color w:val="auto"/>
          <w:sz w:val="32"/>
          <w:szCs w:val="32"/>
          <w:highlight w:val="none"/>
          <w:lang w:val="en-US" w:eastAsia="zh-CN"/>
        </w:rPr>
        <w:t>离退休人员39人、劳动聘用人员335</w:t>
      </w:r>
      <w:r>
        <w:rPr>
          <w:rFonts w:hint="eastAsia" w:ascii="仿宋" w:hAnsi="仿宋" w:eastAsia="仿宋" w:cs="Times New Roman"/>
          <w:color w:val="auto"/>
          <w:sz w:val="32"/>
          <w:szCs w:val="32"/>
          <w:highlight w:val="none"/>
        </w:rPr>
        <w:t>人</w:t>
      </w:r>
      <w:r>
        <w:rPr>
          <w:rFonts w:hint="eastAsia" w:ascii="仿宋" w:hAnsi="仿宋" w:eastAsia="仿宋" w:cs="Times New Roman"/>
          <w:color w:val="auto"/>
          <w:sz w:val="32"/>
          <w:szCs w:val="32"/>
          <w:highlight w:val="none"/>
          <w:lang w:eastAsia="zh-CN"/>
        </w:rPr>
        <w:t>（</w:t>
      </w:r>
      <w:r>
        <w:rPr>
          <w:rFonts w:hint="eastAsia" w:ascii="仿宋" w:hAnsi="仿宋" w:eastAsia="仿宋" w:cs="Times New Roman"/>
          <w:color w:val="auto"/>
          <w:sz w:val="32"/>
          <w:szCs w:val="32"/>
          <w:highlight w:val="none"/>
          <w:lang w:val="en-US" w:eastAsia="zh-CN"/>
        </w:rPr>
        <w:t>其中涉军劳务派遣16人</w:t>
      </w:r>
      <w:r>
        <w:rPr>
          <w:rFonts w:hint="eastAsia" w:ascii="仿宋" w:hAnsi="仿宋" w:eastAsia="仿宋" w:cs="Times New Roman"/>
          <w:color w:val="auto"/>
          <w:sz w:val="32"/>
          <w:szCs w:val="32"/>
          <w:highlight w:val="none"/>
          <w:lang w:eastAsia="zh-CN"/>
        </w:rPr>
        <w:t>）</w:t>
      </w:r>
      <w:r>
        <w:rPr>
          <w:rFonts w:hint="eastAsia" w:ascii="仿宋" w:hAnsi="仿宋" w:eastAsia="仿宋" w:cs="Times New Roman"/>
          <w:color w:val="auto"/>
          <w:sz w:val="32"/>
          <w:szCs w:val="32"/>
          <w:highlight w:val="none"/>
        </w:rPr>
        <w:t>。</w:t>
      </w:r>
      <w:r>
        <w:rPr>
          <w:rFonts w:hint="eastAsia" w:ascii="仿宋" w:hAnsi="仿宋" w:eastAsia="仿宋" w:cs="Times New Roman"/>
          <w:color w:val="auto"/>
          <w:sz w:val="32"/>
          <w:szCs w:val="32"/>
          <w:highlight w:val="none"/>
          <w:lang w:val="en-US" w:eastAsia="zh-CN"/>
        </w:rPr>
        <w:t>截至2024年底，我部门资产总计32092.63万元。</w:t>
      </w:r>
    </w:p>
    <w:p w14:paraId="10729588">
      <w:pPr>
        <w:widowControl w:val="0"/>
        <w:numPr>
          <w:ilvl w:val="0"/>
          <w:numId w:val="1"/>
        </w:numPr>
        <w:wordWrap/>
        <w:adjustRightInd w:val="0"/>
        <w:snapToGrid w:val="0"/>
        <w:spacing w:line="560" w:lineRule="exact"/>
        <w:ind w:left="0" w:leftChars="0" w:right="0" w:firstLine="643" w:firstLineChars="200"/>
        <w:jc w:val="both"/>
        <w:textAlignment w:val="auto"/>
        <w:outlineLvl w:val="9"/>
        <w:rPr>
          <w:rFonts w:ascii="仿宋_GB2312" w:hAnsi="Times New Roman" w:eastAsia="仿宋_GB2312" w:cs="Times New Roman"/>
          <w:sz w:val="32"/>
          <w:szCs w:val="32"/>
        </w:rPr>
      </w:pPr>
      <w:r>
        <w:rPr>
          <w:rFonts w:hint="eastAsia" w:ascii="仿宋" w:hAnsi="仿宋" w:eastAsia="仿宋" w:cs="楷体_GB2312"/>
          <w:b/>
          <w:bCs/>
          <w:sz w:val="32"/>
          <w:szCs w:val="32"/>
          <w:lang w:eastAsia="zh-CN"/>
        </w:rPr>
        <w:t>部门收支预决算情况</w:t>
      </w:r>
    </w:p>
    <w:p w14:paraId="33AE7961">
      <w:pPr>
        <w:widowControl w:val="0"/>
        <w:numPr>
          <w:ilvl w:val="0"/>
          <w:numId w:val="0"/>
        </w:numPr>
        <w:wordWrap/>
        <w:adjustRightInd w:val="0"/>
        <w:snapToGrid w:val="0"/>
        <w:spacing w:line="560" w:lineRule="exact"/>
        <w:ind w:right="0" w:rightChars="0" w:firstLine="640" w:firstLineChars="200"/>
        <w:jc w:val="both"/>
        <w:textAlignment w:val="auto"/>
        <w:outlineLvl w:val="9"/>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4</w:t>
      </w:r>
      <w:r>
        <w:rPr>
          <w:rFonts w:hint="eastAsia" w:ascii="仿宋_GB2312" w:hAnsi="Times New Roman" w:eastAsia="仿宋_GB2312" w:cs="仿宋_GB2312"/>
          <w:color w:val="auto"/>
          <w:sz w:val="32"/>
          <w:szCs w:val="32"/>
        </w:rPr>
        <w:t>年度</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 w:hAnsi="仿宋" w:eastAsia="仿宋" w:cs="仿宋"/>
          <w:b w:val="0"/>
          <w:bCs w:val="0"/>
          <w:color w:val="auto"/>
          <w:sz w:val="30"/>
          <w:szCs w:val="30"/>
          <w:highlight w:val="none"/>
          <w:lang w:val="en-US" w:eastAsia="zh-CN"/>
        </w:rPr>
        <w:t>232608.83</w:t>
      </w:r>
      <w:r>
        <w:rPr>
          <w:rFonts w:hint="eastAsia" w:ascii="仿宋_GB2312" w:hAnsi="Times New Roman" w:eastAsia="仿宋_GB2312" w:cs="仿宋_GB2312"/>
          <w:color w:val="auto"/>
          <w:sz w:val="32"/>
          <w:szCs w:val="32"/>
        </w:rPr>
        <w:t>万元</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较年初预算</w:t>
      </w:r>
      <w:r>
        <w:rPr>
          <w:rFonts w:hint="eastAsia" w:ascii="仿宋_GB2312" w:hAnsi="Times New Roman" w:eastAsia="仿宋_GB2312" w:cs="仿宋_GB2312"/>
          <w:color w:val="auto"/>
          <w:sz w:val="32"/>
          <w:szCs w:val="32"/>
        </w:rPr>
        <w:t>增加</w:t>
      </w:r>
      <w:r>
        <w:rPr>
          <w:rFonts w:hint="eastAsia" w:ascii="仿宋_GB2312" w:hAnsi="Times New Roman" w:eastAsia="仿宋_GB2312" w:cs="仿宋_GB2312"/>
          <w:color w:val="auto"/>
          <w:sz w:val="32"/>
          <w:szCs w:val="32"/>
          <w:lang w:val="en-US" w:eastAsia="zh-CN"/>
        </w:rPr>
        <w:t>124.66</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0.54</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lang w:val="en-US" w:eastAsia="zh-CN"/>
        </w:rPr>
        <w:t>23291.61</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w:t>
      </w:r>
      <w:r>
        <w:rPr>
          <w:rFonts w:hint="eastAsia" w:ascii="仿宋_GB2312" w:hAnsi="Times New Roman" w:eastAsia="仿宋_GB2312" w:cs="仿宋_GB2312"/>
          <w:color w:val="auto"/>
          <w:sz w:val="32"/>
          <w:szCs w:val="32"/>
        </w:rPr>
        <w:t>增加</w:t>
      </w:r>
      <w:r>
        <w:rPr>
          <w:rFonts w:hint="eastAsia" w:ascii="仿宋_GB2312" w:hAnsi="Times New Roman" w:eastAsia="仿宋_GB2312" w:cs="仿宋_GB2312"/>
          <w:color w:val="auto"/>
          <w:sz w:val="32"/>
          <w:szCs w:val="32"/>
          <w:lang w:val="en-US" w:eastAsia="zh-CN"/>
        </w:rPr>
        <w:t>30.77</w:t>
      </w:r>
      <w:r>
        <w:rPr>
          <w:rFonts w:hint="eastAsia" w:ascii="仿宋_GB2312" w:hAnsi="Times New Roman" w:eastAsia="仿宋_GB2312" w:cs="仿宋_GB2312"/>
          <w:color w:val="auto"/>
          <w:sz w:val="32"/>
          <w:szCs w:val="32"/>
        </w:rPr>
        <w:t>万元，增长</w:t>
      </w:r>
      <w:r>
        <w:rPr>
          <w:rFonts w:hint="eastAsia" w:ascii="仿宋_GB2312" w:hAnsi="Times New Roman" w:eastAsia="仿宋_GB2312" w:cs="仿宋_GB2312"/>
          <w:color w:val="auto"/>
          <w:sz w:val="32"/>
          <w:szCs w:val="32"/>
          <w:lang w:val="en-US" w:eastAsia="zh-CN"/>
        </w:rPr>
        <w:t>0.13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。具体情况如下：</w:t>
      </w:r>
    </w:p>
    <w:p w14:paraId="6DB387AE">
      <w:pPr>
        <w:numPr>
          <w:ilvl w:val="0"/>
          <w:numId w:val="0"/>
        </w:numPr>
        <w:adjustRightInd w:val="0"/>
        <w:snapToGrid w:val="0"/>
        <w:spacing w:line="580" w:lineRule="exact"/>
        <w:ind w:firstLine="640" w:firstLineChars="200"/>
        <w:jc w:val="both"/>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lang w:val="en-US" w:eastAsia="zh-CN"/>
        </w:rPr>
        <w:t>1、</w:t>
      </w:r>
      <w:r>
        <w:rPr>
          <w:rFonts w:hint="eastAsia" w:ascii="仿宋_GB2312" w:hAnsi="Times New Roman" w:eastAsia="仿宋_GB2312" w:cs="仿宋_GB2312"/>
          <w:color w:val="auto"/>
          <w:sz w:val="32"/>
          <w:szCs w:val="32"/>
        </w:rPr>
        <w:t>一般公共预算财政拨款</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_GB2312" w:hAnsi="Times New Roman" w:eastAsia="仿宋_GB2312" w:cs="仿宋_GB2312"/>
          <w:color w:val="auto"/>
          <w:sz w:val="32"/>
          <w:szCs w:val="32"/>
          <w:highlight w:val="none"/>
          <w:lang w:val="en-US" w:eastAsia="zh-CN"/>
        </w:rPr>
        <w:t>15231.10</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较年初预算增加676.69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增长4.65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highlight w:val="none"/>
          <w:lang w:val="en-US" w:eastAsia="zh-CN"/>
        </w:rPr>
        <w:t>23225.02</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较年初预算增加676.69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增长4.65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14:paraId="30F753AE">
      <w:pPr>
        <w:numPr>
          <w:ilvl w:val="0"/>
          <w:numId w:val="0"/>
        </w:numPr>
        <w:adjustRightInd w:val="0"/>
        <w:snapToGrid w:val="0"/>
        <w:spacing w:line="580" w:lineRule="exact"/>
        <w:ind w:firstLine="640" w:firstLineChars="200"/>
        <w:jc w:val="both"/>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lang w:val="en-US" w:eastAsia="zh-CN"/>
        </w:rPr>
        <w:t>2、</w:t>
      </w:r>
      <w:r>
        <w:rPr>
          <w:rFonts w:hint="eastAsia" w:ascii="仿宋_GB2312" w:hAnsi="Times New Roman" w:eastAsia="仿宋_GB2312" w:cs="仿宋_GB2312"/>
          <w:color w:val="auto"/>
          <w:sz w:val="32"/>
          <w:szCs w:val="32"/>
        </w:rPr>
        <w:t>政府性基金预算财政拨款</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_GB2312" w:hAnsi="Times New Roman" w:eastAsia="仿宋_GB2312" w:cs="仿宋_GB2312"/>
          <w:color w:val="auto"/>
          <w:sz w:val="32"/>
          <w:szCs w:val="32"/>
          <w:highlight w:val="none"/>
          <w:lang w:val="en-US" w:eastAsia="zh-CN"/>
        </w:rPr>
        <w:t>7993.92</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较年初预算减少477.74</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5.64</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highlight w:val="none"/>
          <w:lang w:val="en-US" w:eastAsia="zh-CN"/>
        </w:rPr>
        <w:t>7993.85</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较年初预算减少477.74</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5.64</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14:paraId="2DEE0AE9">
      <w:pPr>
        <w:numPr>
          <w:ilvl w:val="0"/>
          <w:numId w:val="0"/>
        </w:numPr>
        <w:adjustRightInd w:val="0"/>
        <w:snapToGrid w:val="0"/>
        <w:spacing w:line="580" w:lineRule="exact"/>
        <w:ind w:firstLine="640" w:firstLineChars="200"/>
        <w:jc w:val="both"/>
        <w:rPr>
          <w:rFonts w:hint="default" w:ascii="仿宋_GB2312" w:hAnsi="Times New Roman" w:eastAsia="仿宋_GB2312" w:cs="仿宋_GB2312"/>
          <w:color w:val="auto"/>
          <w:sz w:val="32"/>
          <w:szCs w:val="32"/>
          <w:lang w:val="en-US" w:eastAsia="zh-CN"/>
        </w:rPr>
      </w:pPr>
      <w:r>
        <w:rPr>
          <w:rFonts w:hint="eastAsia" w:ascii="仿宋_GB2312" w:hAnsi="Times New Roman" w:eastAsia="仿宋_GB2312" w:cs="仿宋_GB2312"/>
          <w:color w:val="auto"/>
          <w:sz w:val="32"/>
          <w:szCs w:val="32"/>
          <w:lang w:val="en-US" w:eastAsia="zh-CN"/>
        </w:rPr>
        <w:t>3、经营收入决算本年收入35.82万元，年初预算收入110万元，较年初预算减少74.18万元，降低67.44％；本年决算经营支出33.72万元，年初预算支出110万元，较年初预算减少76.28万元，降低69.35％。</w:t>
      </w:r>
    </w:p>
    <w:p w14:paraId="4CD2C71B">
      <w:pPr>
        <w:numPr>
          <w:ilvl w:val="0"/>
          <w:numId w:val="0"/>
        </w:numPr>
        <w:adjustRightInd w:val="0"/>
        <w:snapToGrid w:val="0"/>
        <w:spacing w:line="580" w:lineRule="exact"/>
        <w:ind w:firstLine="640" w:firstLineChars="200"/>
        <w:jc w:val="both"/>
        <w:rPr>
          <w:rFonts w:hint="default" w:ascii="仿宋_GB2312" w:hAnsi="Times New Roman" w:eastAsia="仿宋_GB2312" w:cs="仿宋_GB2312"/>
          <w:color w:val="auto"/>
          <w:sz w:val="32"/>
          <w:szCs w:val="32"/>
          <w:lang w:val="en-US" w:eastAsia="zh-CN"/>
        </w:rPr>
      </w:pPr>
      <w:r>
        <w:rPr>
          <w:rFonts w:hint="eastAsia" w:ascii="仿宋_GB2312" w:hAnsi="Times New Roman" w:eastAsia="仿宋_GB2312" w:cs="仿宋_GB2312"/>
          <w:color w:val="auto"/>
          <w:sz w:val="32"/>
          <w:szCs w:val="32"/>
          <w:lang w:val="en-US" w:eastAsia="zh-CN"/>
        </w:rPr>
        <w:t>4、其他收入决算本年收入0万元，本年支出0万元。</w:t>
      </w:r>
    </w:p>
    <w:p w14:paraId="174C4ED7">
      <w:pPr>
        <w:widowControl w:val="0"/>
        <w:wordWrap/>
        <w:adjustRightInd w:val="0"/>
        <w:snapToGrid w:val="0"/>
        <w:spacing w:line="560" w:lineRule="exact"/>
        <w:ind w:left="0" w:leftChars="0" w:right="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72DA5E1C">
      <w:pPr>
        <w:pStyle w:val="14"/>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2024年我部门继续坚定信心决心，抢抓发展机遇，奋力开创加快建设现代化经济强区、魅力鹿泉、生态宜居宜业宜游新城区崭新篇章，以实际行动切实抓好市容整治、环境提升、城管执法、垃圾分类等工作。</w:t>
      </w:r>
    </w:p>
    <w:p w14:paraId="6F7EC27F">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总目标：细化预算编制工作，认真做好预算编制；加强财务管理，严格审核制度，落实预算执行，确保资金使用的透明度和规范性；抓好“三公”经费控制管理，确保各项业务工作任务圆满完成。</w:t>
      </w:r>
    </w:p>
    <w:p w14:paraId="7FF747D2">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预决算公开：2024年按照上级要求，我单位在政府网站进行了预决算公开。</w:t>
      </w:r>
    </w:p>
    <w:p w14:paraId="7B0C9BB8">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w:t>
      </w:r>
      <w:bookmarkStart w:id="0" w:name="_GoBack"/>
      <w:bookmarkEnd w:id="0"/>
      <w:r>
        <w:rPr>
          <w:rFonts w:hint="eastAsia" w:ascii="仿宋" w:hAnsi="仿宋" w:eastAsia="仿宋" w:cs="仿宋"/>
          <w:sz w:val="32"/>
          <w:szCs w:val="32"/>
          <w:lang w:val="en-US" w:eastAsia="zh-CN"/>
        </w:rPr>
        <w:t>资产的管理，制定了《资产管理内控制度》等制度，明确了具体责任人，完善了固定资产档案，严格报批、销审等手续，做好资产登记工作，单位无资产流失现象。</w:t>
      </w:r>
    </w:p>
    <w:p w14:paraId="0F5A7972">
      <w:pPr>
        <w:adjustRightInd w:val="0"/>
        <w:snapToGrid w:val="0"/>
        <w:spacing w:line="580" w:lineRule="exact"/>
        <w:ind w:firstLine="640" w:firstLineChars="200"/>
        <w:jc w:val="both"/>
        <w:rPr>
          <w:rFonts w:hint="eastAsia" w:ascii="仿宋_GB2312" w:hAnsi="Times New Roman" w:eastAsia="仿宋_GB2312" w:cs="仿宋_GB2312"/>
          <w:color w:val="auto"/>
          <w:sz w:val="32"/>
          <w:szCs w:val="32"/>
        </w:rPr>
      </w:pPr>
      <w:r>
        <w:rPr>
          <w:rFonts w:hint="eastAsia" w:ascii="仿宋" w:hAnsi="仿宋" w:eastAsia="仿宋" w:cs="仿宋"/>
          <w:sz w:val="32"/>
          <w:szCs w:val="32"/>
          <w:lang w:val="en-US" w:eastAsia="zh-CN"/>
        </w:rPr>
        <w:t>三公经费控制情况：我部门贯彻落实上级有关精神，严格控制“三公经费”支出，取得了良好的效果。具体情况如下：</w:t>
      </w:r>
      <w:r>
        <w:rPr>
          <w:rFonts w:hint="eastAsia" w:ascii="仿宋" w:hAnsi="仿宋" w:eastAsia="仿宋" w:cs="仿宋"/>
          <w:color w:val="auto"/>
          <w:sz w:val="32"/>
          <w:szCs w:val="32"/>
        </w:rPr>
        <w:t>本部门202</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年度“三公”经费财政拨款支出预算为</w:t>
      </w:r>
      <w:r>
        <w:rPr>
          <w:rFonts w:hint="eastAsia" w:ascii="仿宋" w:hAnsi="仿宋" w:eastAsia="仿宋" w:cs="仿宋"/>
          <w:color w:val="auto"/>
          <w:sz w:val="32"/>
          <w:szCs w:val="32"/>
          <w:lang w:val="en-US" w:eastAsia="zh-CN"/>
        </w:rPr>
        <w:t>33.2</w:t>
      </w:r>
      <w:r>
        <w:rPr>
          <w:rFonts w:hint="eastAsia" w:ascii="仿宋" w:hAnsi="仿宋" w:eastAsia="仿宋" w:cs="仿宋"/>
          <w:color w:val="auto"/>
          <w:sz w:val="32"/>
          <w:szCs w:val="32"/>
        </w:rPr>
        <w:t>万元，支出决算为</w:t>
      </w:r>
      <w:r>
        <w:rPr>
          <w:rFonts w:hint="eastAsia" w:ascii="仿宋_GB2312" w:hAnsi="Times New Roman" w:eastAsia="仿宋_GB2312" w:cs="仿宋_GB2312"/>
          <w:color w:val="auto"/>
          <w:sz w:val="32"/>
          <w:szCs w:val="32"/>
          <w:lang w:val="en-US" w:eastAsia="zh-CN"/>
        </w:rPr>
        <w:t>30.6</w:t>
      </w:r>
      <w:r>
        <w:rPr>
          <w:rFonts w:hint="eastAsia" w:ascii="仿宋" w:hAnsi="仿宋" w:eastAsia="仿宋" w:cs="仿宋"/>
          <w:color w:val="auto"/>
          <w:sz w:val="32"/>
          <w:szCs w:val="32"/>
        </w:rPr>
        <w:t>万元，</w:t>
      </w:r>
      <w:r>
        <w:rPr>
          <w:rFonts w:hint="eastAsia" w:ascii="仿宋_GB2312" w:hAnsi="Times New Roman" w:eastAsia="仿宋_GB2312" w:cs="仿宋_GB2312"/>
          <w:color w:val="auto"/>
          <w:sz w:val="32"/>
          <w:szCs w:val="32"/>
        </w:rPr>
        <w:t>完成预算的</w:t>
      </w:r>
      <w:r>
        <w:rPr>
          <w:rFonts w:hint="eastAsia" w:ascii="仿宋_GB2312" w:hAnsi="Times New Roman" w:eastAsia="仿宋_GB2312" w:cs="仿宋_GB2312"/>
          <w:color w:val="auto"/>
          <w:sz w:val="32"/>
          <w:szCs w:val="32"/>
          <w:lang w:val="en-US" w:eastAsia="zh-CN"/>
        </w:rPr>
        <w:t>92.17</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2.6</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7.83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val="en-US" w:eastAsia="zh-CN"/>
        </w:rPr>
        <w:t>严格按照预算执行，厉行勤俭节约</w:t>
      </w:r>
      <w:r>
        <w:rPr>
          <w:rFonts w:hint="eastAsia" w:ascii="仿宋_GB2312" w:hAnsi="Times New Roman" w:eastAsia="仿宋_GB2312" w:cs="仿宋_GB2312"/>
          <w:color w:val="auto"/>
          <w:sz w:val="32"/>
          <w:szCs w:val="32"/>
        </w:rPr>
        <w:t>；较</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3</w:t>
      </w:r>
      <w:r>
        <w:rPr>
          <w:rFonts w:hint="eastAsia" w:ascii="仿宋_GB2312" w:hAnsi="Times New Roman" w:eastAsia="仿宋_GB2312" w:cs="仿宋_GB2312"/>
          <w:color w:val="auto"/>
          <w:sz w:val="32"/>
          <w:szCs w:val="32"/>
        </w:rPr>
        <w:t>年度决算</w:t>
      </w:r>
      <w:r>
        <w:rPr>
          <w:rFonts w:hint="eastAsia" w:ascii="仿宋_GB2312" w:hAnsi="Times New Roman" w:eastAsia="仿宋_GB2312" w:cs="仿宋_GB2312"/>
          <w:color w:val="auto"/>
          <w:sz w:val="32"/>
          <w:szCs w:val="32"/>
          <w:lang w:eastAsia="zh-CN"/>
        </w:rPr>
        <w:t>增加</w:t>
      </w:r>
      <w:r>
        <w:rPr>
          <w:rFonts w:hint="eastAsia" w:ascii="仿宋_GB2312" w:hAnsi="Times New Roman" w:eastAsia="仿宋_GB2312" w:cs="仿宋_GB2312"/>
          <w:color w:val="auto"/>
          <w:sz w:val="32"/>
          <w:szCs w:val="32"/>
          <w:lang w:val="en-US" w:eastAsia="zh-CN"/>
        </w:rPr>
        <w:t>0.9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增加</w:t>
      </w:r>
      <w:r>
        <w:rPr>
          <w:rFonts w:hint="eastAsia" w:ascii="仿宋_GB2312" w:hAnsi="Times New Roman" w:eastAsia="仿宋_GB2312" w:cs="仿宋_GB2312"/>
          <w:color w:val="auto"/>
          <w:sz w:val="32"/>
          <w:szCs w:val="32"/>
          <w:lang w:val="en-US" w:eastAsia="zh-CN"/>
        </w:rPr>
        <w:t>3.03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val="en-US" w:eastAsia="zh-CN"/>
        </w:rPr>
        <w:t>机构改革单位合并“三公”经费增加</w:t>
      </w:r>
      <w:r>
        <w:rPr>
          <w:rFonts w:hint="eastAsia" w:ascii="仿宋_GB2312" w:hAnsi="Times New Roman" w:eastAsia="仿宋_GB2312" w:cs="仿宋_GB2312"/>
          <w:color w:val="auto"/>
          <w:sz w:val="32"/>
          <w:szCs w:val="32"/>
        </w:rPr>
        <w:t>。</w:t>
      </w:r>
    </w:p>
    <w:p w14:paraId="51A94AC0">
      <w:pPr>
        <w:pStyle w:val="7"/>
        <w:pageBreakBefore w:val="0"/>
        <w:widowControl w:val="0"/>
        <w:kinsoku/>
        <w:wordWrap/>
        <w:overflowPunct/>
        <w:topLinePunct w:val="0"/>
        <w:autoSpaceDE/>
        <w:autoSpaceDN/>
        <w:bidi w:val="0"/>
        <w:spacing w:line="540" w:lineRule="exact"/>
        <w:ind w:left="0" w:leftChars="0" w:right="0" w:rightChars="0"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14:paraId="71D1DBAE">
      <w:pPr>
        <w:pStyle w:val="7"/>
        <w:pageBreakBefore w:val="0"/>
        <w:widowControl w:val="0"/>
        <w:kinsoku/>
        <w:wordWrap/>
        <w:overflowPunct/>
        <w:topLinePunct w:val="0"/>
        <w:autoSpaceDE/>
        <w:autoSpaceDN/>
        <w:bidi w:val="0"/>
        <w:spacing w:line="540" w:lineRule="exact"/>
        <w:ind w:right="0" w:rightChars="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项目绩效总目标完成情况：2024年我部门完成各项工作任务。</w:t>
      </w:r>
    </w:p>
    <w:p w14:paraId="7956AE50">
      <w:pPr>
        <w:pStyle w:val="7"/>
        <w:pageBreakBefore w:val="0"/>
        <w:widowControl w:val="0"/>
        <w:kinsoku/>
        <w:wordWrap/>
        <w:overflowPunct/>
        <w:topLinePunct w:val="0"/>
        <w:autoSpaceDE/>
        <w:autoSpaceDN/>
        <w:bidi w:val="0"/>
        <w:spacing w:line="540" w:lineRule="exact"/>
        <w:ind w:right="0" w:rightChars="0"/>
        <w:jc w:val="both"/>
        <w:rPr>
          <w:rFonts w:hint="default"/>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14:paraId="099A1A7C">
      <w:pPr>
        <w:widowControl w:val="0"/>
        <w:wordWrap/>
        <w:adjustRightInd w:val="0"/>
        <w:snapToGrid w:val="0"/>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1F2648F">
      <w:pPr>
        <w:widowControl w:val="0"/>
        <w:wordWrap/>
        <w:spacing w:line="560" w:lineRule="exact"/>
        <w:ind w:left="0" w:leftChars="0" w:right="0"/>
        <w:jc w:val="both"/>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740D0914">
      <w:pPr>
        <w:spacing w:line="600" w:lineRule="exact"/>
        <w:ind w:firstLine="640" w:firstLineChars="200"/>
        <w:jc w:val="both"/>
        <w:rPr>
          <w:rFonts w:hint="eastAsia" w:ascii="仿宋" w:hAnsi="仿宋" w:eastAsia="仿宋" w:cs="仿宋"/>
          <w:sz w:val="32"/>
          <w:szCs w:val="32"/>
        </w:rPr>
      </w:pPr>
      <w:r>
        <w:rPr>
          <w:rFonts w:hint="eastAsia" w:ascii="仿宋" w:hAnsi="仿宋" w:eastAsia="仿宋"/>
          <w:sz w:val="32"/>
          <w:szCs w:val="32"/>
          <w:lang w:val="en-US" w:eastAsia="zh-CN"/>
        </w:rPr>
        <w:t>根据区财政局《关于开展2025年绩效自评工作的通知》相关要求，对2024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2024年区级预算项目进行自查自评，形成绩效评价报告。</w:t>
      </w:r>
    </w:p>
    <w:p w14:paraId="0E56F71C">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本次评价通过</w:t>
      </w:r>
      <w:r>
        <w:rPr>
          <w:rFonts w:hint="eastAsia" w:ascii="仿宋" w:hAnsi="仿宋" w:eastAsia="仿宋" w:cs="仿宋"/>
          <w:sz w:val="32"/>
          <w:szCs w:val="32"/>
          <w:lang w:val="en-US" w:eastAsia="zh-CN"/>
        </w:rPr>
        <w:t>全面、</w:t>
      </w:r>
      <w:r>
        <w:rPr>
          <w:rFonts w:hint="eastAsia" w:ascii="仿宋" w:hAnsi="仿宋" w:eastAsia="仿宋" w:cs="仿宋"/>
          <w:sz w:val="32"/>
          <w:szCs w:val="32"/>
        </w:rPr>
        <w:t>客观</w:t>
      </w:r>
      <w:r>
        <w:rPr>
          <w:rFonts w:hint="eastAsia" w:ascii="仿宋" w:hAnsi="仿宋" w:eastAsia="仿宋" w:cs="仿宋"/>
          <w:sz w:val="32"/>
          <w:szCs w:val="32"/>
          <w:lang w:eastAsia="zh-CN"/>
        </w:rPr>
        <w:t>、</w:t>
      </w:r>
      <w:r>
        <w:rPr>
          <w:rFonts w:hint="eastAsia" w:ascii="仿宋" w:hAnsi="仿宋" w:eastAsia="仿宋" w:cs="仿宋"/>
          <w:sz w:val="32"/>
          <w:szCs w:val="32"/>
        </w:rPr>
        <w:t>公正地核查项目经费使用情况及预期目标实现程度，考评资金支出效率和综合效果，</w:t>
      </w:r>
      <w:r>
        <w:rPr>
          <w:rFonts w:hint="default" w:ascii="仿宋" w:hAnsi="仿宋" w:eastAsia="仿宋" w:cs="仿宋"/>
          <w:kern w:val="2"/>
          <w:sz w:val="32"/>
          <w:szCs w:val="32"/>
          <w:lang w:val="en-US" w:eastAsia="zh-CN" w:bidi="ar-SA"/>
        </w:rPr>
        <w:t>整理分析形成绩效报告</w:t>
      </w:r>
      <w:r>
        <w:rPr>
          <w:rFonts w:hint="eastAsia" w:ascii="仿宋" w:hAnsi="仿宋" w:eastAsia="仿宋" w:cs="仿宋"/>
          <w:kern w:val="2"/>
          <w:sz w:val="32"/>
          <w:szCs w:val="32"/>
          <w:lang w:val="en-US" w:eastAsia="zh-CN" w:bidi="ar-SA"/>
        </w:rPr>
        <w:t>，</w:t>
      </w:r>
      <w:r>
        <w:rPr>
          <w:rFonts w:hint="default" w:ascii="仿宋" w:hAnsi="仿宋" w:eastAsia="仿宋" w:cs="仿宋"/>
          <w:kern w:val="2"/>
          <w:sz w:val="32"/>
          <w:szCs w:val="32"/>
          <w:lang w:val="en-US" w:eastAsia="zh-CN" w:bidi="ar-SA"/>
        </w:rPr>
        <w:t>确保评价结果的可信度和有效性</w:t>
      </w:r>
      <w:r>
        <w:rPr>
          <w:rFonts w:hint="eastAsia" w:ascii="仿宋" w:hAnsi="仿宋" w:eastAsia="仿宋" w:cs="仿宋"/>
          <w:kern w:val="2"/>
          <w:sz w:val="32"/>
          <w:szCs w:val="32"/>
          <w:lang w:val="en-US" w:eastAsia="zh-CN" w:bidi="ar-SA"/>
        </w:rPr>
        <w:t>，能够</w:t>
      </w:r>
      <w:r>
        <w:rPr>
          <w:rFonts w:hint="default" w:ascii="仿宋" w:hAnsi="仿宋" w:eastAsia="仿宋" w:cs="仿宋"/>
          <w:kern w:val="2"/>
          <w:sz w:val="32"/>
          <w:szCs w:val="32"/>
          <w:lang w:val="en-US" w:eastAsia="zh-CN" w:bidi="ar-SA"/>
        </w:rPr>
        <w:t>清晰明了地反映项目的整体绩效情况</w:t>
      </w:r>
      <w:r>
        <w:rPr>
          <w:rFonts w:hint="eastAsia" w:ascii="仿宋" w:hAnsi="仿宋" w:eastAsia="仿宋" w:cs="仿宋"/>
          <w:kern w:val="2"/>
          <w:sz w:val="32"/>
          <w:szCs w:val="32"/>
          <w:lang w:val="en-US" w:eastAsia="zh-CN" w:bidi="ar-SA"/>
        </w:rPr>
        <w:t>。同时，</w:t>
      </w:r>
      <w:r>
        <w:rPr>
          <w:rFonts w:hint="eastAsia" w:ascii="仿宋" w:hAnsi="仿宋" w:eastAsia="仿宋" w:cs="仿宋"/>
          <w:sz w:val="32"/>
          <w:szCs w:val="32"/>
        </w:rPr>
        <w:t>及时总结经验，分析存在的问题及原因，进一步推进财政资金科学化、精细化管理，不断提高财政专项资金管理水平和使用效率。</w:t>
      </w:r>
    </w:p>
    <w:p w14:paraId="2BC069BA">
      <w:pPr>
        <w:widowControl w:val="0"/>
        <w:numPr>
          <w:ilvl w:val="0"/>
          <w:numId w:val="2"/>
        </w:numPr>
        <w:wordWrap/>
        <w:spacing w:line="560" w:lineRule="exact"/>
        <w:ind w:left="630" w:leftChars="0" w:right="0" w:firstLine="0" w:firstLineChars="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193E88FC">
      <w:pPr>
        <w:spacing w:line="600" w:lineRule="exact"/>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1、自评方法</w:t>
      </w:r>
    </w:p>
    <w:p w14:paraId="6338D5C7">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14:paraId="22CFA7F7">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14:paraId="0018EE7B">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14:paraId="5AB8EF6C">
      <w:pPr>
        <w:spacing w:line="600" w:lineRule="exact"/>
        <w:ind w:firstLine="643" w:firstLineChars="200"/>
        <w:jc w:val="both"/>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评价工作过程</w:t>
      </w:r>
    </w:p>
    <w:p w14:paraId="2D618837">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14:paraId="66E6C56C">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14:paraId="344B20FF">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第二阶段：按照区财政局要求，进行自查。</w:t>
      </w:r>
    </w:p>
    <w:p w14:paraId="407A093E">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w:t>
      </w:r>
    </w:p>
    <w:p w14:paraId="7215D70F">
      <w:pPr>
        <w:widowControl w:val="0"/>
        <w:wordWrap/>
        <w:spacing w:line="560" w:lineRule="exact"/>
        <w:ind w:left="0" w:leftChars="0" w:right="0"/>
        <w:jc w:val="both"/>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5A3DDA36">
      <w:pPr>
        <w:widowControl w:val="0"/>
        <w:numPr>
          <w:ilvl w:val="0"/>
          <w:numId w:val="3"/>
        </w:numPr>
        <w:wordWrap/>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51214DA">
      <w:pPr>
        <w:pStyle w:val="14"/>
        <w:jc w:val="both"/>
        <w:rPr>
          <w:rFonts w:hint="default" w:eastAsia="方正仿宋_GBK"/>
          <w:color w:val="auto"/>
          <w:lang w:val="en-US" w:eastAsia="zh-CN"/>
        </w:rPr>
      </w:pPr>
      <w:r>
        <w:rPr>
          <w:rFonts w:hint="eastAsia" w:ascii="仿宋" w:hAnsi="仿宋" w:eastAsia="仿宋"/>
          <w:color w:val="auto"/>
          <w:sz w:val="32"/>
          <w:szCs w:val="32"/>
          <w:lang w:val="en-US" w:eastAsia="zh-CN"/>
        </w:rPr>
        <w:t>2024年我单位实施项目129项，预算总金额22856.42万元，预算总支出19371.68万元，预算执行率为84.75%。</w:t>
      </w:r>
      <w:r>
        <w:rPr>
          <w:rFonts w:hint="default" w:ascii="仿宋" w:hAnsi="仿宋" w:eastAsia="仿宋" w:cs="仿宋"/>
          <w:kern w:val="2"/>
          <w:sz w:val="32"/>
          <w:szCs w:val="32"/>
          <w:lang w:val="en-US" w:eastAsia="zh-CN" w:bidi="ar-SA"/>
        </w:rPr>
        <w:t>在</w:t>
      </w:r>
      <w:r>
        <w:rPr>
          <w:rFonts w:hint="eastAsia" w:ascii="仿宋_GB2312" w:hAnsi="仿宋_GB2312" w:eastAsia="仿宋_GB2312" w:cs="仿宋_GB2312"/>
          <w:kern w:val="2"/>
          <w:sz w:val="32"/>
          <w:szCs w:val="32"/>
          <w:lang w:val="en-US" w:eastAsia="zh-CN" w:bidi="ar-SA"/>
        </w:rPr>
        <w:t>市容整治、环境提升、城管执法、垃圾分类</w:t>
      </w:r>
      <w:r>
        <w:rPr>
          <w:rFonts w:hint="default" w:ascii="仿宋" w:hAnsi="仿宋" w:eastAsia="仿宋" w:cs="仿宋"/>
          <w:kern w:val="2"/>
          <w:sz w:val="32"/>
          <w:szCs w:val="32"/>
          <w:lang w:val="en-US" w:eastAsia="zh-CN" w:bidi="ar-SA"/>
        </w:rPr>
        <w:t>等方面加强精细化管理，通过提升城区品质、实施城市精细化管理，为广大群众提供一个环境美丽、洁净舒适的城市生活环境，实现城市容貌治理效能和文明城市建设常态化的双提升。</w:t>
      </w:r>
    </w:p>
    <w:p w14:paraId="4D7096AF">
      <w:pPr>
        <w:widowControl w:val="0"/>
        <w:wordWrap/>
        <w:spacing w:line="560" w:lineRule="exact"/>
        <w:ind w:left="0" w:leftChars="0" w:right="0"/>
        <w:jc w:val="both"/>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14:paraId="0D53EC9B">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sz w:val="32"/>
          <w:szCs w:val="32"/>
          <w:highlight w:val="none"/>
          <w:lang w:val="en-US" w:eastAsia="zh-CN"/>
        </w:rPr>
        <w:t>城市管理继续常态化、精细化。</w:t>
      </w:r>
      <w:r>
        <w:rPr>
          <w:rFonts w:hint="eastAsia" w:ascii="仿宋" w:hAnsi="仿宋" w:eastAsia="仿宋" w:cs="仿宋"/>
          <w:b w:val="0"/>
          <w:bCs w:val="0"/>
          <w:color w:val="auto"/>
          <w:sz w:val="32"/>
          <w:szCs w:val="32"/>
          <w:lang w:val="en-US" w:eastAsia="zh-CN"/>
        </w:rPr>
        <w:t>我单位持续加强常态化、精细化管理工作，</w:t>
      </w:r>
      <w:r>
        <w:rPr>
          <w:rFonts w:hint="eastAsia" w:ascii="仿宋" w:hAnsi="仿宋" w:eastAsia="仿宋" w:cs="仿宋"/>
          <w:b w:val="0"/>
          <w:bCs w:val="0"/>
          <w:color w:val="auto"/>
          <w:sz w:val="32"/>
          <w:szCs w:val="32"/>
          <w:lang w:eastAsia="zh-CN"/>
        </w:rPr>
        <w:t>认真履行职能，以“七大专项整治行动”为抓手，围绕</w:t>
      </w:r>
      <w:r>
        <w:rPr>
          <w:rFonts w:hint="eastAsia" w:ascii="仿宋" w:hAnsi="仿宋" w:eastAsia="仿宋" w:cs="仿宋"/>
          <w:color w:val="auto"/>
          <w:sz w:val="32"/>
          <w:szCs w:val="32"/>
          <w:lang w:val="en-US" w:eastAsia="zh-CN"/>
        </w:rPr>
        <w:t>“三统筹三扩大四创建”</w:t>
      </w:r>
      <w:r>
        <w:rPr>
          <w:rFonts w:hint="eastAsia" w:ascii="仿宋" w:hAnsi="仿宋" w:eastAsia="仿宋" w:cs="仿宋"/>
          <w:b w:val="0"/>
          <w:bCs w:val="0"/>
          <w:color w:val="auto"/>
          <w:sz w:val="32"/>
          <w:szCs w:val="32"/>
          <w:lang w:val="en-US" w:eastAsia="zh-CN"/>
        </w:rPr>
        <w:t>工作，全面加强城市管理，开展专项整治，持续保持环境整治与创建工作的双提升。</w:t>
      </w:r>
    </w:p>
    <w:p w14:paraId="09DF8468">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绩效目标：经费保障及时到位，保证人员开支，</w:t>
      </w:r>
      <w:r>
        <w:rPr>
          <w:rFonts w:hint="default" w:ascii="仿宋" w:hAnsi="仿宋" w:eastAsia="仿宋" w:cs="仿宋"/>
          <w:b w:val="0"/>
          <w:bCs w:val="0"/>
          <w:color w:val="auto"/>
          <w:sz w:val="32"/>
          <w:szCs w:val="32"/>
          <w:lang w:val="en-US" w:eastAsia="zh-CN"/>
        </w:rPr>
        <w:t>保障日常工作正常运转，及时</w:t>
      </w:r>
      <w:r>
        <w:rPr>
          <w:rFonts w:hint="eastAsia" w:ascii="仿宋" w:hAnsi="仿宋" w:eastAsia="仿宋" w:cs="仿宋"/>
          <w:b w:val="0"/>
          <w:bCs w:val="0"/>
          <w:color w:val="auto"/>
          <w:sz w:val="32"/>
          <w:szCs w:val="32"/>
          <w:lang w:val="en-US" w:eastAsia="zh-CN"/>
        </w:rPr>
        <w:t>高</w:t>
      </w:r>
      <w:r>
        <w:rPr>
          <w:rFonts w:hint="default" w:ascii="仿宋" w:hAnsi="仿宋" w:eastAsia="仿宋" w:cs="仿宋"/>
          <w:b w:val="0"/>
          <w:bCs w:val="0"/>
          <w:color w:val="auto"/>
          <w:sz w:val="32"/>
          <w:szCs w:val="32"/>
          <w:lang w:val="en-US" w:eastAsia="zh-CN"/>
        </w:rPr>
        <w:t>效治理相关违法行为，提升城乡环境容貌水平</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提高群众满意度</w:t>
      </w:r>
      <w:r>
        <w:rPr>
          <w:rFonts w:hint="eastAsia" w:ascii="仿宋" w:hAnsi="仿宋" w:eastAsia="仿宋" w:cs="仿宋"/>
          <w:b w:val="0"/>
          <w:bCs w:val="0"/>
          <w:color w:val="auto"/>
          <w:sz w:val="32"/>
          <w:szCs w:val="32"/>
          <w:lang w:val="en-US" w:eastAsia="zh-CN"/>
        </w:rPr>
        <w:t>。对城市基础设施进行精细化管理，保障城市基础设施的正常运行和维修保养，提高城市基础设施的完好率和安全性，保</w:t>
      </w:r>
      <w:r>
        <w:rPr>
          <w:rFonts w:hint="default" w:ascii="仿宋" w:hAnsi="仿宋" w:eastAsia="仿宋" w:cs="仿宋"/>
          <w:b w:val="0"/>
          <w:bCs w:val="0"/>
          <w:color w:val="auto"/>
          <w:sz w:val="32"/>
          <w:szCs w:val="32"/>
          <w:lang w:val="en-US" w:eastAsia="zh-CN"/>
        </w:rPr>
        <w:t>障城管项目基础设施、软硬件正常运转</w:t>
      </w:r>
      <w:r>
        <w:rPr>
          <w:rFonts w:hint="eastAsia" w:ascii="仿宋" w:hAnsi="仿宋" w:eastAsia="仿宋" w:cs="仿宋"/>
          <w:b w:val="0"/>
          <w:bCs w:val="0"/>
          <w:color w:val="auto"/>
          <w:sz w:val="32"/>
          <w:szCs w:val="32"/>
          <w:lang w:val="en-US" w:eastAsia="zh-CN"/>
        </w:rPr>
        <w:t>，打造宜居生活环境，维护社会长久发展</w:t>
      </w:r>
      <w:r>
        <w:rPr>
          <w:rFonts w:hint="default" w:ascii="仿宋" w:hAnsi="仿宋" w:eastAsia="仿宋" w:cs="仿宋"/>
          <w:b w:val="0"/>
          <w:bCs w:val="0"/>
          <w:color w:val="auto"/>
          <w:sz w:val="32"/>
          <w:szCs w:val="32"/>
          <w:lang w:val="en-US" w:eastAsia="zh-CN"/>
        </w:rPr>
        <w:t>。</w:t>
      </w:r>
    </w:p>
    <w:p w14:paraId="7ED132CA">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_GB2312" w:hAnsi="仿宋_GB2312" w:eastAsia="仿宋_GB2312" w:cs="仿宋_GB2312"/>
          <w:color w:val="auto"/>
          <w:sz w:val="32"/>
          <w:szCs w:val="32"/>
          <w:lang w:eastAsia="zh-CN"/>
        </w:rPr>
      </w:pPr>
      <w:r>
        <w:rPr>
          <w:rFonts w:hint="eastAsia" w:ascii="仿宋" w:hAnsi="仿宋" w:eastAsia="仿宋" w:cs="仿宋"/>
          <w:b w:val="0"/>
          <w:bCs w:val="0"/>
          <w:color w:val="auto"/>
          <w:sz w:val="32"/>
          <w:szCs w:val="32"/>
          <w:lang w:val="en-US" w:eastAsia="zh-CN"/>
        </w:rPr>
        <w:t>绩效指标：</w:t>
      </w:r>
      <w:r>
        <w:rPr>
          <w:rFonts w:hint="eastAsia" w:ascii="仿宋_GB2312" w:hAnsi="仿宋_GB2312" w:eastAsia="仿宋_GB2312" w:cs="仿宋_GB2312"/>
          <w:sz w:val="32"/>
          <w:szCs w:val="32"/>
          <w:lang w:val="en-US" w:eastAsia="zh-CN"/>
        </w:rPr>
        <w:t>累计</w:t>
      </w:r>
      <w:r>
        <w:rPr>
          <w:rFonts w:hint="eastAsia" w:ascii="仿宋_GB2312" w:hAnsi="仿宋_GB2312" w:eastAsia="仿宋_GB2312" w:cs="仿宋_GB2312"/>
          <w:color w:val="auto"/>
          <w:sz w:val="32"/>
          <w:szCs w:val="32"/>
          <w:u w:val="none"/>
          <w:lang w:val="en-US" w:eastAsia="zh-CN"/>
        </w:rPr>
        <w:t>发放《规范非机动车停放秩序告知书》宣传页2000余份，增划、补划非机动车停车线2587米，</w:t>
      </w:r>
      <w:r>
        <w:rPr>
          <w:rFonts w:hint="eastAsia" w:ascii="仿宋_GB2312" w:hAnsi="仿宋_GB2312" w:eastAsia="仿宋_GB2312" w:cs="仿宋_GB2312"/>
          <w:b w:val="0"/>
          <w:bCs w:val="0"/>
          <w:color w:val="auto"/>
          <w:sz w:val="32"/>
          <w:szCs w:val="32"/>
          <w:lang w:val="en-US" w:eastAsia="zh-CN"/>
        </w:rPr>
        <w:t>发送违规停放非机动车提醒短信</w:t>
      </w:r>
      <w:r>
        <w:rPr>
          <w:rFonts w:hint="eastAsia" w:ascii="仿宋_GB2312" w:hAnsi="仿宋_GB2312" w:eastAsia="仿宋_GB2312" w:cs="仿宋_GB2312"/>
          <w:sz w:val="32"/>
          <w:szCs w:val="32"/>
          <w:lang w:val="en-US" w:eastAsia="zh-CN"/>
        </w:rPr>
        <w:t>573</w:t>
      </w:r>
      <w:r>
        <w:rPr>
          <w:rFonts w:hint="eastAsia" w:ascii="仿宋_GB2312" w:hAnsi="仿宋_GB2312" w:eastAsia="仿宋_GB2312" w:cs="仿宋_GB2312"/>
          <w:b w:val="0"/>
          <w:bCs w:val="0"/>
          <w:color w:val="auto"/>
          <w:sz w:val="32"/>
          <w:szCs w:val="32"/>
          <w:lang w:val="en-US" w:eastAsia="zh-CN"/>
        </w:rPr>
        <w:t>条，</w:t>
      </w:r>
      <w:r>
        <w:rPr>
          <w:rFonts w:hint="eastAsia" w:ascii="仿宋_GB2312" w:hAnsi="仿宋_GB2312" w:eastAsia="仿宋_GB2312" w:cs="仿宋_GB2312"/>
          <w:color w:val="auto"/>
          <w:sz w:val="32"/>
          <w:szCs w:val="32"/>
        </w:rPr>
        <w:t>清理占用公共资源</w:t>
      </w:r>
      <w:r>
        <w:rPr>
          <w:rFonts w:hint="eastAsia" w:ascii="仿宋_GB2312" w:hAnsi="仿宋_GB2312" w:eastAsia="仿宋_GB2312" w:cs="仿宋_GB2312"/>
          <w:color w:val="auto"/>
          <w:sz w:val="32"/>
          <w:szCs w:val="32"/>
          <w:lang w:val="en-US" w:eastAsia="zh-CN"/>
        </w:rPr>
        <w:t>的</w:t>
      </w:r>
      <w:r>
        <w:rPr>
          <w:rFonts w:hint="eastAsia" w:ascii="仿宋_GB2312" w:hAnsi="仿宋_GB2312" w:eastAsia="仿宋_GB2312" w:cs="仿宋_GB2312"/>
          <w:color w:val="auto"/>
          <w:sz w:val="32"/>
          <w:szCs w:val="32"/>
        </w:rPr>
        <w:t>废弃汽车共计</w:t>
      </w: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辆</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依托城市运行管理服务平台对全区13个乡镇（区）市容环境</w:t>
      </w:r>
      <w:r>
        <w:rPr>
          <w:rFonts w:hint="eastAsia" w:ascii="仿宋_GB2312" w:hAnsi="仿宋_GB2312" w:eastAsia="仿宋_GB2312" w:cs="仿宋_GB2312"/>
          <w:color w:val="auto"/>
          <w:sz w:val="32"/>
          <w:szCs w:val="32"/>
          <w:lang w:val="zh-CN" w:eastAsia="zh-CN"/>
        </w:rPr>
        <w:t>进行量化考评</w:t>
      </w:r>
      <w:r>
        <w:rPr>
          <w:rFonts w:hint="eastAsia" w:ascii="仿宋_GB2312" w:hAnsi="仿宋_GB2312" w:eastAsia="仿宋_GB2312" w:cs="仿宋_GB2312"/>
          <w:b w:val="0"/>
          <w:bCs w:val="0"/>
          <w:color w:val="auto"/>
          <w:sz w:val="32"/>
          <w:szCs w:val="32"/>
          <w:highlight w:val="none"/>
          <w:lang w:val="en-US" w:eastAsia="zh-CN"/>
        </w:rPr>
        <w:t>。</w:t>
      </w:r>
      <w:r>
        <w:rPr>
          <w:rFonts w:hint="eastAsia" w:ascii="仿宋_GB2312" w:hAnsi="仿宋_GB2312" w:eastAsia="仿宋_GB2312" w:cs="仿宋_GB2312"/>
          <w:color w:val="auto"/>
          <w:sz w:val="32"/>
          <w:szCs w:val="32"/>
          <w:lang w:val="en-US" w:eastAsia="zh-CN"/>
        </w:rPr>
        <w:t>截至目前，累计巡查265次，督导整改市容环境类问题共计4600余处，发放督办卡23张，促使全区环境容貌持续提升；</w:t>
      </w:r>
      <w:r>
        <w:rPr>
          <w:rFonts w:hint="eastAsia" w:ascii="仿宋_GB2312" w:hAnsi="仿宋_GB2312" w:eastAsia="仿宋_GB2312" w:cs="仿宋_GB2312"/>
          <w:i w:val="0"/>
          <w:iCs w:val="0"/>
          <w:caps w:val="0"/>
          <w:color w:val="auto"/>
          <w:spacing w:val="8"/>
          <w:sz w:val="32"/>
          <w:szCs w:val="32"/>
          <w:shd w:val="clear" w:fill="FFFFFF"/>
          <w:lang w:eastAsia="zh-CN"/>
        </w:rPr>
        <w:t>严厉查处我区范围内从事生活垃圾清运企业存在的各类违规行为，</w:t>
      </w:r>
      <w:r>
        <w:rPr>
          <w:rFonts w:hint="eastAsia" w:ascii="仿宋_GB2312" w:hAnsi="仿宋_GB2312" w:eastAsia="仿宋_GB2312" w:cs="仿宋_GB2312"/>
          <w:sz w:val="32"/>
          <w:szCs w:val="32"/>
          <w:lang w:val="en-US" w:eastAsia="zh-CN"/>
        </w:rPr>
        <w:t>对城区清运企业和198家物业小区及13个乡镇（区）进行了全面摸排，</w:t>
      </w:r>
      <w:r>
        <w:rPr>
          <w:rFonts w:hint="eastAsia" w:ascii="仿宋_GB2312" w:hAnsi="仿宋_GB2312" w:eastAsia="仿宋_GB2312" w:cs="仿宋_GB2312"/>
          <w:i w:val="0"/>
          <w:iCs w:val="0"/>
          <w:caps w:val="0"/>
          <w:color w:val="auto"/>
          <w:spacing w:val="0"/>
          <w:sz w:val="32"/>
          <w:szCs w:val="32"/>
          <w:shd w:val="clear" w:fill="FFFFFF"/>
          <w:lang w:val="en-US" w:eastAsia="zh-CN"/>
        </w:rPr>
        <w:t>并采取</w:t>
      </w:r>
      <w:r>
        <w:rPr>
          <w:rFonts w:hint="eastAsia" w:ascii="仿宋_GB2312" w:hAnsi="仿宋_GB2312" w:eastAsia="仿宋_GB2312" w:cs="仿宋_GB2312"/>
          <w:i w:val="0"/>
          <w:iCs w:val="0"/>
          <w:caps w:val="0"/>
          <w:color w:val="auto"/>
          <w:spacing w:val="8"/>
          <w:sz w:val="32"/>
          <w:szCs w:val="32"/>
          <w:shd w:val="clear" w:fill="FFFFFF"/>
        </w:rPr>
        <w:t>流动巡查和定点检查相结合</w:t>
      </w:r>
      <w:r>
        <w:rPr>
          <w:rFonts w:hint="eastAsia" w:ascii="仿宋_GB2312" w:hAnsi="仿宋_GB2312" w:eastAsia="仿宋_GB2312" w:cs="仿宋_GB2312"/>
          <w:i w:val="0"/>
          <w:iCs w:val="0"/>
          <w:caps w:val="0"/>
          <w:color w:val="auto"/>
          <w:spacing w:val="8"/>
          <w:sz w:val="32"/>
          <w:szCs w:val="32"/>
          <w:shd w:val="clear" w:fill="FFFFFF"/>
          <w:lang w:eastAsia="zh-CN"/>
        </w:rPr>
        <w:t>、</w:t>
      </w:r>
      <w:r>
        <w:rPr>
          <w:rFonts w:hint="eastAsia" w:ascii="仿宋_GB2312" w:hAnsi="仿宋_GB2312" w:eastAsia="仿宋_GB2312" w:cs="仿宋_GB2312"/>
          <w:i w:val="0"/>
          <w:iCs w:val="0"/>
          <w:caps w:val="0"/>
          <w:color w:val="auto"/>
          <w:spacing w:val="8"/>
          <w:sz w:val="32"/>
          <w:szCs w:val="32"/>
          <w:shd w:val="clear" w:fill="FFFFFF"/>
        </w:rPr>
        <w:t>突击检查</w:t>
      </w:r>
      <w:r>
        <w:rPr>
          <w:rFonts w:hint="eastAsia" w:ascii="仿宋_GB2312" w:hAnsi="仿宋_GB2312" w:eastAsia="仿宋_GB2312" w:cs="仿宋_GB2312"/>
          <w:i w:val="0"/>
          <w:iCs w:val="0"/>
          <w:caps w:val="0"/>
          <w:color w:val="auto"/>
          <w:spacing w:val="8"/>
          <w:sz w:val="32"/>
          <w:szCs w:val="32"/>
          <w:shd w:val="clear" w:fill="FFFFFF"/>
          <w:lang w:val="en-US" w:eastAsia="zh-CN"/>
        </w:rPr>
        <w:t>与日常督查相结合</w:t>
      </w:r>
      <w:r>
        <w:rPr>
          <w:rFonts w:hint="eastAsia" w:ascii="仿宋_GB2312" w:hAnsi="仿宋_GB2312" w:eastAsia="仿宋_GB2312" w:cs="仿宋_GB2312"/>
          <w:i w:val="0"/>
          <w:iCs w:val="0"/>
          <w:caps w:val="0"/>
          <w:color w:val="auto"/>
          <w:spacing w:val="0"/>
          <w:sz w:val="32"/>
          <w:szCs w:val="32"/>
          <w:shd w:val="clear" w:fill="FFFFFF"/>
        </w:rPr>
        <w:t>等方式进行，</w:t>
      </w:r>
      <w:r>
        <w:rPr>
          <w:rFonts w:hint="eastAsia" w:ascii="仿宋_GB2312" w:hAnsi="仿宋_GB2312" w:eastAsia="仿宋_GB2312" w:cs="仿宋_GB2312"/>
          <w:i w:val="0"/>
          <w:iCs w:val="0"/>
          <w:caps w:val="0"/>
          <w:color w:val="auto"/>
          <w:spacing w:val="0"/>
          <w:sz w:val="32"/>
          <w:szCs w:val="32"/>
          <w:shd w:val="clear" w:fill="FFFFFF"/>
          <w:lang w:val="en-US" w:eastAsia="zh-CN"/>
        </w:rPr>
        <w:t>共</w:t>
      </w:r>
      <w:r>
        <w:rPr>
          <w:rFonts w:hint="eastAsia" w:ascii="仿宋_GB2312" w:hAnsi="仿宋_GB2312" w:eastAsia="仿宋_GB2312" w:cs="仿宋_GB2312"/>
          <w:i w:val="0"/>
          <w:iCs w:val="0"/>
          <w:caps w:val="0"/>
          <w:color w:val="auto"/>
          <w:spacing w:val="0"/>
          <w:sz w:val="32"/>
          <w:szCs w:val="32"/>
          <w:shd w:val="clear" w:fill="FFFFFF"/>
        </w:rPr>
        <w:t>出动</w:t>
      </w:r>
      <w:r>
        <w:rPr>
          <w:rFonts w:hint="eastAsia" w:ascii="仿宋_GB2312" w:hAnsi="仿宋_GB2312" w:eastAsia="仿宋_GB2312" w:cs="仿宋_GB2312"/>
          <w:i w:val="0"/>
          <w:iCs w:val="0"/>
          <w:caps w:val="0"/>
          <w:color w:val="auto"/>
          <w:spacing w:val="0"/>
          <w:sz w:val="32"/>
          <w:szCs w:val="32"/>
          <w:shd w:val="clear" w:fill="FFFFFF"/>
          <w:lang w:val="en-US" w:eastAsia="zh-CN"/>
        </w:rPr>
        <w:t>人员</w:t>
      </w:r>
      <w:r>
        <w:rPr>
          <w:rFonts w:hint="eastAsia" w:ascii="仿宋_GB2312" w:hAnsi="仿宋_GB2312" w:eastAsia="仿宋_GB2312" w:cs="仿宋_GB2312"/>
          <w:i w:val="0"/>
          <w:iCs w:val="0"/>
          <w:caps w:val="0"/>
          <w:color w:val="auto"/>
          <w:spacing w:val="0"/>
          <w:sz w:val="32"/>
          <w:szCs w:val="32"/>
          <w:shd w:val="clear" w:fill="FFFFFF"/>
        </w:rPr>
        <w:t>10</w:t>
      </w:r>
      <w:r>
        <w:rPr>
          <w:rFonts w:hint="eastAsia" w:ascii="仿宋_GB2312" w:hAnsi="仿宋_GB2312" w:eastAsia="仿宋_GB2312" w:cs="仿宋_GB2312"/>
          <w:i w:val="0"/>
          <w:iCs w:val="0"/>
          <w:caps w:val="0"/>
          <w:color w:val="auto"/>
          <w:spacing w:val="0"/>
          <w:sz w:val="32"/>
          <w:szCs w:val="32"/>
          <w:shd w:val="clear" w:fill="FFFFFF"/>
          <w:lang w:val="en-US" w:eastAsia="zh-CN"/>
        </w:rPr>
        <w:t>0余</w:t>
      </w:r>
      <w:r>
        <w:rPr>
          <w:rFonts w:hint="eastAsia" w:ascii="仿宋_GB2312" w:hAnsi="仿宋_GB2312" w:eastAsia="仿宋_GB2312" w:cs="仿宋_GB2312"/>
          <w:i w:val="0"/>
          <w:iCs w:val="0"/>
          <w:caps w:val="0"/>
          <w:color w:val="auto"/>
          <w:spacing w:val="0"/>
          <w:sz w:val="32"/>
          <w:szCs w:val="32"/>
          <w:shd w:val="clear" w:fill="FFFFFF"/>
        </w:rPr>
        <w:t>人</w:t>
      </w:r>
      <w:r>
        <w:rPr>
          <w:rFonts w:hint="eastAsia" w:ascii="仿宋_GB2312" w:hAnsi="仿宋_GB2312" w:eastAsia="仿宋_GB2312" w:cs="仿宋_GB2312"/>
          <w:i w:val="0"/>
          <w:iCs w:val="0"/>
          <w:caps w:val="0"/>
          <w:color w:val="auto"/>
          <w:spacing w:val="0"/>
          <w:sz w:val="32"/>
          <w:szCs w:val="32"/>
          <w:shd w:val="clear" w:fill="FFFFFF"/>
          <w:lang w:val="en-US" w:eastAsia="zh-CN"/>
        </w:rPr>
        <w:t>次</w:t>
      </w:r>
      <w:r>
        <w:rPr>
          <w:rFonts w:hint="eastAsia" w:ascii="仿宋_GB2312" w:hAnsi="仿宋_GB2312" w:eastAsia="仿宋_GB2312" w:cs="仿宋_GB2312"/>
          <w:i w:val="0"/>
          <w:iCs w:val="0"/>
          <w:caps w:val="0"/>
          <w:color w:val="auto"/>
          <w:spacing w:val="0"/>
          <w:sz w:val="32"/>
          <w:szCs w:val="32"/>
          <w:shd w:val="clear" w:fill="FFFFFF"/>
        </w:rPr>
        <w:t>，</w:t>
      </w:r>
      <w:r>
        <w:rPr>
          <w:rFonts w:hint="eastAsia" w:ascii="仿宋_GB2312" w:hAnsi="仿宋_GB2312" w:eastAsia="仿宋_GB2312" w:cs="仿宋_GB2312"/>
          <w:i w:val="0"/>
          <w:iCs w:val="0"/>
          <w:caps w:val="0"/>
          <w:color w:val="auto"/>
          <w:spacing w:val="0"/>
          <w:sz w:val="32"/>
          <w:szCs w:val="32"/>
          <w:shd w:val="clear" w:fill="FFFFFF"/>
          <w:lang w:val="en-US" w:eastAsia="zh-CN"/>
        </w:rPr>
        <w:t>车辆</w:t>
      </w:r>
      <w:r>
        <w:rPr>
          <w:rFonts w:hint="eastAsia" w:ascii="仿宋_GB2312" w:hAnsi="仿宋_GB2312" w:eastAsia="仿宋_GB2312" w:cs="仿宋_GB2312"/>
          <w:i w:val="0"/>
          <w:iCs w:val="0"/>
          <w:caps w:val="0"/>
          <w:color w:val="auto"/>
          <w:spacing w:val="0"/>
          <w:sz w:val="32"/>
          <w:szCs w:val="32"/>
          <w:shd w:val="clear" w:fill="FFFFFF"/>
        </w:rPr>
        <w:t>50</w:t>
      </w:r>
      <w:r>
        <w:rPr>
          <w:rFonts w:hint="eastAsia" w:ascii="仿宋_GB2312" w:hAnsi="仿宋_GB2312" w:eastAsia="仿宋_GB2312" w:cs="仿宋_GB2312"/>
          <w:i w:val="0"/>
          <w:iCs w:val="0"/>
          <w:caps w:val="0"/>
          <w:color w:val="auto"/>
          <w:spacing w:val="0"/>
          <w:sz w:val="32"/>
          <w:szCs w:val="32"/>
          <w:shd w:val="clear" w:fill="FFFFFF"/>
          <w:lang w:val="en-US" w:eastAsia="zh-CN"/>
        </w:rPr>
        <w:t>余</w:t>
      </w:r>
      <w:r>
        <w:rPr>
          <w:rFonts w:hint="eastAsia" w:ascii="仿宋_GB2312" w:hAnsi="仿宋_GB2312" w:eastAsia="仿宋_GB2312" w:cs="仿宋_GB2312"/>
          <w:i w:val="0"/>
          <w:iCs w:val="0"/>
          <w:caps w:val="0"/>
          <w:color w:val="auto"/>
          <w:spacing w:val="0"/>
          <w:sz w:val="32"/>
          <w:szCs w:val="32"/>
          <w:shd w:val="clear" w:fill="FFFFFF"/>
        </w:rPr>
        <w:t>车次，发现问题</w:t>
      </w:r>
      <w:r>
        <w:rPr>
          <w:rFonts w:hint="eastAsia" w:ascii="仿宋_GB2312" w:hAnsi="仿宋_GB2312" w:eastAsia="仿宋_GB2312" w:cs="仿宋_GB2312"/>
          <w:i w:val="0"/>
          <w:iCs w:val="0"/>
          <w:caps w:val="0"/>
          <w:color w:val="auto"/>
          <w:spacing w:val="0"/>
          <w:sz w:val="32"/>
          <w:szCs w:val="32"/>
          <w:shd w:val="clear" w:fill="FFFFFF"/>
          <w:lang w:val="en-US" w:eastAsia="zh-CN"/>
        </w:rPr>
        <w:t>70</w:t>
      </w:r>
      <w:r>
        <w:rPr>
          <w:rFonts w:hint="eastAsia" w:ascii="仿宋_GB2312" w:hAnsi="仿宋_GB2312" w:eastAsia="仿宋_GB2312" w:cs="仿宋_GB2312"/>
          <w:i w:val="0"/>
          <w:iCs w:val="0"/>
          <w:caps w:val="0"/>
          <w:color w:val="auto"/>
          <w:spacing w:val="0"/>
          <w:sz w:val="32"/>
          <w:szCs w:val="32"/>
          <w:shd w:val="clear" w:fill="FFFFFF"/>
        </w:rPr>
        <w:t>处，现场整改</w:t>
      </w:r>
      <w:r>
        <w:rPr>
          <w:rFonts w:hint="eastAsia" w:ascii="仿宋_GB2312" w:hAnsi="仿宋_GB2312" w:eastAsia="仿宋_GB2312" w:cs="仿宋_GB2312"/>
          <w:i w:val="0"/>
          <w:iCs w:val="0"/>
          <w:caps w:val="0"/>
          <w:color w:val="auto"/>
          <w:spacing w:val="0"/>
          <w:sz w:val="32"/>
          <w:szCs w:val="32"/>
          <w:shd w:val="clear" w:fill="FFFFFF"/>
          <w:lang w:val="en-US" w:eastAsia="zh-CN"/>
        </w:rPr>
        <w:t>60余</w:t>
      </w:r>
      <w:r>
        <w:rPr>
          <w:rFonts w:hint="eastAsia" w:ascii="仿宋_GB2312" w:hAnsi="仿宋_GB2312" w:eastAsia="仿宋_GB2312" w:cs="仿宋_GB2312"/>
          <w:i w:val="0"/>
          <w:iCs w:val="0"/>
          <w:caps w:val="0"/>
          <w:color w:val="auto"/>
          <w:spacing w:val="0"/>
          <w:sz w:val="32"/>
          <w:szCs w:val="32"/>
          <w:shd w:val="clear" w:fill="FFFFFF"/>
        </w:rPr>
        <w:t>处，约谈企业负责人15起，</w:t>
      </w:r>
      <w:r>
        <w:rPr>
          <w:rFonts w:hint="eastAsia" w:ascii="仿宋_GB2312" w:hAnsi="仿宋_GB2312" w:eastAsia="仿宋_GB2312" w:cs="仿宋_GB2312"/>
          <w:color w:val="auto"/>
          <w:sz w:val="32"/>
          <w:szCs w:val="32"/>
        </w:rPr>
        <w:t>并依据相关法规条例进行登记处罚</w:t>
      </w:r>
      <w:r>
        <w:rPr>
          <w:rFonts w:hint="eastAsia" w:ascii="仿宋_GB2312" w:hAnsi="仿宋_GB2312" w:eastAsia="仿宋_GB2312" w:cs="仿宋_GB2312"/>
          <w:i w:val="0"/>
          <w:iCs w:val="0"/>
          <w:caps w:val="0"/>
          <w:color w:val="auto"/>
          <w:spacing w:val="0"/>
          <w:sz w:val="32"/>
          <w:szCs w:val="32"/>
          <w:shd w:val="clear" w:fill="FFFFFF"/>
          <w:lang w:val="en-US" w:eastAsia="zh-CN"/>
        </w:rPr>
        <w:t>6</w:t>
      </w:r>
      <w:r>
        <w:rPr>
          <w:rFonts w:hint="eastAsia" w:ascii="仿宋_GB2312" w:hAnsi="仿宋_GB2312" w:eastAsia="仿宋_GB2312" w:cs="仿宋_GB2312"/>
          <w:i w:val="0"/>
          <w:iCs w:val="0"/>
          <w:caps w:val="0"/>
          <w:color w:val="auto"/>
          <w:spacing w:val="0"/>
          <w:sz w:val="32"/>
          <w:szCs w:val="32"/>
          <w:shd w:val="clear" w:fill="FFFFFF"/>
        </w:rPr>
        <w:t>起</w:t>
      </w:r>
      <w:r>
        <w:rPr>
          <w:rFonts w:hint="eastAsia" w:ascii="仿宋_GB2312" w:hAnsi="仿宋" w:eastAsia="仿宋_GB2312"/>
          <w:spacing w:val="20"/>
          <w:sz w:val="32"/>
          <w:szCs w:val="32"/>
          <w:lang w:eastAsia="zh-CN"/>
        </w:rPr>
        <w:t>。</w:t>
      </w:r>
    </w:p>
    <w:p w14:paraId="20908B8E">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sz w:val="32"/>
          <w:szCs w:val="32"/>
          <w:lang w:val="en-US" w:eastAsia="zh-CN"/>
        </w:rPr>
        <w:t>城市</w:t>
      </w:r>
      <w:r>
        <w:rPr>
          <w:rFonts w:hint="eastAsia" w:ascii="仿宋" w:hAnsi="仿宋" w:eastAsia="仿宋" w:cs="仿宋"/>
          <w:sz w:val="32"/>
          <w:szCs w:val="32"/>
        </w:rPr>
        <w:t>基础设施建设不断加快</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为了</w:t>
      </w:r>
      <w:r>
        <w:rPr>
          <w:rFonts w:hint="eastAsia" w:ascii="仿宋" w:hAnsi="仿宋" w:eastAsia="仿宋" w:cs="仿宋"/>
          <w:b w:val="0"/>
          <w:bCs w:val="0"/>
          <w:color w:val="auto"/>
          <w:sz w:val="32"/>
          <w:szCs w:val="32"/>
          <w:lang w:val="en-US" w:eastAsia="zh-CN"/>
        </w:rPr>
        <w:t>提升</w:t>
      </w:r>
      <w:r>
        <w:rPr>
          <w:rFonts w:hint="default" w:ascii="仿宋" w:hAnsi="仿宋" w:eastAsia="仿宋" w:cs="仿宋"/>
          <w:b w:val="0"/>
          <w:bCs w:val="0"/>
          <w:color w:val="auto"/>
          <w:sz w:val="32"/>
          <w:szCs w:val="32"/>
          <w:lang w:val="en-US" w:eastAsia="zh-CN"/>
        </w:rPr>
        <w:t>居民的生活质量，</w:t>
      </w:r>
      <w:r>
        <w:rPr>
          <w:rFonts w:hint="eastAsia" w:ascii="仿宋" w:hAnsi="仿宋" w:eastAsia="仿宋" w:cs="仿宋"/>
          <w:b w:val="0"/>
          <w:bCs w:val="0"/>
          <w:color w:val="auto"/>
          <w:sz w:val="32"/>
          <w:szCs w:val="32"/>
          <w:lang w:val="en-US" w:eastAsia="zh-CN"/>
        </w:rPr>
        <w:t>使市民</w:t>
      </w:r>
      <w:r>
        <w:rPr>
          <w:rFonts w:hint="default" w:ascii="仿宋" w:hAnsi="仿宋" w:eastAsia="仿宋" w:cs="仿宋"/>
          <w:b w:val="0"/>
          <w:bCs w:val="0"/>
          <w:color w:val="auto"/>
          <w:sz w:val="32"/>
          <w:szCs w:val="32"/>
          <w:lang w:val="en-US" w:eastAsia="zh-CN"/>
        </w:rPr>
        <w:t>更好地融入城市生活</w:t>
      </w:r>
      <w:r>
        <w:rPr>
          <w:rFonts w:hint="eastAsia" w:ascii="仿宋" w:hAnsi="仿宋" w:eastAsia="仿宋" w:cs="仿宋"/>
          <w:b w:val="0"/>
          <w:bCs w:val="0"/>
          <w:color w:val="auto"/>
          <w:sz w:val="32"/>
          <w:szCs w:val="32"/>
          <w:lang w:val="en-US" w:eastAsia="zh-CN"/>
        </w:rPr>
        <w:t>，助力</w:t>
      </w:r>
      <w:r>
        <w:rPr>
          <w:rFonts w:hint="default" w:ascii="仿宋" w:hAnsi="仿宋" w:eastAsia="仿宋" w:cs="仿宋"/>
          <w:b w:val="0"/>
          <w:bCs w:val="0"/>
          <w:color w:val="auto"/>
          <w:sz w:val="32"/>
          <w:szCs w:val="32"/>
          <w:lang w:val="en-US" w:eastAsia="zh-CN"/>
        </w:rPr>
        <w:t>城市经济发展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促进城市经济的增长和提升城市竞争力</w:t>
      </w:r>
      <w:r>
        <w:rPr>
          <w:rFonts w:hint="eastAsia" w:ascii="仿宋" w:hAnsi="仿宋" w:eastAsia="仿宋" w:cs="仿宋"/>
          <w:b w:val="0"/>
          <w:bCs w:val="0"/>
          <w:color w:val="auto"/>
          <w:sz w:val="32"/>
          <w:szCs w:val="32"/>
          <w:lang w:val="en-US" w:eastAsia="zh-CN"/>
        </w:rPr>
        <w:t>，我部门不断加快城市基础设施建设</w:t>
      </w:r>
      <w:r>
        <w:rPr>
          <w:rFonts w:hint="default" w:ascii="仿宋" w:hAnsi="仿宋" w:eastAsia="仿宋" w:cs="仿宋"/>
          <w:b w:val="0"/>
          <w:bCs w:val="0"/>
          <w:color w:val="auto"/>
          <w:sz w:val="32"/>
          <w:szCs w:val="32"/>
          <w:lang w:val="en-US" w:eastAsia="zh-CN"/>
        </w:rPr>
        <w:t>，为实现城市可持续发展和建设现代化城市提供有力保障。</w:t>
      </w:r>
    </w:p>
    <w:p w14:paraId="588F94D9">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满足城市居民的基本生活需求，提高城市居民的生活质量，创造良好的城市环境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提高城市基础设施的供应效率和质量，降低城市基础设施的供应成本，优化城市基础设施的配置和布局</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加强城市基础设施的维护和保养，提高城市基础设施的使用寿命和安全性，减少城市基础设施的故障率和损坏率</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推进城市基础设施建设领域的信息化、数字化、智能化建设，实现基础设施建设的数字化管理和智慧化运行，提高城市基础设施的运行效率和服务水平。</w:t>
      </w:r>
    </w:p>
    <w:p w14:paraId="6768E225">
      <w:pPr>
        <w:widowControl w:val="0"/>
        <w:wordWrap/>
        <w:spacing w:line="560" w:lineRule="exact"/>
        <w:ind w:left="0" w:leftChars="0" w:right="0" w:firstLine="640" w:firstLineChars="200"/>
        <w:jc w:val="both"/>
        <w:textAlignment w:val="auto"/>
        <w:outlineLvl w:val="9"/>
        <w:rPr>
          <w:rFonts w:hint="eastAsia" w:ascii="仿宋" w:hAnsi="仿宋" w:eastAsia="仿宋_GB2312"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w:t>
      </w:r>
      <w:r>
        <w:rPr>
          <w:rFonts w:hint="eastAsia" w:ascii="仿宋_GB2312" w:hAnsi="仿宋_GB2312" w:eastAsia="仿宋_GB2312" w:cs="仿宋_GB2312"/>
          <w:color w:val="auto"/>
          <w:kern w:val="2"/>
          <w:sz w:val="32"/>
          <w:szCs w:val="32"/>
          <w:lang w:val="en-US" w:eastAsia="zh-CN" w:bidi="ar-SA"/>
        </w:rPr>
        <w:t>在城区新建五座一类公厕，满足了市民基本生活需求；</w:t>
      </w:r>
      <w:r>
        <w:rPr>
          <w:rFonts w:hint="eastAsia" w:ascii="仿宋_GB2312" w:hAnsi="仿宋_GB2312" w:eastAsia="仿宋_GB2312" w:cs="仿宋_GB2312"/>
          <w:color w:val="auto"/>
          <w:sz w:val="32"/>
          <w:szCs w:val="32"/>
          <w:lang w:val="en-US" w:eastAsia="zh-CN"/>
        </w:rPr>
        <w:t>打造</w:t>
      </w:r>
      <w:r>
        <w:rPr>
          <w:rFonts w:hint="eastAsia" w:ascii="仿宋_GB2312" w:hAnsi="仿宋_GB2312" w:eastAsia="仿宋_GB2312" w:cs="仿宋_GB2312"/>
          <w:b w:val="0"/>
          <w:bCs w:val="0"/>
          <w:color w:val="auto"/>
          <w:sz w:val="32"/>
          <w:szCs w:val="32"/>
          <w:lang w:val="en-US" w:eastAsia="zh-CN"/>
        </w:rPr>
        <w:t>5条精品街巷（石邑街、新北路、曹东路、翠屏大街、玉石路）；</w:t>
      </w:r>
      <w:r>
        <w:rPr>
          <w:rFonts w:hint="eastAsia" w:ascii="仿宋_GB2312" w:hAnsi="仿宋_GB2312" w:eastAsia="仿宋_GB2312" w:cs="仿宋_GB2312"/>
          <w:b w:val="0"/>
          <w:bCs w:val="0"/>
          <w:kern w:val="2"/>
          <w:sz w:val="32"/>
          <w:szCs w:val="32"/>
          <w:lang w:val="en-US" w:eastAsia="zh-CN" w:bidi="ar-SA"/>
        </w:rPr>
        <w:t>设置34处便民服务点，9处便民夜市点；</w:t>
      </w:r>
      <w:r>
        <w:rPr>
          <w:rFonts w:hint="eastAsia" w:ascii="仿宋_GB2312" w:hAnsi="仿宋_GB2312" w:eastAsia="仿宋_GB2312" w:cs="仿宋_GB2312"/>
          <w:b w:val="0"/>
          <w:bCs w:val="0"/>
          <w:sz w:val="32"/>
          <w:szCs w:val="32"/>
        </w:rPr>
        <w:t>建成日处理能力20吨的厨余垃圾处理站</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提升改造125个居民小区集中投放点，安装智能回收箱、厨余智能设备，进一步提升了生活垃圾资源回收利用率</w:t>
      </w:r>
      <w:r>
        <w:rPr>
          <w:rFonts w:hint="eastAsia" w:ascii="仿宋_GB2312" w:hAnsi="仿宋_GB2312" w:eastAsia="仿宋_GB2312" w:cs="仿宋_GB2312"/>
          <w:sz w:val="32"/>
          <w:szCs w:val="32"/>
          <w:lang w:eastAsia="zh-CN"/>
        </w:rPr>
        <w:t>。</w:t>
      </w:r>
    </w:p>
    <w:p w14:paraId="19B13D56">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环境卫生管护持续强化提升。为了</w:t>
      </w:r>
      <w:r>
        <w:rPr>
          <w:rFonts w:hint="default" w:ascii="仿宋" w:hAnsi="仿宋" w:eastAsia="仿宋" w:cs="仿宋"/>
          <w:b w:val="0"/>
          <w:bCs w:val="0"/>
          <w:color w:val="auto"/>
          <w:sz w:val="32"/>
          <w:szCs w:val="32"/>
          <w:lang w:val="en-US" w:eastAsia="zh-CN"/>
        </w:rPr>
        <w:t>创造清洁、美丽、卫生的城市环境，改善环境卫生设施，增强市民环保意识和参与度，</w:t>
      </w:r>
      <w:r>
        <w:rPr>
          <w:rFonts w:hint="eastAsia" w:ascii="仿宋" w:hAnsi="仿宋" w:eastAsia="仿宋" w:cs="仿宋"/>
          <w:b w:val="0"/>
          <w:bCs w:val="0"/>
          <w:color w:val="auto"/>
          <w:sz w:val="32"/>
          <w:szCs w:val="32"/>
          <w:lang w:val="en-US" w:eastAsia="zh-CN"/>
        </w:rPr>
        <w:t>我部门继续</w:t>
      </w:r>
      <w:r>
        <w:rPr>
          <w:rFonts w:hint="default" w:ascii="仿宋" w:hAnsi="仿宋" w:eastAsia="仿宋" w:cs="仿宋"/>
          <w:b w:val="0"/>
          <w:bCs w:val="0"/>
          <w:color w:val="auto"/>
          <w:sz w:val="32"/>
          <w:szCs w:val="32"/>
          <w:lang w:val="en-US" w:eastAsia="zh-CN"/>
        </w:rPr>
        <w:t>加强环境卫生</w:t>
      </w:r>
      <w:r>
        <w:rPr>
          <w:rFonts w:hint="eastAsia" w:ascii="仿宋" w:hAnsi="仿宋" w:eastAsia="仿宋" w:cs="仿宋"/>
          <w:b w:val="0"/>
          <w:bCs w:val="0"/>
          <w:color w:val="auto"/>
          <w:sz w:val="32"/>
          <w:szCs w:val="32"/>
          <w:lang w:val="en-US" w:eastAsia="zh-CN"/>
        </w:rPr>
        <w:t>管理，助力</w:t>
      </w:r>
      <w:r>
        <w:rPr>
          <w:rFonts w:hint="default" w:ascii="仿宋" w:hAnsi="仿宋" w:eastAsia="仿宋" w:cs="仿宋"/>
          <w:kern w:val="2"/>
          <w:sz w:val="32"/>
          <w:szCs w:val="32"/>
          <w:lang w:val="en-US" w:eastAsia="zh-CN" w:bidi="ar-SA"/>
        </w:rPr>
        <w:t>生态宜居宜业宜游新城区</w:t>
      </w:r>
      <w:r>
        <w:rPr>
          <w:rFonts w:hint="default" w:ascii="仿宋" w:hAnsi="仿宋" w:eastAsia="仿宋" w:cs="仿宋"/>
          <w:b w:val="0"/>
          <w:bCs w:val="0"/>
          <w:color w:val="auto"/>
          <w:sz w:val="32"/>
          <w:szCs w:val="32"/>
          <w:lang w:val="en-US" w:eastAsia="zh-CN"/>
        </w:rPr>
        <w:t>。</w:t>
      </w:r>
    </w:p>
    <w:p w14:paraId="61EB1A34">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提高环境卫生质量和标准</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通过加强环境卫生的日常管理和监督，提高城市公共场所、社区、工业区的环境卫生质量和标准，创造更加清洁、美丽、卫生的城市环境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减少环境污染和垃圾废弃物</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通过推广垃圾分类、回收、再利用等措施，减少环境污染和垃圾废弃物的产生，实现城市环境的可持续发展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改善环境卫生设施</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通过加强环境卫生设施的建设和维护，提高城市公共厕所、垃圾箱、垃圾处理厂等设施的质量和数量，提供更加便捷、舒适、安全的环境卫生设施。</w:t>
      </w:r>
    </w:p>
    <w:p w14:paraId="59441BF3">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绩效指标：保障6座垃圾压缩站的设备车辆正常运转，64名工作人员工资社保及补贴按时发放，保证发放无遗漏；</w:t>
      </w:r>
      <w:r>
        <w:rPr>
          <w:rFonts w:hint="default" w:ascii="仿宋" w:hAnsi="仿宋" w:eastAsia="仿宋" w:cs="仿宋"/>
          <w:b w:val="0"/>
          <w:bCs w:val="0"/>
          <w:color w:val="auto"/>
          <w:sz w:val="32"/>
          <w:szCs w:val="32"/>
          <w:lang w:val="en-US" w:eastAsia="zh-CN"/>
        </w:rPr>
        <w:t>保障人员开支、设备维修维护、水电等开支，重点对各乡镇主镇区厨余垃圾进行无害化处理，实现厨余垃圾的资源化利用，实现农村干湿垃圾初级分类</w:t>
      </w:r>
      <w:r>
        <w:rPr>
          <w:rFonts w:hint="eastAsia" w:ascii="仿宋" w:hAnsi="仿宋" w:eastAsia="仿宋" w:cs="仿宋"/>
          <w:b w:val="0"/>
          <w:bCs w:val="0"/>
          <w:color w:val="auto"/>
          <w:sz w:val="32"/>
          <w:szCs w:val="32"/>
          <w:lang w:val="en-US" w:eastAsia="zh-CN"/>
        </w:rPr>
        <w:t>；确保生活垃圾及时收集清运无害化处理，提高群众居住环境；保障农村生活垃圾清理范围全覆盖。达到各个乡镇村垃圾桶表面无污垢、垃圾桶四周无散落垃圾。对鹿泉13个乡镇208个村的街道清扫保洁并对产生的垃圾及时清理，日产日清，达到生活垃圾无积存。</w:t>
      </w:r>
    </w:p>
    <w:p w14:paraId="7BE0412A">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7A86D080">
      <w:pPr>
        <w:widowControl w:val="0"/>
        <w:wordWrap/>
        <w:spacing w:line="56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val="en-US" w:eastAsia="zh-CN"/>
        </w:rPr>
        <w:t>我</w:t>
      </w:r>
      <w:r>
        <w:rPr>
          <w:rFonts w:hint="eastAsia" w:ascii="仿宋" w:hAnsi="仿宋" w:eastAsia="仿宋"/>
          <w:sz w:val="32"/>
          <w:szCs w:val="32"/>
          <w:lang w:eastAsia="zh-CN"/>
        </w:rPr>
        <w:t>部门职责定位和各项工作履职情况进行</w:t>
      </w:r>
      <w:r>
        <w:rPr>
          <w:rFonts w:hint="eastAsia" w:ascii="仿宋" w:hAnsi="仿宋" w:eastAsia="仿宋"/>
          <w:sz w:val="32"/>
          <w:szCs w:val="32"/>
          <w:lang w:val="en-US" w:eastAsia="zh-CN"/>
        </w:rPr>
        <w:t>了</w:t>
      </w:r>
      <w:r>
        <w:rPr>
          <w:rFonts w:hint="eastAsia" w:ascii="仿宋" w:hAnsi="仿宋" w:eastAsia="仿宋"/>
          <w:sz w:val="32"/>
          <w:szCs w:val="32"/>
          <w:lang w:eastAsia="zh-CN"/>
        </w:rPr>
        <w:t>综合评价</w:t>
      </w:r>
      <w:r>
        <w:rPr>
          <w:rFonts w:hint="eastAsia" w:ascii="仿宋" w:hAnsi="仿宋" w:eastAsia="仿宋"/>
          <w:sz w:val="32"/>
          <w:szCs w:val="32"/>
        </w:rPr>
        <w:t>，得出综合绩效评价等级。满分100分，</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2B48C208">
      <w:pPr>
        <w:spacing w:line="600" w:lineRule="exact"/>
        <w:ind w:firstLine="640" w:firstLineChars="200"/>
        <w:rPr>
          <w:rFonts w:hint="eastAsia" w:ascii="仿宋" w:hAnsi="仿宋" w:eastAsia="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本部门在今年部门决算公开中反映</w:t>
      </w: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年鹿泉区北部振兴-李村镇镇前大街基础设施改造项目（一般债券）、</w:t>
      </w:r>
      <w:r>
        <w:rPr>
          <w:rFonts w:hint="eastAsia" w:ascii="仿宋_GB2312" w:hAnsi="仿宋_GB2312" w:eastAsia="仿宋_GB2312" w:cs="仿宋_GB2312"/>
          <w:color w:val="auto"/>
          <w:sz w:val="32"/>
          <w:szCs w:val="32"/>
          <w:highlight w:val="none"/>
        </w:rPr>
        <w:t>体育场地下停车场建设项目（专项债券）等</w:t>
      </w:r>
      <w:r>
        <w:rPr>
          <w:rFonts w:hint="eastAsia" w:ascii="仿宋_GB2312" w:hAnsi="仿宋_GB2312" w:eastAsia="仿宋_GB2312" w:cs="仿宋_GB2312"/>
          <w:color w:val="auto"/>
          <w:sz w:val="32"/>
          <w:szCs w:val="32"/>
          <w:highlight w:val="none"/>
          <w:lang w:val="en-US" w:eastAsia="zh-CN"/>
        </w:rPr>
        <w:t>129</w:t>
      </w:r>
      <w:r>
        <w:rPr>
          <w:rFonts w:hint="eastAsia" w:ascii="仿宋_GB2312" w:hAnsi="仿宋_GB2312" w:eastAsia="仿宋_GB2312" w:cs="仿宋_GB2312"/>
          <w:color w:val="auto"/>
          <w:sz w:val="32"/>
          <w:szCs w:val="32"/>
          <w:highlight w:val="none"/>
        </w:rPr>
        <w:t>个项目绩效自评结果。</w:t>
      </w:r>
      <w:r>
        <w:rPr>
          <w:rFonts w:hint="eastAsia" w:ascii="仿宋_GB2312" w:hAnsi="仿宋_GB2312" w:eastAsia="仿宋_GB2312" w:cs="仿宋_GB2312"/>
          <w:color w:val="auto"/>
          <w:sz w:val="32"/>
          <w:szCs w:val="32"/>
          <w:highlight w:val="none"/>
          <w:lang w:val="en-US" w:eastAsia="zh-CN"/>
        </w:rPr>
        <w:t>其</w:t>
      </w:r>
      <w:r>
        <w:rPr>
          <w:rFonts w:hint="eastAsia" w:ascii="仿宋_GB2312" w:hAnsi="宋体" w:eastAsia="仿宋_GB2312"/>
          <w:color w:val="auto"/>
          <w:sz w:val="32"/>
          <w:szCs w:val="32"/>
          <w:highlight w:val="none"/>
        </w:rPr>
        <w:t>中</w:t>
      </w:r>
      <w:r>
        <w:rPr>
          <w:rFonts w:hint="eastAsia" w:ascii="仿宋_GB2312" w:hAnsi="仿宋" w:eastAsia="仿宋_GB2312"/>
          <w:color w:val="auto"/>
          <w:sz w:val="32"/>
          <w:szCs w:val="32"/>
          <w:highlight w:val="none"/>
        </w:rPr>
        <w:t>评价等级为“</w:t>
      </w:r>
      <w:r>
        <w:rPr>
          <w:rFonts w:hint="eastAsia" w:ascii="仿宋_GB2312" w:hAnsi="仿宋_GB2312" w:eastAsia="仿宋_GB2312" w:cs="仿宋_GB2312"/>
          <w:color w:val="auto"/>
          <w:sz w:val="32"/>
          <w:szCs w:val="32"/>
          <w:highlight w:val="none"/>
        </w:rPr>
        <w:t>优</w:t>
      </w:r>
      <w:r>
        <w:rPr>
          <w:rFonts w:hint="eastAsia" w:ascii="仿宋_GB2312" w:hAnsi="仿宋_GB2312" w:eastAsia="仿宋_GB2312" w:cs="仿宋_GB2312"/>
          <w:color w:val="auto"/>
          <w:sz w:val="32"/>
          <w:szCs w:val="32"/>
          <w:highlight w:val="none"/>
          <w:lang w:val="en-US" w:eastAsia="zh-CN"/>
        </w:rPr>
        <w:t>秀</w:t>
      </w:r>
      <w:r>
        <w:rPr>
          <w:rFonts w:hint="eastAsia" w:ascii="仿宋_GB2312" w:hAnsi="仿宋_GB2312" w:eastAsia="仿宋_GB2312" w:cs="仿宋_GB2312"/>
          <w:color w:val="auto"/>
          <w:sz w:val="32"/>
          <w:szCs w:val="32"/>
          <w:highlight w:val="none"/>
        </w:rPr>
        <w:t>”项</w:t>
      </w:r>
      <w:r>
        <w:rPr>
          <w:rFonts w:hint="eastAsia" w:ascii="仿宋_GB2312" w:hAnsi="仿宋_GB2312" w:eastAsia="仿宋_GB2312" w:cs="仿宋_GB2312"/>
          <w:color w:val="auto"/>
          <w:sz w:val="32"/>
          <w:szCs w:val="32"/>
          <w:highlight w:val="none"/>
          <w:lang w:val="en-US" w:eastAsia="zh-CN"/>
        </w:rPr>
        <w:t>121</w:t>
      </w:r>
      <w:r>
        <w:rPr>
          <w:rFonts w:hint="eastAsia" w:ascii="仿宋_GB2312" w:hAnsi="仿宋_GB2312" w:eastAsia="仿宋_GB2312" w:cs="仿宋_GB2312"/>
          <w:color w:val="auto"/>
          <w:sz w:val="32"/>
          <w:szCs w:val="32"/>
          <w:highlight w:val="none"/>
        </w:rPr>
        <w:t>个，评优率为</w:t>
      </w:r>
      <w:r>
        <w:rPr>
          <w:rFonts w:hint="eastAsia" w:ascii="仿宋_GB2312" w:hAnsi="仿宋_GB2312" w:eastAsia="仿宋_GB2312" w:cs="仿宋_GB2312"/>
          <w:color w:val="auto"/>
          <w:sz w:val="32"/>
          <w:szCs w:val="32"/>
          <w:highlight w:val="none"/>
          <w:lang w:val="en-US" w:eastAsia="zh-CN"/>
        </w:rPr>
        <w:t>93.8</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 w:eastAsia="仿宋_GB2312"/>
          <w:color w:val="auto"/>
          <w:sz w:val="32"/>
          <w:szCs w:val="32"/>
          <w:highlight w:val="none"/>
          <w:lang w:val="en-US" w:eastAsia="zh-CN"/>
        </w:rPr>
        <w:t>良好</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良</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0</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 w:eastAsia="仿宋_GB2312"/>
          <w:color w:val="auto"/>
          <w:sz w:val="32"/>
          <w:szCs w:val="32"/>
          <w:highlight w:val="none"/>
          <w:lang w:val="en-US" w:eastAsia="zh-CN"/>
        </w:rPr>
        <w:t>一般</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价</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_GB2312" w:eastAsia="仿宋_GB2312" w:cs="仿宋_GB2312"/>
          <w:color w:val="auto"/>
          <w:sz w:val="32"/>
          <w:szCs w:val="32"/>
          <w:highlight w:val="none"/>
          <w:lang w:val="en-US" w:eastAsia="zh-CN"/>
        </w:rPr>
        <w:t>较差</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价</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较差的项目是因为机构改革，部分项目不在实施。</w:t>
      </w:r>
      <w:r>
        <w:rPr>
          <w:rFonts w:hint="eastAsia" w:ascii="仿宋_GB2312" w:hAnsi="仿宋_GB2312" w:eastAsia="仿宋_GB2312" w:cs="仿宋_GB2312"/>
          <w:color w:val="auto"/>
          <w:sz w:val="32"/>
          <w:szCs w:val="32"/>
          <w:highlight w:val="none"/>
          <w:lang w:val="en-US" w:eastAsia="zh-CN"/>
        </w:rPr>
        <w:t>总</w:t>
      </w:r>
      <w:r>
        <w:rPr>
          <w:rFonts w:hint="eastAsia" w:ascii="仿宋_GB2312" w:eastAsia="仿宋_GB2312" w:cs="仿宋_GB2312"/>
          <w:color w:val="auto"/>
          <w:kern w:val="0"/>
          <w:sz w:val="32"/>
          <w:szCs w:val="32"/>
          <w:highlight w:val="none"/>
          <w:lang w:eastAsia="zh-CN"/>
        </w:rPr>
        <w:t>体来说，</w:t>
      </w:r>
      <w:r>
        <w:rPr>
          <w:rFonts w:hint="eastAsia" w:ascii="仿宋_GB2312" w:eastAsia="仿宋_GB2312" w:cs="仿宋_GB2312"/>
          <w:color w:val="auto"/>
          <w:kern w:val="0"/>
          <w:sz w:val="32"/>
          <w:szCs w:val="32"/>
          <w:highlight w:val="none"/>
          <w:lang w:val="en-US" w:eastAsia="zh-CN"/>
        </w:rPr>
        <w:t>我单位</w:t>
      </w:r>
      <w:r>
        <w:rPr>
          <w:rFonts w:hint="eastAsia" w:ascii="仿宋_GB2312" w:eastAsia="仿宋_GB2312" w:cs="仿宋_GB2312"/>
          <w:color w:val="auto"/>
          <w:kern w:val="0"/>
          <w:sz w:val="32"/>
          <w:szCs w:val="32"/>
          <w:highlight w:val="none"/>
        </w:rPr>
        <w:t>资金到位，使用合规。资金</w:t>
      </w:r>
      <w:r>
        <w:rPr>
          <w:rFonts w:hint="eastAsia" w:ascii="仿宋_GB2312" w:eastAsia="仿宋_GB2312" w:cs="仿宋_GB2312"/>
          <w:color w:val="auto"/>
          <w:kern w:val="0"/>
          <w:sz w:val="32"/>
          <w:szCs w:val="32"/>
          <w:highlight w:val="none"/>
          <w:lang w:val="en-US" w:eastAsia="zh-CN"/>
        </w:rPr>
        <w:t>支付</w:t>
      </w:r>
      <w:r>
        <w:rPr>
          <w:rFonts w:hint="eastAsia" w:ascii="仿宋_GB2312" w:eastAsia="仿宋_GB2312" w:cs="仿宋_GB2312"/>
          <w:color w:val="auto"/>
          <w:kern w:val="0"/>
          <w:sz w:val="32"/>
          <w:szCs w:val="32"/>
          <w:highlight w:val="none"/>
        </w:rPr>
        <w:t>从申请、审核、审查、审批到最后</w:t>
      </w:r>
      <w:r>
        <w:rPr>
          <w:rFonts w:hint="eastAsia" w:ascii="仿宋_GB2312" w:eastAsia="仿宋_GB2312" w:cs="仿宋_GB2312"/>
          <w:color w:val="auto"/>
          <w:kern w:val="0"/>
          <w:sz w:val="32"/>
          <w:szCs w:val="32"/>
          <w:highlight w:val="none"/>
          <w:lang w:val="en-US" w:eastAsia="zh-CN"/>
        </w:rPr>
        <w:t>支出</w:t>
      </w:r>
      <w:r>
        <w:rPr>
          <w:rFonts w:hint="eastAsia" w:ascii="仿宋_GB2312" w:eastAsia="仿宋_GB2312" w:cs="仿宋_GB2312"/>
          <w:color w:val="auto"/>
          <w:kern w:val="0"/>
          <w:sz w:val="32"/>
          <w:szCs w:val="32"/>
          <w:highlight w:val="none"/>
        </w:rPr>
        <w:t>都</w:t>
      </w:r>
      <w:r>
        <w:rPr>
          <w:rFonts w:hint="eastAsia" w:ascii="仿宋_GB2312" w:eastAsia="仿宋_GB2312" w:cs="仿宋_GB2312"/>
          <w:color w:val="auto"/>
          <w:kern w:val="0"/>
          <w:sz w:val="32"/>
          <w:szCs w:val="32"/>
          <w:highlight w:val="none"/>
          <w:lang w:val="en-US" w:eastAsia="zh-CN"/>
        </w:rPr>
        <w:t>按照</w:t>
      </w:r>
      <w:r>
        <w:rPr>
          <w:rFonts w:hint="eastAsia" w:ascii="仿宋_GB2312" w:eastAsia="仿宋_GB2312" w:cs="仿宋_GB2312"/>
          <w:color w:val="auto"/>
          <w:kern w:val="0"/>
          <w:sz w:val="32"/>
          <w:szCs w:val="32"/>
          <w:highlight w:val="none"/>
        </w:rPr>
        <w:t>相关财政政策实施，使用符合财务管理规定。</w:t>
      </w:r>
      <w:r>
        <w:rPr>
          <w:rFonts w:hint="eastAsia" w:ascii="仿宋" w:hAnsi="仿宋" w:eastAsia="仿宋" w:cs="仿宋"/>
          <w:color w:val="auto"/>
          <w:sz w:val="32"/>
          <w:szCs w:val="32"/>
          <w:highlight w:val="none"/>
        </w:rPr>
        <w:t>我</w:t>
      </w:r>
      <w:r>
        <w:rPr>
          <w:rFonts w:hint="eastAsia" w:ascii="仿宋" w:hAnsi="仿宋" w:eastAsia="仿宋" w:cs="仿宋"/>
          <w:color w:val="auto"/>
          <w:sz w:val="32"/>
          <w:szCs w:val="32"/>
          <w:highlight w:val="none"/>
          <w:lang w:val="en-US" w:eastAsia="zh-CN"/>
        </w:rPr>
        <w:t>部门</w:t>
      </w:r>
      <w:r>
        <w:rPr>
          <w:rFonts w:hint="eastAsia" w:ascii="仿宋" w:hAnsi="仿宋" w:eastAsia="仿宋"/>
          <w:color w:val="auto"/>
          <w:sz w:val="32"/>
          <w:szCs w:val="32"/>
          <w:highlight w:val="none"/>
        </w:rPr>
        <w:t>综合绩效评价</w:t>
      </w:r>
      <w:r>
        <w:rPr>
          <w:rFonts w:hint="eastAsia" w:ascii="仿宋" w:hAnsi="仿宋" w:eastAsia="仿宋"/>
          <w:color w:val="auto"/>
          <w:sz w:val="32"/>
          <w:szCs w:val="32"/>
          <w:highlight w:val="none"/>
          <w:lang w:val="en-US" w:eastAsia="zh-CN"/>
        </w:rPr>
        <w:t>得分</w:t>
      </w:r>
      <w:r>
        <w:rPr>
          <w:rFonts w:hint="eastAsia" w:ascii="仿宋_GB2312" w:eastAsia="仿宋_GB2312" w:cs="仿宋_GB2312"/>
          <w:color w:val="auto"/>
          <w:kern w:val="0"/>
          <w:sz w:val="32"/>
          <w:szCs w:val="32"/>
          <w:highlight w:val="none"/>
          <w:lang w:val="en-US" w:eastAsia="zh-CN"/>
        </w:rPr>
        <w:t>86，</w:t>
      </w:r>
      <w:r>
        <w:rPr>
          <w:rFonts w:hint="eastAsia" w:ascii="仿宋" w:hAnsi="仿宋" w:eastAsia="仿宋" w:cs="仿宋"/>
          <w:color w:val="auto"/>
          <w:sz w:val="32"/>
          <w:szCs w:val="32"/>
          <w:highlight w:val="none"/>
        </w:rPr>
        <w:t>为优秀等次。</w:t>
      </w:r>
    </w:p>
    <w:p w14:paraId="2D62AEF9">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357EF145">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502A4EF8">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jc w:val="both"/>
        <w:textAlignment w:val="baseline"/>
        <w:rPr>
          <w:rFonts w:hint="eastAsia" w:ascii="仿宋" w:hAnsi="仿宋" w:eastAsia="仿宋"/>
          <w:b/>
          <w:bCs/>
          <w:sz w:val="32"/>
          <w:szCs w:val="32"/>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14:paraId="650ECA4C">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14:paraId="42F831DB">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14:paraId="7A6E4525">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14:paraId="77450638">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5A99274A">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593E287C">
      <w:pPr>
        <w:pStyle w:val="15"/>
        <w:jc w:val="both"/>
        <w:rPr>
          <w:rFonts w:hint="eastAsia" w:ascii="仿宋" w:hAnsi="仿宋" w:eastAsia="仿宋"/>
          <w:b/>
          <w:bCs/>
          <w:sz w:val="32"/>
          <w:szCs w:val="32"/>
        </w:rPr>
      </w:pPr>
      <w:r>
        <w:rPr>
          <w:rFonts w:hint="eastAsia" w:ascii="仿宋" w:hAnsi="仿宋" w:eastAsia="仿宋" w:cs="黑体"/>
          <w:kern w:val="2"/>
          <w:sz w:val="32"/>
          <w:szCs w:val="32"/>
          <w:lang w:val="en-US" w:eastAsia="zh-CN" w:bidi="ar-SA"/>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F32D31D">
      <w:pPr>
        <w:widowControl w:val="0"/>
        <w:wordWrap/>
        <w:adjustRightInd w:val="0"/>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w:t>
      </w:r>
    </w:p>
    <w:p w14:paraId="485D80AE">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p>
    <w:p w14:paraId="34473284">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p w14:paraId="671052C1">
      <w:pPr>
        <w:widowControl w:val="0"/>
        <w:wordWrap/>
        <w:spacing w:line="560" w:lineRule="exact"/>
        <w:ind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卢火青  区城市管理综合执法大队大队长 </w:t>
      </w:r>
    </w:p>
    <w:p w14:paraId="788EC6E7">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曹  扬  区城市管理综合执法大队办公室负责人</w:t>
      </w:r>
    </w:p>
    <w:p w14:paraId="63FD1146">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白日明  区城市管理综合执法大队市容维护股负责人</w:t>
      </w:r>
    </w:p>
    <w:p w14:paraId="4445C46B">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张少春  区城市管理综合执法大队渣土股负责人</w:t>
      </w:r>
    </w:p>
    <w:p w14:paraId="58D33E77">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杜晓玲  区城镇服务管理中心负责人</w:t>
      </w:r>
    </w:p>
    <w:p w14:paraId="26AFC79E">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李  博  区环境卫生管护中心负责人</w:t>
      </w:r>
    </w:p>
    <w:p w14:paraId="6FED1C2F">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杜子维  区城乡卫生管护中心负责人</w:t>
      </w:r>
    </w:p>
    <w:p w14:paraId="2393C6F5">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苗亚斌  城市管理综合执法大队执法股负责人</w:t>
      </w:r>
    </w:p>
    <w:p w14:paraId="4F297944">
      <w:pPr>
        <w:bidi w:val="0"/>
        <w:rPr>
          <w:rFonts w:hint="eastAsia" w:ascii="Calibri" w:hAnsi="Calibri" w:eastAsia="宋体" w:cs="黑体"/>
          <w:kern w:val="2"/>
          <w:sz w:val="21"/>
          <w:szCs w:val="22"/>
          <w:lang w:val="en-US" w:eastAsia="zh-CN" w:bidi="ar-SA"/>
        </w:rPr>
      </w:pPr>
    </w:p>
    <w:p w14:paraId="1231A3FD">
      <w:pPr>
        <w:bidi w:val="0"/>
        <w:rPr>
          <w:rFonts w:hint="eastAsia"/>
          <w:lang w:val="en-US" w:eastAsia="zh-CN"/>
        </w:rPr>
      </w:pPr>
    </w:p>
    <w:p w14:paraId="47C1E930">
      <w:pPr>
        <w:bidi w:val="0"/>
        <w:rPr>
          <w:rFonts w:hint="eastAsia"/>
          <w:lang w:val="en-US" w:eastAsia="zh-CN"/>
        </w:rPr>
      </w:pPr>
    </w:p>
    <w:p w14:paraId="31A65A63">
      <w:pPr>
        <w:bidi w:val="0"/>
        <w:rPr>
          <w:rFonts w:hint="eastAsia"/>
          <w:lang w:val="en-US" w:eastAsia="zh-CN"/>
        </w:rPr>
      </w:pPr>
    </w:p>
    <w:p w14:paraId="56C304AD">
      <w:pPr>
        <w:bidi w:val="0"/>
        <w:rPr>
          <w:rFonts w:hint="eastAsia"/>
          <w:lang w:val="en-US" w:eastAsia="zh-CN"/>
        </w:rPr>
      </w:pPr>
    </w:p>
    <w:p w14:paraId="387EFF3F">
      <w:pPr>
        <w:bidi w:val="0"/>
        <w:rPr>
          <w:rFonts w:hint="eastAsia"/>
          <w:lang w:val="en-US" w:eastAsia="zh-CN"/>
        </w:rPr>
      </w:pPr>
    </w:p>
    <w:p w14:paraId="4747215E">
      <w:pPr>
        <w:bidi w:val="0"/>
        <w:rPr>
          <w:rFonts w:hint="eastAsia"/>
          <w:lang w:val="en-US" w:eastAsia="zh-CN"/>
        </w:rPr>
      </w:pPr>
    </w:p>
    <w:p w14:paraId="590D1768">
      <w:pPr>
        <w:bidi w:val="0"/>
        <w:rPr>
          <w:rFonts w:hint="default"/>
          <w:lang w:val="en-US" w:eastAsia="zh-CN"/>
        </w:rPr>
      </w:pPr>
      <w:r>
        <w:rPr>
          <w:rFonts w:hint="eastAsia"/>
          <w:lang w:val="en-US" w:eastAsia="zh-CN"/>
        </w:rPr>
        <w:t xml:space="preserve"> </w:t>
      </w:r>
    </w:p>
    <w:p w14:paraId="0E081AAB">
      <w:pPr>
        <w:bidi w:val="0"/>
        <w:rPr>
          <w:rFonts w:hint="eastAsia"/>
          <w:lang w:val="en-US" w:eastAsia="zh-CN"/>
        </w:rPr>
      </w:pPr>
    </w:p>
    <w:p w14:paraId="0062457A">
      <w:pPr>
        <w:bidi w:val="0"/>
        <w:rPr>
          <w:rFonts w:hint="eastAsia"/>
          <w:lang w:val="en-US" w:eastAsia="zh-CN"/>
        </w:rPr>
      </w:pPr>
    </w:p>
    <w:p w14:paraId="60331610">
      <w:pPr>
        <w:widowControl w:val="0"/>
        <w:wordWrap/>
        <w:spacing w:line="560" w:lineRule="exact"/>
        <w:ind w:left="0" w:leftChars="0"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2025年4月29日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5CFF3">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1C09A9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1C09A9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30"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7E4B8A6"/>
    <w:multiLevelType w:val="singleLevel"/>
    <w:tmpl w:val="77E4B8A6"/>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EBD2122"/>
    <w:rsid w:val="002A1AF8"/>
    <w:rsid w:val="00327C15"/>
    <w:rsid w:val="007E6C1F"/>
    <w:rsid w:val="008E0C60"/>
    <w:rsid w:val="00AF566A"/>
    <w:rsid w:val="00B6553A"/>
    <w:rsid w:val="00D8661A"/>
    <w:rsid w:val="015B7D34"/>
    <w:rsid w:val="01AC7A3C"/>
    <w:rsid w:val="01B104CA"/>
    <w:rsid w:val="02015179"/>
    <w:rsid w:val="02084511"/>
    <w:rsid w:val="02106AB0"/>
    <w:rsid w:val="02B43A28"/>
    <w:rsid w:val="040422FA"/>
    <w:rsid w:val="0405748B"/>
    <w:rsid w:val="04090D29"/>
    <w:rsid w:val="046F331E"/>
    <w:rsid w:val="052D4EEB"/>
    <w:rsid w:val="05504736"/>
    <w:rsid w:val="05D8304A"/>
    <w:rsid w:val="061B7444"/>
    <w:rsid w:val="06487227"/>
    <w:rsid w:val="06ED64DB"/>
    <w:rsid w:val="07060306"/>
    <w:rsid w:val="07956271"/>
    <w:rsid w:val="07990616"/>
    <w:rsid w:val="0875181E"/>
    <w:rsid w:val="08B651F8"/>
    <w:rsid w:val="08C47915"/>
    <w:rsid w:val="097035F9"/>
    <w:rsid w:val="09721397"/>
    <w:rsid w:val="097F55EA"/>
    <w:rsid w:val="09D65B51"/>
    <w:rsid w:val="0A5F5B47"/>
    <w:rsid w:val="0A8E01DA"/>
    <w:rsid w:val="0AD55E09"/>
    <w:rsid w:val="0AE75B3C"/>
    <w:rsid w:val="0AF049F1"/>
    <w:rsid w:val="0B3D575C"/>
    <w:rsid w:val="0B4F3FBF"/>
    <w:rsid w:val="0B762CFB"/>
    <w:rsid w:val="0B9D6DBB"/>
    <w:rsid w:val="0BB63BED"/>
    <w:rsid w:val="0CBF0B1F"/>
    <w:rsid w:val="0CCD48BE"/>
    <w:rsid w:val="0D240982"/>
    <w:rsid w:val="0D862767"/>
    <w:rsid w:val="0EB97A43"/>
    <w:rsid w:val="0EBD2122"/>
    <w:rsid w:val="0EFD592E"/>
    <w:rsid w:val="0F214EAE"/>
    <w:rsid w:val="0F271333"/>
    <w:rsid w:val="0F39623B"/>
    <w:rsid w:val="0F484C3C"/>
    <w:rsid w:val="0F621C35"/>
    <w:rsid w:val="0F9A13CF"/>
    <w:rsid w:val="0FE952E2"/>
    <w:rsid w:val="10EC7A09"/>
    <w:rsid w:val="11B71E6A"/>
    <w:rsid w:val="13482EF0"/>
    <w:rsid w:val="135B70C7"/>
    <w:rsid w:val="13A80C45"/>
    <w:rsid w:val="140519A8"/>
    <w:rsid w:val="14213E6D"/>
    <w:rsid w:val="14EB7FD7"/>
    <w:rsid w:val="150B04AE"/>
    <w:rsid w:val="165F2A2B"/>
    <w:rsid w:val="16647159"/>
    <w:rsid w:val="167C182F"/>
    <w:rsid w:val="16DE4297"/>
    <w:rsid w:val="175B1444"/>
    <w:rsid w:val="17D80170"/>
    <w:rsid w:val="17DB2585"/>
    <w:rsid w:val="18611220"/>
    <w:rsid w:val="189310B2"/>
    <w:rsid w:val="189E4FA8"/>
    <w:rsid w:val="194242C9"/>
    <w:rsid w:val="19B906A4"/>
    <w:rsid w:val="1A367BC4"/>
    <w:rsid w:val="1A69031C"/>
    <w:rsid w:val="1AAF0063"/>
    <w:rsid w:val="1BAB226E"/>
    <w:rsid w:val="1BE140DE"/>
    <w:rsid w:val="1E2403A5"/>
    <w:rsid w:val="1E5519DC"/>
    <w:rsid w:val="1EDB6610"/>
    <w:rsid w:val="1EDF1969"/>
    <w:rsid w:val="1FC009DE"/>
    <w:rsid w:val="1FF97A4C"/>
    <w:rsid w:val="208E4638"/>
    <w:rsid w:val="20E57935"/>
    <w:rsid w:val="212E7BC9"/>
    <w:rsid w:val="21374CD0"/>
    <w:rsid w:val="2197751D"/>
    <w:rsid w:val="22350AE4"/>
    <w:rsid w:val="22E627AE"/>
    <w:rsid w:val="23160915"/>
    <w:rsid w:val="23256DAA"/>
    <w:rsid w:val="23356FED"/>
    <w:rsid w:val="234A6F0A"/>
    <w:rsid w:val="235D4796"/>
    <w:rsid w:val="2369111C"/>
    <w:rsid w:val="237A0EA4"/>
    <w:rsid w:val="238B17CB"/>
    <w:rsid w:val="238F3497"/>
    <w:rsid w:val="24596D0B"/>
    <w:rsid w:val="248C197D"/>
    <w:rsid w:val="252959AF"/>
    <w:rsid w:val="254774AC"/>
    <w:rsid w:val="25DC4098"/>
    <w:rsid w:val="25E568FD"/>
    <w:rsid w:val="277A6671"/>
    <w:rsid w:val="27C668CE"/>
    <w:rsid w:val="292D35B7"/>
    <w:rsid w:val="2A594280"/>
    <w:rsid w:val="2BD80E5D"/>
    <w:rsid w:val="2C547BE2"/>
    <w:rsid w:val="2CA945A8"/>
    <w:rsid w:val="2CEE05BC"/>
    <w:rsid w:val="2D8527AF"/>
    <w:rsid w:val="2D9779C4"/>
    <w:rsid w:val="2E60513A"/>
    <w:rsid w:val="2E840E29"/>
    <w:rsid w:val="2EAC037F"/>
    <w:rsid w:val="303E4D2C"/>
    <w:rsid w:val="31386792"/>
    <w:rsid w:val="31650ED2"/>
    <w:rsid w:val="31797E91"/>
    <w:rsid w:val="31AA79F6"/>
    <w:rsid w:val="31AD0696"/>
    <w:rsid w:val="323D7C6C"/>
    <w:rsid w:val="32D73DD4"/>
    <w:rsid w:val="32ED3FF6"/>
    <w:rsid w:val="33830D44"/>
    <w:rsid w:val="33B4169A"/>
    <w:rsid w:val="33EB6CFF"/>
    <w:rsid w:val="34060532"/>
    <w:rsid w:val="343E1AF4"/>
    <w:rsid w:val="34A5508A"/>
    <w:rsid w:val="359B1A8F"/>
    <w:rsid w:val="35A12947"/>
    <w:rsid w:val="35D73F34"/>
    <w:rsid w:val="360B1E2F"/>
    <w:rsid w:val="368A71F8"/>
    <w:rsid w:val="36AA789A"/>
    <w:rsid w:val="371B6954"/>
    <w:rsid w:val="37387040"/>
    <w:rsid w:val="38290817"/>
    <w:rsid w:val="38712BDA"/>
    <w:rsid w:val="39091573"/>
    <w:rsid w:val="39C649EB"/>
    <w:rsid w:val="3A304D85"/>
    <w:rsid w:val="3A9248CD"/>
    <w:rsid w:val="3ACA4067"/>
    <w:rsid w:val="3ADB5F75"/>
    <w:rsid w:val="3B625C0A"/>
    <w:rsid w:val="3B7F4E52"/>
    <w:rsid w:val="3BD72D16"/>
    <w:rsid w:val="3BDD7DCA"/>
    <w:rsid w:val="3BF82E56"/>
    <w:rsid w:val="3C6329C5"/>
    <w:rsid w:val="3CEE1963"/>
    <w:rsid w:val="3CF14896"/>
    <w:rsid w:val="3D255ECD"/>
    <w:rsid w:val="3D2A34E3"/>
    <w:rsid w:val="3D3341E9"/>
    <w:rsid w:val="3D453E79"/>
    <w:rsid w:val="3D7326BC"/>
    <w:rsid w:val="3EF43DA9"/>
    <w:rsid w:val="3FAE669F"/>
    <w:rsid w:val="408C61C9"/>
    <w:rsid w:val="40907B01"/>
    <w:rsid w:val="40B76E3C"/>
    <w:rsid w:val="41794E5C"/>
    <w:rsid w:val="42562684"/>
    <w:rsid w:val="425E25A2"/>
    <w:rsid w:val="42AD6748"/>
    <w:rsid w:val="42F8373B"/>
    <w:rsid w:val="430A50D7"/>
    <w:rsid w:val="4348021F"/>
    <w:rsid w:val="444255B6"/>
    <w:rsid w:val="44A1408B"/>
    <w:rsid w:val="44F610D5"/>
    <w:rsid w:val="45F16F70"/>
    <w:rsid w:val="45F91CA4"/>
    <w:rsid w:val="46F3302B"/>
    <w:rsid w:val="47940AD4"/>
    <w:rsid w:val="48875B82"/>
    <w:rsid w:val="49802A68"/>
    <w:rsid w:val="499D1898"/>
    <w:rsid w:val="49F41101"/>
    <w:rsid w:val="4A5945B0"/>
    <w:rsid w:val="4B3C22C5"/>
    <w:rsid w:val="4B6226D4"/>
    <w:rsid w:val="4B6776B0"/>
    <w:rsid w:val="4BF47196"/>
    <w:rsid w:val="4C577725"/>
    <w:rsid w:val="4C7E4CB1"/>
    <w:rsid w:val="4C83051A"/>
    <w:rsid w:val="4C854292"/>
    <w:rsid w:val="4C9C27FE"/>
    <w:rsid w:val="4CFD68C7"/>
    <w:rsid w:val="4D0618B7"/>
    <w:rsid w:val="4DAC04FB"/>
    <w:rsid w:val="4DC4528E"/>
    <w:rsid w:val="4E1753BE"/>
    <w:rsid w:val="4E597784"/>
    <w:rsid w:val="4EAB5A92"/>
    <w:rsid w:val="4F012458"/>
    <w:rsid w:val="4F1F09CE"/>
    <w:rsid w:val="4F2F6737"/>
    <w:rsid w:val="4F4A63AC"/>
    <w:rsid w:val="4F754A92"/>
    <w:rsid w:val="4F8B5CB3"/>
    <w:rsid w:val="4F932C30"/>
    <w:rsid w:val="4FE85264"/>
    <w:rsid w:val="50B43398"/>
    <w:rsid w:val="512260B4"/>
    <w:rsid w:val="526F57C8"/>
    <w:rsid w:val="527032EE"/>
    <w:rsid w:val="52BD6ACB"/>
    <w:rsid w:val="52DD71A3"/>
    <w:rsid w:val="536307AB"/>
    <w:rsid w:val="538434F5"/>
    <w:rsid w:val="53D22211"/>
    <w:rsid w:val="543E2E99"/>
    <w:rsid w:val="54C97AC2"/>
    <w:rsid w:val="550467E4"/>
    <w:rsid w:val="55537534"/>
    <w:rsid w:val="555F106D"/>
    <w:rsid w:val="556A671B"/>
    <w:rsid w:val="55C61934"/>
    <w:rsid w:val="56024BA5"/>
    <w:rsid w:val="561A74F1"/>
    <w:rsid w:val="56660C3A"/>
    <w:rsid w:val="571A2823"/>
    <w:rsid w:val="57666F12"/>
    <w:rsid w:val="58156E12"/>
    <w:rsid w:val="58584F50"/>
    <w:rsid w:val="58A957AC"/>
    <w:rsid w:val="58D77C23"/>
    <w:rsid w:val="597244E8"/>
    <w:rsid w:val="59743C4A"/>
    <w:rsid w:val="5987789B"/>
    <w:rsid w:val="59A6630F"/>
    <w:rsid w:val="59E412A7"/>
    <w:rsid w:val="5A0E009E"/>
    <w:rsid w:val="5A2A2324"/>
    <w:rsid w:val="5B37709F"/>
    <w:rsid w:val="5B4F13DC"/>
    <w:rsid w:val="5BB035BF"/>
    <w:rsid w:val="5BB2049C"/>
    <w:rsid w:val="5C007491"/>
    <w:rsid w:val="5D0C00B7"/>
    <w:rsid w:val="5D7E59E4"/>
    <w:rsid w:val="5DE40447"/>
    <w:rsid w:val="5EA52305"/>
    <w:rsid w:val="5EB71C30"/>
    <w:rsid w:val="5F230066"/>
    <w:rsid w:val="5F393A8D"/>
    <w:rsid w:val="5F3A53B0"/>
    <w:rsid w:val="5FF4730D"/>
    <w:rsid w:val="600A4D82"/>
    <w:rsid w:val="606244F2"/>
    <w:rsid w:val="618E35B8"/>
    <w:rsid w:val="61C63C89"/>
    <w:rsid w:val="624A7A12"/>
    <w:rsid w:val="62B1691A"/>
    <w:rsid w:val="62DD22DA"/>
    <w:rsid w:val="6300246C"/>
    <w:rsid w:val="63901A42"/>
    <w:rsid w:val="64022AFF"/>
    <w:rsid w:val="64CD26C7"/>
    <w:rsid w:val="654C1999"/>
    <w:rsid w:val="65895139"/>
    <w:rsid w:val="65F20792"/>
    <w:rsid w:val="66067D9A"/>
    <w:rsid w:val="66A03D4A"/>
    <w:rsid w:val="66AF0CE5"/>
    <w:rsid w:val="671D183F"/>
    <w:rsid w:val="67EC1211"/>
    <w:rsid w:val="683F7593"/>
    <w:rsid w:val="685C0145"/>
    <w:rsid w:val="68EB7ABC"/>
    <w:rsid w:val="699102C2"/>
    <w:rsid w:val="699403F0"/>
    <w:rsid w:val="6A470981"/>
    <w:rsid w:val="6A837C0B"/>
    <w:rsid w:val="6AC537CF"/>
    <w:rsid w:val="6AD229EA"/>
    <w:rsid w:val="6B5C05F4"/>
    <w:rsid w:val="6C2E004A"/>
    <w:rsid w:val="6C9854C4"/>
    <w:rsid w:val="6D57712D"/>
    <w:rsid w:val="6E42258C"/>
    <w:rsid w:val="6E5B14A6"/>
    <w:rsid w:val="6E7D2BC3"/>
    <w:rsid w:val="6F4D6275"/>
    <w:rsid w:val="6F5778B8"/>
    <w:rsid w:val="711B255E"/>
    <w:rsid w:val="71557E27"/>
    <w:rsid w:val="71BD2F0F"/>
    <w:rsid w:val="71D60F68"/>
    <w:rsid w:val="72061263"/>
    <w:rsid w:val="72255A4C"/>
    <w:rsid w:val="7317199D"/>
    <w:rsid w:val="74406B6D"/>
    <w:rsid w:val="749E58B9"/>
    <w:rsid w:val="74E24654"/>
    <w:rsid w:val="7722255A"/>
    <w:rsid w:val="77CE3C71"/>
    <w:rsid w:val="78AA0A59"/>
    <w:rsid w:val="790068CB"/>
    <w:rsid w:val="792B62BB"/>
    <w:rsid w:val="7A106FE1"/>
    <w:rsid w:val="7A2621AB"/>
    <w:rsid w:val="7B60375F"/>
    <w:rsid w:val="7BA67BFD"/>
    <w:rsid w:val="7BB51E06"/>
    <w:rsid w:val="7C387F7C"/>
    <w:rsid w:val="7C471499"/>
    <w:rsid w:val="7CC320E9"/>
    <w:rsid w:val="7DE91C72"/>
    <w:rsid w:val="7E9A50CB"/>
    <w:rsid w:val="7EA45F4A"/>
    <w:rsid w:val="7FD36AE7"/>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ody Text"/>
    <w:basedOn w:val="1"/>
    <w:next w:val="1"/>
    <w:qFormat/>
    <w:uiPriority w:val="99"/>
    <w:pPr>
      <w:spacing w:line="400" w:lineRule="exact"/>
      <w:jc w:val="center"/>
    </w:pPr>
    <w:rPr>
      <w:sz w:val="24"/>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3"/>
    <w:qFormat/>
    <w:uiPriority w:val="0"/>
    <w:pPr>
      <w:ind w:firstLine="420"/>
    </w:pPr>
    <w:rPr>
      <w:rFonts w:ascii="Times New Roman" w:hAnsi="Times New Roman" w:eastAsia="宋体" w:cs="Times New Roman"/>
    </w:rPr>
  </w:style>
  <w:style w:type="table" w:styleId="9">
    <w:name w:val="Table Grid"/>
    <w:basedOn w:val="8"/>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6368</Words>
  <Characters>6657</Characters>
  <Lines>7</Lines>
  <Paragraphs>2</Paragraphs>
  <TotalTime>1608</TotalTime>
  <ScaleCrop>false</ScaleCrop>
  <LinksUpToDate>false</LinksUpToDate>
  <CharactersWithSpaces>6730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2024-04-24T09:33:00Z</cp:lastPrinted>
  <dcterms:modified xsi:type="dcterms:W3CDTF">2025-05-08T07:01:24Z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A0F2695490CD4B16A991011DB805B6B4_12</vt:lpwstr>
  </property>
  <property fmtid="{D5CDD505-2E9C-101B-9397-08002B2CF9AE}" pid="4" name="KSOTemplateDocerSaveRecord">
    <vt:lpwstr>eyJoZGlkIjoiMmJhMTE1ZTM4ODA0YTUyYWY5NmQ2ZTY0NTExYWU5MmUifQ==</vt:lpwstr>
  </property>
</Properties>
</file>