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一、中共石家庄市鹿泉区委政法委员会本级收支预算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一、中共石家庄市鹿泉区委政法委员会本级收支预算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1722.62</w:t>
            </w:r>
          </w:p>
        </w:tc>
        <w:tc>
          <w:tcPr>
            <w:tcW w:w="4535" w:type="dxa"/>
            <w:vAlign w:val="center"/>
          </w:tcPr>
          <w:p>
            <w:pPr>
              <w:pStyle w:val="12"/>
            </w:pPr>
            <w:r>
              <w:t>一、一般公共服务支出</w:t>
            </w:r>
          </w:p>
        </w:tc>
        <w:tc>
          <w:tcPr>
            <w:tcW w:w="2126" w:type="dxa"/>
            <w:vAlign w:val="center"/>
          </w:tcPr>
          <w:p>
            <w:pPr>
              <w:pStyle w:val="11"/>
            </w:pPr>
            <w:r>
              <w:t>1640.36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117.72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36.59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49.48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1722.62</w:t>
            </w:r>
          </w:p>
        </w:tc>
        <w:tc>
          <w:tcPr>
            <w:tcW w:w="4535" w:type="dxa"/>
            <w:vAlign w:val="center"/>
          </w:tcPr>
          <w:p>
            <w:pPr>
              <w:pStyle w:val="14"/>
            </w:pPr>
            <w:r>
              <w:t>本年支出合计</w:t>
            </w:r>
          </w:p>
        </w:tc>
        <w:tc>
          <w:tcPr>
            <w:tcW w:w="2126" w:type="dxa"/>
            <w:vAlign w:val="center"/>
          </w:tcPr>
          <w:p>
            <w:pPr>
              <w:pStyle w:val="15"/>
            </w:pPr>
            <w:r>
              <w:t>1844.15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121.53</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1844.15</w:t>
            </w:r>
          </w:p>
        </w:tc>
        <w:tc>
          <w:tcPr>
            <w:tcW w:w="4535" w:type="dxa"/>
            <w:vAlign w:val="center"/>
          </w:tcPr>
          <w:p>
            <w:pPr>
              <w:pStyle w:val="14"/>
            </w:pPr>
            <w:r>
              <w:t>支出总计</w:t>
            </w:r>
          </w:p>
        </w:tc>
        <w:tc>
          <w:tcPr>
            <w:tcW w:w="2126" w:type="dxa"/>
            <w:vAlign w:val="center"/>
          </w:tcPr>
          <w:p>
            <w:pPr>
              <w:pStyle w:val="15"/>
            </w:pPr>
            <w:r>
              <w:t>1844.15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1844.15</w:t>
            </w:r>
          </w:p>
        </w:tc>
        <w:tc>
          <w:tcPr>
            <w:tcW w:w="1134" w:type="dxa"/>
            <w:vAlign w:val="center"/>
          </w:tcPr>
          <w:p>
            <w:pPr>
              <w:pStyle w:val="15"/>
            </w:pPr>
            <w:r>
              <w:t>1722.62</w:t>
            </w:r>
          </w:p>
        </w:tc>
        <w:tc>
          <w:tcPr>
            <w:tcW w:w="1134" w:type="dxa"/>
            <w:vAlign w:val="center"/>
          </w:tcPr>
          <w:p>
            <w:pPr>
              <w:pStyle w:val="15"/>
            </w:pPr>
            <w:r>
              <w:t>1722.62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121.53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1640.36</w:t>
            </w:r>
          </w:p>
        </w:tc>
        <w:tc>
          <w:tcPr>
            <w:tcW w:w="1134" w:type="dxa"/>
            <w:vAlign w:val="center"/>
          </w:tcPr>
          <w:p>
            <w:pPr>
              <w:pStyle w:val="11"/>
            </w:pPr>
            <w:r>
              <w:t>1518.84</w:t>
            </w:r>
          </w:p>
        </w:tc>
        <w:tc>
          <w:tcPr>
            <w:tcW w:w="1134" w:type="dxa"/>
            <w:vAlign w:val="center"/>
          </w:tcPr>
          <w:p>
            <w:pPr>
              <w:pStyle w:val="11"/>
            </w:pPr>
            <w:r>
              <w:t>1518.84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121.53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1640.36</w:t>
            </w:r>
          </w:p>
        </w:tc>
        <w:tc>
          <w:tcPr>
            <w:tcW w:w="1134" w:type="dxa"/>
            <w:vAlign w:val="center"/>
          </w:tcPr>
          <w:p>
            <w:pPr>
              <w:pStyle w:val="11"/>
            </w:pPr>
            <w:r>
              <w:t>1518.84</w:t>
            </w:r>
          </w:p>
        </w:tc>
        <w:tc>
          <w:tcPr>
            <w:tcW w:w="1134" w:type="dxa"/>
            <w:vAlign w:val="center"/>
          </w:tcPr>
          <w:p>
            <w:pPr>
              <w:pStyle w:val="11"/>
            </w:pPr>
            <w:r>
              <w:t>1518.84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121.53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945.01</w:t>
            </w:r>
          </w:p>
        </w:tc>
        <w:tc>
          <w:tcPr>
            <w:tcW w:w="1134" w:type="dxa"/>
            <w:vAlign w:val="center"/>
          </w:tcPr>
          <w:p>
            <w:pPr>
              <w:pStyle w:val="11"/>
            </w:pPr>
            <w:r>
              <w:t>945.01</w:t>
            </w:r>
          </w:p>
        </w:tc>
        <w:tc>
          <w:tcPr>
            <w:tcW w:w="1134" w:type="dxa"/>
            <w:vAlign w:val="center"/>
          </w:tcPr>
          <w:p>
            <w:pPr>
              <w:pStyle w:val="11"/>
            </w:pPr>
            <w:r>
              <w:t>945.01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2013105</w:t>
            </w:r>
          </w:p>
        </w:tc>
        <w:tc>
          <w:tcPr>
            <w:tcW w:w="1559" w:type="dxa"/>
            <w:vAlign w:val="center"/>
          </w:tcPr>
          <w:p>
            <w:pPr>
              <w:pStyle w:val="12"/>
            </w:pPr>
            <w:r>
              <w:t>专项业务</w:t>
            </w:r>
          </w:p>
        </w:tc>
        <w:tc>
          <w:tcPr>
            <w:tcW w:w="1134" w:type="dxa"/>
            <w:vAlign w:val="center"/>
          </w:tcPr>
          <w:p>
            <w:pPr>
              <w:pStyle w:val="11"/>
            </w:pPr>
            <w:r>
              <w:t>695.36</w:t>
            </w:r>
          </w:p>
        </w:tc>
        <w:tc>
          <w:tcPr>
            <w:tcW w:w="1134" w:type="dxa"/>
            <w:vAlign w:val="center"/>
          </w:tcPr>
          <w:p>
            <w:pPr>
              <w:pStyle w:val="11"/>
            </w:pPr>
            <w:r>
              <w:t>573.83</w:t>
            </w:r>
          </w:p>
        </w:tc>
        <w:tc>
          <w:tcPr>
            <w:tcW w:w="1134" w:type="dxa"/>
            <w:vAlign w:val="center"/>
          </w:tcPr>
          <w:p>
            <w:pPr>
              <w:pStyle w:val="11"/>
            </w:pPr>
            <w:r>
              <w:t>573.83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121.53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117.72</w:t>
            </w:r>
          </w:p>
        </w:tc>
        <w:tc>
          <w:tcPr>
            <w:tcW w:w="1134" w:type="dxa"/>
            <w:vAlign w:val="center"/>
          </w:tcPr>
          <w:p>
            <w:pPr>
              <w:pStyle w:val="11"/>
            </w:pPr>
            <w:r>
              <w:t>117.72</w:t>
            </w:r>
          </w:p>
        </w:tc>
        <w:tc>
          <w:tcPr>
            <w:tcW w:w="1134" w:type="dxa"/>
            <w:vAlign w:val="center"/>
          </w:tcPr>
          <w:p>
            <w:pPr>
              <w:pStyle w:val="11"/>
            </w:pPr>
            <w:r>
              <w:t>117.72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106.26</w:t>
            </w:r>
          </w:p>
        </w:tc>
        <w:tc>
          <w:tcPr>
            <w:tcW w:w="1134" w:type="dxa"/>
            <w:vAlign w:val="center"/>
          </w:tcPr>
          <w:p>
            <w:pPr>
              <w:pStyle w:val="11"/>
            </w:pPr>
            <w:r>
              <w:t>106.26</w:t>
            </w:r>
          </w:p>
        </w:tc>
        <w:tc>
          <w:tcPr>
            <w:tcW w:w="1134" w:type="dxa"/>
            <w:vAlign w:val="center"/>
          </w:tcPr>
          <w:p>
            <w:pPr>
              <w:pStyle w:val="11"/>
            </w:pPr>
            <w:r>
              <w:t>106.26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55.27</w:t>
            </w:r>
          </w:p>
        </w:tc>
        <w:tc>
          <w:tcPr>
            <w:tcW w:w="1134" w:type="dxa"/>
            <w:vAlign w:val="center"/>
          </w:tcPr>
          <w:p>
            <w:pPr>
              <w:pStyle w:val="11"/>
            </w:pPr>
            <w:r>
              <w:t>55.27</w:t>
            </w:r>
          </w:p>
        </w:tc>
        <w:tc>
          <w:tcPr>
            <w:tcW w:w="1134" w:type="dxa"/>
            <w:vAlign w:val="center"/>
          </w:tcPr>
          <w:p>
            <w:pPr>
              <w:pStyle w:val="11"/>
            </w:pPr>
            <w:r>
              <w:t>55.27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50.99</w:t>
            </w:r>
          </w:p>
        </w:tc>
        <w:tc>
          <w:tcPr>
            <w:tcW w:w="1134" w:type="dxa"/>
            <w:vAlign w:val="center"/>
          </w:tcPr>
          <w:p>
            <w:pPr>
              <w:pStyle w:val="11"/>
            </w:pPr>
            <w:r>
              <w:t>50.99</w:t>
            </w:r>
          </w:p>
        </w:tc>
        <w:tc>
          <w:tcPr>
            <w:tcW w:w="1134" w:type="dxa"/>
            <w:vAlign w:val="center"/>
          </w:tcPr>
          <w:p>
            <w:pPr>
              <w:pStyle w:val="11"/>
            </w:pPr>
            <w:r>
              <w:t>50.99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11.46</w:t>
            </w:r>
          </w:p>
        </w:tc>
        <w:tc>
          <w:tcPr>
            <w:tcW w:w="1134" w:type="dxa"/>
            <w:vAlign w:val="center"/>
          </w:tcPr>
          <w:p>
            <w:pPr>
              <w:pStyle w:val="11"/>
            </w:pPr>
            <w:r>
              <w:t>11.46</w:t>
            </w:r>
          </w:p>
        </w:tc>
        <w:tc>
          <w:tcPr>
            <w:tcW w:w="1134" w:type="dxa"/>
            <w:vAlign w:val="center"/>
          </w:tcPr>
          <w:p>
            <w:pPr>
              <w:pStyle w:val="11"/>
            </w:pPr>
            <w:r>
              <w:t>11.46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11.46</w:t>
            </w:r>
          </w:p>
        </w:tc>
        <w:tc>
          <w:tcPr>
            <w:tcW w:w="1134" w:type="dxa"/>
            <w:vAlign w:val="center"/>
          </w:tcPr>
          <w:p>
            <w:pPr>
              <w:pStyle w:val="11"/>
            </w:pPr>
            <w:r>
              <w:t>11.46</w:t>
            </w:r>
          </w:p>
        </w:tc>
        <w:tc>
          <w:tcPr>
            <w:tcW w:w="1134" w:type="dxa"/>
            <w:vAlign w:val="center"/>
          </w:tcPr>
          <w:p>
            <w:pPr>
              <w:pStyle w:val="11"/>
            </w:pPr>
            <w:r>
              <w:t>11.46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36.59</w:t>
            </w:r>
          </w:p>
        </w:tc>
        <w:tc>
          <w:tcPr>
            <w:tcW w:w="1134" w:type="dxa"/>
            <w:vAlign w:val="center"/>
          </w:tcPr>
          <w:p>
            <w:pPr>
              <w:pStyle w:val="11"/>
            </w:pPr>
            <w:r>
              <w:t>36.59</w:t>
            </w:r>
          </w:p>
        </w:tc>
        <w:tc>
          <w:tcPr>
            <w:tcW w:w="1134" w:type="dxa"/>
            <w:vAlign w:val="center"/>
          </w:tcPr>
          <w:p>
            <w:pPr>
              <w:pStyle w:val="11"/>
            </w:pPr>
            <w:r>
              <w:t>36.59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36.59</w:t>
            </w:r>
          </w:p>
        </w:tc>
        <w:tc>
          <w:tcPr>
            <w:tcW w:w="1134" w:type="dxa"/>
            <w:vAlign w:val="center"/>
          </w:tcPr>
          <w:p>
            <w:pPr>
              <w:pStyle w:val="11"/>
            </w:pPr>
            <w:r>
              <w:t>36.59</w:t>
            </w:r>
          </w:p>
        </w:tc>
        <w:tc>
          <w:tcPr>
            <w:tcW w:w="1134" w:type="dxa"/>
            <w:vAlign w:val="center"/>
          </w:tcPr>
          <w:p>
            <w:pPr>
              <w:pStyle w:val="11"/>
            </w:pPr>
            <w:r>
              <w:t>36.59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36.59</w:t>
            </w:r>
          </w:p>
        </w:tc>
        <w:tc>
          <w:tcPr>
            <w:tcW w:w="1134" w:type="dxa"/>
            <w:vAlign w:val="center"/>
          </w:tcPr>
          <w:p>
            <w:pPr>
              <w:pStyle w:val="11"/>
            </w:pPr>
            <w:r>
              <w:t>36.59</w:t>
            </w:r>
          </w:p>
        </w:tc>
        <w:tc>
          <w:tcPr>
            <w:tcW w:w="1134" w:type="dxa"/>
            <w:vAlign w:val="center"/>
          </w:tcPr>
          <w:p>
            <w:pPr>
              <w:pStyle w:val="11"/>
            </w:pPr>
            <w:r>
              <w:t>36.59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49.48</w:t>
            </w:r>
          </w:p>
        </w:tc>
        <w:tc>
          <w:tcPr>
            <w:tcW w:w="1134" w:type="dxa"/>
            <w:vAlign w:val="center"/>
          </w:tcPr>
          <w:p>
            <w:pPr>
              <w:pStyle w:val="11"/>
            </w:pPr>
            <w:r>
              <w:t>49.48</w:t>
            </w:r>
          </w:p>
        </w:tc>
        <w:tc>
          <w:tcPr>
            <w:tcW w:w="1134" w:type="dxa"/>
            <w:vAlign w:val="center"/>
          </w:tcPr>
          <w:p>
            <w:pPr>
              <w:pStyle w:val="11"/>
            </w:pPr>
            <w:r>
              <w:t>49.48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49.48</w:t>
            </w:r>
          </w:p>
        </w:tc>
        <w:tc>
          <w:tcPr>
            <w:tcW w:w="1134" w:type="dxa"/>
            <w:vAlign w:val="center"/>
          </w:tcPr>
          <w:p>
            <w:pPr>
              <w:pStyle w:val="11"/>
            </w:pPr>
            <w:r>
              <w:t>49.48</w:t>
            </w:r>
          </w:p>
        </w:tc>
        <w:tc>
          <w:tcPr>
            <w:tcW w:w="1134" w:type="dxa"/>
            <w:vAlign w:val="center"/>
          </w:tcPr>
          <w:p>
            <w:pPr>
              <w:pStyle w:val="11"/>
            </w:pPr>
            <w:r>
              <w:t>49.48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49.48</w:t>
            </w:r>
          </w:p>
        </w:tc>
        <w:tc>
          <w:tcPr>
            <w:tcW w:w="1134" w:type="dxa"/>
            <w:vAlign w:val="center"/>
          </w:tcPr>
          <w:p>
            <w:pPr>
              <w:pStyle w:val="11"/>
            </w:pPr>
            <w:r>
              <w:t>49.48</w:t>
            </w:r>
          </w:p>
        </w:tc>
        <w:tc>
          <w:tcPr>
            <w:tcW w:w="1134" w:type="dxa"/>
            <w:vAlign w:val="center"/>
          </w:tcPr>
          <w:p>
            <w:pPr>
              <w:pStyle w:val="11"/>
            </w:pPr>
            <w:r>
              <w:t>49.48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1844.15</w:t>
            </w:r>
          </w:p>
        </w:tc>
        <w:tc>
          <w:tcPr>
            <w:tcW w:w="1361" w:type="dxa"/>
            <w:vAlign w:val="center"/>
          </w:tcPr>
          <w:p>
            <w:pPr>
              <w:pStyle w:val="15"/>
            </w:pPr>
            <w:r>
              <w:t>1137.33</w:t>
            </w:r>
          </w:p>
        </w:tc>
        <w:tc>
          <w:tcPr>
            <w:tcW w:w="1361" w:type="dxa"/>
            <w:vAlign w:val="center"/>
          </w:tcPr>
          <w:p>
            <w:pPr>
              <w:pStyle w:val="15"/>
            </w:pPr>
            <w:r>
              <w:t>706.82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1640.36</w:t>
            </w:r>
          </w:p>
        </w:tc>
        <w:tc>
          <w:tcPr>
            <w:tcW w:w="1361" w:type="dxa"/>
            <w:vAlign w:val="center"/>
          </w:tcPr>
          <w:p>
            <w:pPr>
              <w:pStyle w:val="11"/>
            </w:pPr>
            <w:r>
              <w:t>945.01</w:t>
            </w:r>
          </w:p>
        </w:tc>
        <w:tc>
          <w:tcPr>
            <w:tcW w:w="1361" w:type="dxa"/>
            <w:vAlign w:val="center"/>
          </w:tcPr>
          <w:p>
            <w:pPr>
              <w:pStyle w:val="11"/>
            </w:pPr>
            <w:r>
              <w:t>695.36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1640.36</w:t>
            </w:r>
          </w:p>
        </w:tc>
        <w:tc>
          <w:tcPr>
            <w:tcW w:w="1361" w:type="dxa"/>
            <w:vAlign w:val="center"/>
          </w:tcPr>
          <w:p>
            <w:pPr>
              <w:pStyle w:val="11"/>
            </w:pPr>
            <w:r>
              <w:t>945.01</w:t>
            </w:r>
          </w:p>
        </w:tc>
        <w:tc>
          <w:tcPr>
            <w:tcW w:w="1361" w:type="dxa"/>
            <w:vAlign w:val="center"/>
          </w:tcPr>
          <w:p>
            <w:pPr>
              <w:pStyle w:val="11"/>
            </w:pPr>
            <w:r>
              <w:t>695.36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945.01</w:t>
            </w:r>
          </w:p>
        </w:tc>
        <w:tc>
          <w:tcPr>
            <w:tcW w:w="1361" w:type="dxa"/>
            <w:vAlign w:val="center"/>
          </w:tcPr>
          <w:p>
            <w:pPr>
              <w:pStyle w:val="11"/>
            </w:pPr>
            <w:r>
              <w:t>945.01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2013105</w:t>
            </w:r>
          </w:p>
        </w:tc>
        <w:tc>
          <w:tcPr>
            <w:tcW w:w="4535" w:type="dxa"/>
            <w:vAlign w:val="center"/>
          </w:tcPr>
          <w:p>
            <w:pPr>
              <w:pStyle w:val="12"/>
            </w:pPr>
            <w:r>
              <w:t>专项业务</w:t>
            </w:r>
          </w:p>
        </w:tc>
        <w:tc>
          <w:tcPr>
            <w:tcW w:w="1361" w:type="dxa"/>
            <w:vAlign w:val="center"/>
          </w:tcPr>
          <w:p>
            <w:pPr>
              <w:pStyle w:val="11"/>
            </w:pPr>
            <w:r>
              <w:t>695.36</w:t>
            </w:r>
          </w:p>
        </w:tc>
        <w:tc>
          <w:tcPr>
            <w:tcW w:w="1361" w:type="dxa"/>
            <w:vAlign w:val="center"/>
          </w:tcPr>
          <w:p>
            <w:pPr>
              <w:pStyle w:val="11"/>
            </w:pPr>
          </w:p>
        </w:tc>
        <w:tc>
          <w:tcPr>
            <w:tcW w:w="1361" w:type="dxa"/>
            <w:vAlign w:val="center"/>
          </w:tcPr>
          <w:p>
            <w:pPr>
              <w:pStyle w:val="11"/>
            </w:pPr>
            <w:r>
              <w:t>695.36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117.72</w:t>
            </w:r>
          </w:p>
        </w:tc>
        <w:tc>
          <w:tcPr>
            <w:tcW w:w="1361" w:type="dxa"/>
            <w:vAlign w:val="center"/>
          </w:tcPr>
          <w:p>
            <w:pPr>
              <w:pStyle w:val="11"/>
            </w:pPr>
            <w:r>
              <w:t>106.26</w:t>
            </w:r>
          </w:p>
        </w:tc>
        <w:tc>
          <w:tcPr>
            <w:tcW w:w="1361" w:type="dxa"/>
            <w:vAlign w:val="center"/>
          </w:tcPr>
          <w:p>
            <w:pPr>
              <w:pStyle w:val="11"/>
            </w:pPr>
            <w:r>
              <w:t>11.46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106.26</w:t>
            </w:r>
          </w:p>
        </w:tc>
        <w:tc>
          <w:tcPr>
            <w:tcW w:w="1361" w:type="dxa"/>
            <w:vAlign w:val="center"/>
          </w:tcPr>
          <w:p>
            <w:pPr>
              <w:pStyle w:val="11"/>
            </w:pPr>
            <w:r>
              <w:t>106.26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55.27</w:t>
            </w:r>
          </w:p>
        </w:tc>
        <w:tc>
          <w:tcPr>
            <w:tcW w:w="1361" w:type="dxa"/>
            <w:vAlign w:val="center"/>
          </w:tcPr>
          <w:p>
            <w:pPr>
              <w:pStyle w:val="11"/>
            </w:pPr>
            <w:r>
              <w:t>55.27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50.99</w:t>
            </w:r>
          </w:p>
        </w:tc>
        <w:tc>
          <w:tcPr>
            <w:tcW w:w="1361" w:type="dxa"/>
            <w:vAlign w:val="center"/>
          </w:tcPr>
          <w:p>
            <w:pPr>
              <w:pStyle w:val="11"/>
            </w:pPr>
            <w:r>
              <w:t>50.99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11.46</w:t>
            </w:r>
          </w:p>
        </w:tc>
        <w:tc>
          <w:tcPr>
            <w:tcW w:w="1361" w:type="dxa"/>
            <w:vAlign w:val="center"/>
          </w:tcPr>
          <w:p>
            <w:pPr>
              <w:pStyle w:val="11"/>
            </w:pPr>
          </w:p>
        </w:tc>
        <w:tc>
          <w:tcPr>
            <w:tcW w:w="1361" w:type="dxa"/>
            <w:vAlign w:val="center"/>
          </w:tcPr>
          <w:p>
            <w:pPr>
              <w:pStyle w:val="11"/>
            </w:pPr>
            <w:r>
              <w:t>11.46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11.46</w:t>
            </w:r>
          </w:p>
        </w:tc>
        <w:tc>
          <w:tcPr>
            <w:tcW w:w="1361" w:type="dxa"/>
            <w:vAlign w:val="center"/>
          </w:tcPr>
          <w:p>
            <w:pPr>
              <w:pStyle w:val="11"/>
            </w:pPr>
          </w:p>
        </w:tc>
        <w:tc>
          <w:tcPr>
            <w:tcW w:w="1361" w:type="dxa"/>
            <w:vAlign w:val="center"/>
          </w:tcPr>
          <w:p>
            <w:pPr>
              <w:pStyle w:val="11"/>
            </w:pPr>
            <w:r>
              <w:t>11.46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36.59</w:t>
            </w:r>
          </w:p>
        </w:tc>
        <w:tc>
          <w:tcPr>
            <w:tcW w:w="1361" w:type="dxa"/>
            <w:vAlign w:val="center"/>
          </w:tcPr>
          <w:p>
            <w:pPr>
              <w:pStyle w:val="11"/>
            </w:pPr>
            <w:r>
              <w:t>36.59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36.59</w:t>
            </w:r>
          </w:p>
        </w:tc>
        <w:tc>
          <w:tcPr>
            <w:tcW w:w="1361" w:type="dxa"/>
            <w:vAlign w:val="center"/>
          </w:tcPr>
          <w:p>
            <w:pPr>
              <w:pStyle w:val="11"/>
            </w:pPr>
            <w:r>
              <w:t>36.59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36.59</w:t>
            </w:r>
          </w:p>
        </w:tc>
        <w:tc>
          <w:tcPr>
            <w:tcW w:w="1361" w:type="dxa"/>
            <w:vAlign w:val="center"/>
          </w:tcPr>
          <w:p>
            <w:pPr>
              <w:pStyle w:val="11"/>
            </w:pPr>
            <w:r>
              <w:t>36.59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49.48</w:t>
            </w:r>
          </w:p>
        </w:tc>
        <w:tc>
          <w:tcPr>
            <w:tcW w:w="1361" w:type="dxa"/>
            <w:vAlign w:val="center"/>
          </w:tcPr>
          <w:p>
            <w:pPr>
              <w:pStyle w:val="11"/>
            </w:pPr>
            <w:r>
              <w:t>49.48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49.48</w:t>
            </w:r>
          </w:p>
        </w:tc>
        <w:tc>
          <w:tcPr>
            <w:tcW w:w="1361" w:type="dxa"/>
            <w:vAlign w:val="center"/>
          </w:tcPr>
          <w:p>
            <w:pPr>
              <w:pStyle w:val="11"/>
            </w:pPr>
            <w:r>
              <w:t>49.48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49.48</w:t>
            </w:r>
          </w:p>
        </w:tc>
        <w:tc>
          <w:tcPr>
            <w:tcW w:w="1361" w:type="dxa"/>
            <w:vAlign w:val="center"/>
          </w:tcPr>
          <w:p>
            <w:pPr>
              <w:pStyle w:val="11"/>
            </w:pPr>
            <w:r>
              <w:t>49.48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1722.62</w:t>
            </w:r>
          </w:p>
        </w:tc>
        <w:tc>
          <w:tcPr>
            <w:tcW w:w="3402" w:type="dxa"/>
            <w:vAlign w:val="center"/>
          </w:tcPr>
          <w:p>
            <w:pPr>
              <w:pStyle w:val="12"/>
            </w:pPr>
            <w:r>
              <w:t>一、一般公共服务支出</w:t>
            </w:r>
          </w:p>
        </w:tc>
        <w:tc>
          <w:tcPr>
            <w:tcW w:w="1474" w:type="dxa"/>
            <w:vAlign w:val="center"/>
          </w:tcPr>
          <w:p>
            <w:pPr>
              <w:pStyle w:val="11"/>
            </w:pPr>
            <w:r>
              <w:t>1640.36</w:t>
            </w:r>
          </w:p>
        </w:tc>
        <w:tc>
          <w:tcPr>
            <w:tcW w:w="1474" w:type="dxa"/>
            <w:vAlign w:val="center"/>
          </w:tcPr>
          <w:p>
            <w:pPr>
              <w:pStyle w:val="11"/>
            </w:pPr>
            <w:r>
              <w:t>1640.36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117.72</w:t>
            </w:r>
          </w:p>
        </w:tc>
        <w:tc>
          <w:tcPr>
            <w:tcW w:w="1474" w:type="dxa"/>
            <w:vAlign w:val="center"/>
          </w:tcPr>
          <w:p>
            <w:pPr>
              <w:pStyle w:val="11"/>
            </w:pPr>
            <w:r>
              <w:t>117.72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36.59</w:t>
            </w:r>
          </w:p>
        </w:tc>
        <w:tc>
          <w:tcPr>
            <w:tcW w:w="1474" w:type="dxa"/>
            <w:vAlign w:val="center"/>
          </w:tcPr>
          <w:p>
            <w:pPr>
              <w:pStyle w:val="11"/>
            </w:pPr>
            <w:r>
              <w:t>36.59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49.48</w:t>
            </w:r>
          </w:p>
        </w:tc>
        <w:tc>
          <w:tcPr>
            <w:tcW w:w="1474" w:type="dxa"/>
            <w:vAlign w:val="center"/>
          </w:tcPr>
          <w:p>
            <w:pPr>
              <w:pStyle w:val="11"/>
            </w:pPr>
            <w:r>
              <w:t>49.48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1722.62</w:t>
            </w:r>
          </w:p>
        </w:tc>
        <w:tc>
          <w:tcPr>
            <w:tcW w:w="3402" w:type="dxa"/>
            <w:vAlign w:val="center"/>
          </w:tcPr>
          <w:p>
            <w:pPr>
              <w:pStyle w:val="14"/>
            </w:pPr>
            <w:r>
              <w:t>本年支出合计</w:t>
            </w:r>
          </w:p>
        </w:tc>
        <w:tc>
          <w:tcPr>
            <w:tcW w:w="1474" w:type="dxa"/>
            <w:vAlign w:val="center"/>
          </w:tcPr>
          <w:p>
            <w:pPr>
              <w:pStyle w:val="15"/>
            </w:pPr>
            <w:r>
              <w:t>1844.15</w:t>
            </w:r>
          </w:p>
        </w:tc>
        <w:tc>
          <w:tcPr>
            <w:tcW w:w="1474" w:type="dxa"/>
            <w:vAlign w:val="center"/>
          </w:tcPr>
          <w:p>
            <w:pPr>
              <w:pStyle w:val="15"/>
            </w:pPr>
            <w:r>
              <w:t>1844.15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121.53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121.53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1844.15</w:t>
            </w:r>
          </w:p>
        </w:tc>
        <w:tc>
          <w:tcPr>
            <w:tcW w:w="3402" w:type="dxa"/>
            <w:vAlign w:val="center"/>
          </w:tcPr>
          <w:p>
            <w:pPr>
              <w:pStyle w:val="14"/>
            </w:pPr>
            <w:r>
              <w:t>支出总计</w:t>
            </w:r>
          </w:p>
        </w:tc>
        <w:tc>
          <w:tcPr>
            <w:tcW w:w="1474" w:type="dxa"/>
            <w:vAlign w:val="center"/>
          </w:tcPr>
          <w:p>
            <w:pPr>
              <w:pStyle w:val="15"/>
            </w:pPr>
            <w:r>
              <w:t>1844.15</w:t>
            </w:r>
          </w:p>
        </w:tc>
        <w:tc>
          <w:tcPr>
            <w:tcW w:w="1474" w:type="dxa"/>
            <w:vAlign w:val="center"/>
          </w:tcPr>
          <w:p>
            <w:pPr>
              <w:pStyle w:val="15"/>
            </w:pPr>
            <w:r>
              <w:t>1844.15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1844.15</w:t>
            </w:r>
          </w:p>
        </w:tc>
        <w:tc>
          <w:tcPr>
            <w:tcW w:w="2551" w:type="dxa"/>
            <w:vAlign w:val="center"/>
          </w:tcPr>
          <w:p>
            <w:pPr>
              <w:pStyle w:val="15"/>
            </w:pPr>
            <w:r>
              <w:t>1137.33</w:t>
            </w:r>
          </w:p>
        </w:tc>
        <w:tc>
          <w:tcPr>
            <w:tcW w:w="2551" w:type="dxa"/>
            <w:vAlign w:val="center"/>
          </w:tcPr>
          <w:p>
            <w:pPr>
              <w:pStyle w:val="15"/>
            </w:pPr>
            <w:r>
              <w:t>706.82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1640.36</w:t>
            </w:r>
          </w:p>
        </w:tc>
        <w:tc>
          <w:tcPr>
            <w:tcW w:w="2551" w:type="dxa"/>
            <w:vAlign w:val="center"/>
          </w:tcPr>
          <w:p>
            <w:pPr>
              <w:pStyle w:val="11"/>
            </w:pPr>
            <w:r>
              <w:t>945.01</w:t>
            </w:r>
          </w:p>
        </w:tc>
        <w:tc>
          <w:tcPr>
            <w:tcW w:w="2551" w:type="dxa"/>
            <w:vAlign w:val="center"/>
          </w:tcPr>
          <w:p>
            <w:pPr>
              <w:pStyle w:val="11"/>
            </w:pPr>
            <w:r>
              <w:t>695.36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1640.36</w:t>
            </w:r>
          </w:p>
        </w:tc>
        <w:tc>
          <w:tcPr>
            <w:tcW w:w="2551" w:type="dxa"/>
            <w:vAlign w:val="center"/>
          </w:tcPr>
          <w:p>
            <w:pPr>
              <w:pStyle w:val="11"/>
            </w:pPr>
            <w:r>
              <w:t>945.01</w:t>
            </w:r>
          </w:p>
        </w:tc>
        <w:tc>
          <w:tcPr>
            <w:tcW w:w="2551" w:type="dxa"/>
            <w:vAlign w:val="center"/>
          </w:tcPr>
          <w:p>
            <w:pPr>
              <w:pStyle w:val="11"/>
            </w:pPr>
            <w:r>
              <w:t>695.36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945.01</w:t>
            </w:r>
          </w:p>
        </w:tc>
        <w:tc>
          <w:tcPr>
            <w:tcW w:w="2551" w:type="dxa"/>
            <w:vAlign w:val="center"/>
          </w:tcPr>
          <w:p>
            <w:pPr>
              <w:pStyle w:val="11"/>
            </w:pPr>
            <w:r>
              <w:t>945.01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2013105</w:t>
            </w:r>
          </w:p>
        </w:tc>
        <w:tc>
          <w:tcPr>
            <w:tcW w:w="4535" w:type="dxa"/>
            <w:vAlign w:val="center"/>
          </w:tcPr>
          <w:p>
            <w:pPr>
              <w:pStyle w:val="12"/>
            </w:pPr>
            <w:r>
              <w:t>专项业务</w:t>
            </w:r>
          </w:p>
        </w:tc>
        <w:tc>
          <w:tcPr>
            <w:tcW w:w="2551" w:type="dxa"/>
            <w:vAlign w:val="center"/>
          </w:tcPr>
          <w:p>
            <w:pPr>
              <w:pStyle w:val="11"/>
            </w:pPr>
            <w:r>
              <w:t>695.36</w:t>
            </w:r>
          </w:p>
        </w:tc>
        <w:tc>
          <w:tcPr>
            <w:tcW w:w="2551" w:type="dxa"/>
            <w:vAlign w:val="center"/>
          </w:tcPr>
          <w:p>
            <w:pPr>
              <w:pStyle w:val="11"/>
            </w:pPr>
          </w:p>
        </w:tc>
        <w:tc>
          <w:tcPr>
            <w:tcW w:w="2551" w:type="dxa"/>
            <w:vAlign w:val="center"/>
          </w:tcPr>
          <w:p>
            <w:pPr>
              <w:pStyle w:val="11"/>
            </w:pPr>
            <w:r>
              <w:t>695.36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117.72</w:t>
            </w:r>
          </w:p>
        </w:tc>
        <w:tc>
          <w:tcPr>
            <w:tcW w:w="2551" w:type="dxa"/>
            <w:vAlign w:val="center"/>
          </w:tcPr>
          <w:p>
            <w:pPr>
              <w:pStyle w:val="11"/>
            </w:pPr>
            <w:r>
              <w:t>106.26</w:t>
            </w:r>
          </w:p>
        </w:tc>
        <w:tc>
          <w:tcPr>
            <w:tcW w:w="2551" w:type="dxa"/>
            <w:vAlign w:val="center"/>
          </w:tcPr>
          <w:p>
            <w:pPr>
              <w:pStyle w:val="11"/>
            </w:pPr>
            <w:r>
              <w:t>11.46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106.26</w:t>
            </w:r>
          </w:p>
        </w:tc>
        <w:tc>
          <w:tcPr>
            <w:tcW w:w="2551" w:type="dxa"/>
            <w:vAlign w:val="center"/>
          </w:tcPr>
          <w:p>
            <w:pPr>
              <w:pStyle w:val="11"/>
            </w:pPr>
            <w:r>
              <w:t>106.26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55.27</w:t>
            </w:r>
          </w:p>
        </w:tc>
        <w:tc>
          <w:tcPr>
            <w:tcW w:w="2551" w:type="dxa"/>
            <w:vAlign w:val="center"/>
          </w:tcPr>
          <w:p>
            <w:pPr>
              <w:pStyle w:val="11"/>
            </w:pPr>
            <w:r>
              <w:t>55.27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50.99</w:t>
            </w:r>
          </w:p>
        </w:tc>
        <w:tc>
          <w:tcPr>
            <w:tcW w:w="2551" w:type="dxa"/>
            <w:vAlign w:val="center"/>
          </w:tcPr>
          <w:p>
            <w:pPr>
              <w:pStyle w:val="11"/>
            </w:pPr>
            <w:r>
              <w:t>50.99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11.46</w:t>
            </w:r>
          </w:p>
        </w:tc>
        <w:tc>
          <w:tcPr>
            <w:tcW w:w="2551" w:type="dxa"/>
            <w:vAlign w:val="center"/>
          </w:tcPr>
          <w:p>
            <w:pPr>
              <w:pStyle w:val="11"/>
            </w:pPr>
          </w:p>
        </w:tc>
        <w:tc>
          <w:tcPr>
            <w:tcW w:w="2551" w:type="dxa"/>
            <w:vAlign w:val="center"/>
          </w:tcPr>
          <w:p>
            <w:pPr>
              <w:pStyle w:val="11"/>
            </w:pPr>
            <w:r>
              <w:t>11.46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11.46</w:t>
            </w:r>
          </w:p>
        </w:tc>
        <w:tc>
          <w:tcPr>
            <w:tcW w:w="2551" w:type="dxa"/>
            <w:vAlign w:val="center"/>
          </w:tcPr>
          <w:p>
            <w:pPr>
              <w:pStyle w:val="11"/>
            </w:pPr>
          </w:p>
        </w:tc>
        <w:tc>
          <w:tcPr>
            <w:tcW w:w="2551" w:type="dxa"/>
            <w:vAlign w:val="center"/>
          </w:tcPr>
          <w:p>
            <w:pPr>
              <w:pStyle w:val="11"/>
            </w:pPr>
            <w:r>
              <w:t>11.46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36.59</w:t>
            </w:r>
          </w:p>
        </w:tc>
        <w:tc>
          <w:tcPr>
            <w:tcW w:w="2551" w:type="dxa"/>
            <w:vAlign w:val="center"/>
          </w:tcPr>
          <w:p>
            <w:pPr>
              <w:pStyle w:val="11"/>
            </w:pPr>
            <w:r>
              <w:t>36.59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36.59</w:t>
            </w:r>
          </w:p>
        </w:tc>
        <w:tc>
          <w:tcPr>
            <w:tcW w:w="2551" w:type="dxa"/>
            <w:vAlign w:val="center"/>
          </w:tcPr>
          <w:p>
            <w:pPr>
              <w:pStyle w:val="11"/>
            </w:pPr>
            <w:r>
              <w:t>36.59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36.59</w:t>
            </w:r>
          </w:p>
        </w:tc>
        <w:tc>
          <w:tcPr>
            <w:tcW w:w="2551" w:type="dxa"/>
            <w:vAlign w:val="center"/>
          </w:tcPr>
          <w:p>
            <w:pPr>
              <w:pStyle w:val="11"/>
            </w:pPr>
            <w:r>
              <w:t>36.59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49.48</w:t>
            </w:r>
          </w:p>
        </w:tc>
        <w:tc>
          <w:tcPr>
            <w:tcW w:w="2551" w:type="dxa"/>
            <w:vAlign w:val="center"/>
          </w:tcPr>
          <w:p>
            <w:pPr>
              <w:pStyle w:val="11"/>
            </w:pPr>
            <w:r>
              <w:t>49.48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49.48</w:t>
            </w:r>
          </w:p>
        </w:tc>
        <w:tc>
          <w:tcPr>
            <w:tcW w:w="2551" w:type="dxa"/>
            <w:vAlign w:val="center"/>
          </w:tcPr>
          <w:p>
            <w:pPr>
              <w:pStyle w:val="11"/>
            </w:pPr>
            <w:r>
              <w:t>49.48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49.48</w:t>
            </w:r>
          </w:p>
        </w:tc>
        <w:tc>
          <w:tcPr>
            <w:tcW w:w="2551" w:type="dxa"/>
            <w:vAlign w:val="center"/>
          </w:tcPr>
          <w:p>
            <w:pPr>
              <w:pStyle w:val="11"/>
            </w:pPr>
            <w:r>
              <w:t>49.48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1137.33</w:t>
            </w:r>
          </w:p>
        </w:tc>
        <w:tc>
          <w:tcPr>
            <w:tcW w:w="2551" w:type="dxa"/>
            <w:vAlign w:val="center"/>
          </w:tcPr>
          <w:p>
            <w:pPr>
              <w:pStyle w:val="15"/>
            </w:pPr>
            <w:r>
              <w:t>602.26</w:t>
            </w:r>
          </w:p>
        </w:tc>
        <w:tc>
          <w:tcPr>
            <w:tcW w:w="2551" w:type="dxa"/>
            <w:vAlign w:val="center"/>
          </w:tcPr>
          <w:p>
            <w:pPr>
              <w:pStyle w:val="15"/>
            </w:pPr>
            <w:r>
              <w:t>535.07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548.45</w:t>
            </w:r>
          </w:p>
        </w:tc>
        <w:tc>
          <w:tcPr>
            <w:tcW w:w="2551" w:type="dxa"/>
            <w:vAlign w:val="center"/>
          </w:tcPr>
          <w:p>
            <w:pPr>
              <w:pStyle w:val="11"/>
            </w:pPr>
            <w:r>
              <w:t>548.45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141.68</w:t>
            </w:r>
          </w:p>
        </w:tc>
        <w:tc>
          <w:tcPr>
            <w:tcW w:w="2551" w:type="dxa"/>
            <w:vAlign w:val="center"/>
          </w:tcPr>
          <w:p>
            <w:pPr>
              <w:pStyle w:val="11"/>
            </w:pPr>
            <w:r>
              <w:t>141.68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89.36</w:t>
            </w:r>
          </w:p>
        </w:tc>
        <w:tc>
          <w:tcPr>
            <w:tcW w:w="2551" w:type="dxa"/>
            <w:vAlign w:val="center"/>
          </w:tcPr>
          <w:p>
            <w:pPr>
              <w:pStyle w:val="11"/>
            </w:pPr>
            <w:r>
              <w:t>89.36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63.97</w:t>
            </w:r>
          </w:p>
        </w:tc>
        <w:tc>
          <w:tcPr>
            <w:tcW w:w="2551" w:type="dxa"/>
            <w:vAlign w:val="center"/>
          </w:tcPr>
          <w:p>
            <w:pPr>
              <w:pStyle w:val="11"/>
            </w:pPr>
            <w:r>
              <w:t>63.97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114.29</w:t>
            </w:r>
          </w:p>
        </w:tc>
        <w:tc>
          <w:tcPr>
            <w:tcW w:w="2551" w:type="dxa"/>
            <w:vAlign w:val="center"/>
          </w:tcPr>
          <w:p>
            <w:pPr>
              <w:pStyle w:val="11"/>
            </w:pPr>
            <w:r>
              <w:t>114.29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50.99</w:t>
            </w:r>
          </w:p>
        </w:tc>
        <w:tc>
          <w:tcPr>
            <w:tcW w:w="2551" w:type="dxa"/>
            <w:vAlign w:val="center"/>
          </w:tcPr>
          <w:p>
            <w:pPr>
              <w:pStyle w:val="11"/>
            </w:pPr>
            <w:r>
              <w:t>50.99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20.63</w:t>
            </w:r>
          </w:p>
        </w:tc>
        <w:tc>
          <w:tcPr>
            <w:tcW w:w="2551" w:type="dxa"/>
            <w:vAlign w:val="center"/>
          </w:tcPr>
          <w:p>
            <w:pPr>
              <w:pStyle w:val="11"/>
            </w:pPr>
            <w:r>
              <w:t>20.63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15.96</w:t>
            </w:r>
          </w:p>
        </w:tc>
        <w:tc>
          <w:tcPr>
            <w:tcW w:w="2551" w:type="dxa"/>
            <w:vAlign w:val="center"/>
          </w:tcPr>
          <w:p>
            <w:pPr>
              <w:pStyle w:val="11"/>
            </w:pPr>
            <w:r>
              <w:t>15.96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2.11</w:t>
            </w:r>
          </w:p>
        </w:tc>
        <w:tc>
          <w:tcPr>
            <w:tcW w:w="2551" w:type="dxa"/>
            <w:vAlign w:val="center"/>
          </w:tcPr>
          <w:p>
            <w:pPr>
              <w:pStyle w:val="11"/>
            </w:pPr>
            <w:r>
              <w:t>2.11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49.48</w:t>
            </w:r>
          </w:p>
        </w:tc>
        <w:tc>
          <w:tcPr>
            <w:tcW w:w="2551" w:type="dxa"/>
            <w:vAlign w:val="center"/>
          </w:tcPr>
          <w:p>
            <w:pPr>
              <w:pStyle w:val="11"/>
            </w:pPr>
            <w:r>
              <w:t>49.48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535.07</w:t>
            </w:r>
          </w:p>
        </w:tc>
        <w:tc>
          <w:tcPr>
            <w:tcW w:w="2551" w:type="dxa"/>
            <w:vAlign w:val="center"/>
          </w:tcPr>
          <w:p>
            <w:pPr>
              <w:pStyle w:val="11"/>
            </w:pPr>
          </w:p>
        </w:tc>
        <w:tc>
          <w:tcPr>
            <w:tcW w:w="2551" w:type="dxa"/>
            <w:vAlign w:val="center"/>
          </w:tcPr>
          <w:p>
            <w:pPr>
              <w:pStyle w:val="11"/>
            </w:pPr>
            <w:r>
              <w:t>535.07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14.80</w:t>
            </w:r>
          </w:p>
        </w:tc>
        <w:tc>
          <w:tcPr>
            <w:tcW w:w="2551" w:type="dxa"/>
            <w:vAlign w:val="center"/>
          </w:tcPr>
          <w:p>
            <w:pPr>
              <w:pStyle w:val="11"/>
            </w:pPr>
          </w:p>
        </w:tc>
        <w:tc>
          <w:tcPr>
            <w:tcW w:w="2551" w:type="dxa"/>
            <w:vAlign w:val="center"/>
          </w:tcPr>
          <w:p>
            <w:pPr>
              <w:pStyle w:val="11"/>
            </w:pPr>
            <w:r>
              <w:t>14.80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9.33</w:t>
            </w:r>
          </w:p>
        </w:tc>
        <w:tc>
          <w:tcPr>
            <w:tcW w:w="2551" w:type="dxa"/>
            <w:vAlign w:val="center"/>
          </w:tcPr>
          <w:p>
            <w:pPr>
              <w:pStyle w:val="11"/>
            </w:pPr>
          </w:p>
        </w:tc>
        <w:tc>
          <w:tcPr>
            <w:tcW w:w="2551" w:type="dxa"/>
            <w:vAlign w:val="center"/>
          </w:tcPr>
          <w:p>
            <w:pPr>
              <w:pStyle w:val="11"/>
            </w:pPr>
            <w:r>
              <w:t>9.33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481.19</w:t>
            </w:r>
          </w:p>
        </w:tc>
        <w:tc>
          <w:tcPr>
            <w:tcW w:w="2551" w:type="dxa"/>
            <w:vAlign w:val="center"/>
          </w:tcPr>
          <w:p>
            <w:pPr>
              <w:pStyle w:val="11"/>
            </w:pPr>
          </w:p>
        </w:tc>
        <w:tc>
          <w:tcPr>
            <w:tcW w:w="2551" w:type="dxa"/>
            <w:vAlign w:val="center"/>
          </w:tcPr>
          <w:p>
            <w:pPr>
              <w:pStyle w:val="11"/>
            </w:pPr>
            <w:r>
              <w:t>481.19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2.89</w:t>
            </w:r>
          </w:p>
        </w:tc>
        <w:tc>
          <w:tcPr>
            <w:tcW w:w="2551" w:type="dxa"/>
            <w:vAlign w:val="center"/>
          </w:tcPr>
          <w:p>
            <w:pPr>
              <w:pStyle w:val="11"/>
            </w:pPr>
          </w:p>
        </w:tc>
        <w:tc>
          <w:tcPr>
            <w:tcW w:w="2551" w:type="dxa"/>
            <w:vAlign w:val="center"/>
          </w:tcPr>
          <w:p>
            <w:pPr>
              <w:pStyle w:val="11"/>
            </w:pPr>
            <w:r>
              <w:t>2.89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3.54</w:t>
            </w:r>
          </w:p>
        </w:tc>
        <w:tc>
          <w:tcPr>
            <w:tcW w:w="2551" w:type="dxa"/>
            <w:vAlign w:val="center"/>
          </w:tcPr>
          <w:p>
            <w:pPr>
              <w:pStyle w:val="11"/>
            </w:pPr>
          </w:p>
        </w:tc>
        <w:tc>
          <w:tcPr>
            <w:tcW w:w="2551" w:type="dxa"/>
            <w:vAlign w:val="center"/>
          </w:tcPr>
          <w:p>
            <w:pPr>
              <w:pStyle w:val="11"/>
            </w:pPr>
            <w:r>
              <w:t>3.54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13.68</w:t>
            </w:r>
          </w:p>
        </w:tc>
        <w:tc>
          <w:tcPr>
            <w:tcW w:w="2551" w:type="dxa"/>
            <w:vAlign w:val="center"/>
          </w:tcPr>
          <w:p>
            <w:pPr>
              <w:pStyle w:val="11"/>
            </w:pPr>
          </w:p>
        </w:tc>
        <w:tc>
          <w:tcPr>
            <w:tcW w:w="2551" w:type="dxa"/>
            <w:vAlign w:val="center"/>
          </w:tcPr>
          <w:p>
            <w:pPr>
              <w:pStyle w:val="11"/>
            </w:pPr>
            <w:r>
              <w:t>13.68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2.03</w:t>
            </w:r>
          </w:p>
        </w:tc>
        <w:tc>
          <w:tcPr>
            <w:tcW w:w="2551" w:type="dxa"/>
            <w:vAlign w:val="center"/>
          </w:tcPr>
          <w:p>
            <w:pPr>
              <w:pStyle w:val="11"/>
            </w:pPr>
          </w:p>
        </w:tc>
        <w:tc>
          <w:tcPr>
            <w:tcW w:w="2551" w:type="dxa"/>
            <w:vAlign w:val="center"/>
          </w:tcPr>
          <w:p>
            <w:pPr>
              <w:pStyle w:val="11"/>
            </w:pPr>
            <w:r>
              <w:t>2.03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53.81</w:t>
            </w:r>
          </w:p>
        </w:tc>
        <w:tc>
          <w:tcPr>
            <w:tcW w:w="2551" w:type="dxa"/>
            <w:vAlign w:val="center"/>
          </w:tcPr>
          <w:p>
            <w:pPr>
              <w:pStyle w:val="11"/>
            </w:pPr>
            <w:r>
              <w:t>53.81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53.81</w:t>
            </w:r>
          </w:p>
        </w:tc>
        <w:tc>
          <w:tcPr>
            <w:tcW w:w="2551" w:type="dxa"/>
            <w:vAlign w:val="center"/>
          </w:tcPr>
          <w:p>
            <w:pPr>
              <w:pStyle w:val="11"/>
            </w:pPr>
            <w:r>
              <w:t>53.81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8.40</w:t>
            </w:r>
          </w:p>
        </w:tc>
        <w:tc>
          <w:tcPr>
            <w:tcW w:w="2381" w:type="dxa"/>
            <w:vAlign w:val="center"/>
          </w:tcPr>
          <w:p>
            <w:pPr>
              <w:pStyle w:val="15"/>
            </w:pPr>
            <w:r>
              <w:t>8.40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8.40</w:t>
            </w:r>
          </w:p>
        </w:tc>
        <w:tc>
          <w:tcPr>
            <w:tcW w:w="2381" w:type="dxa"/>
            <w:vAlign w:val="center"/>
          </w:tcPr>
          <w:p>
            <w:pPr>
              <w:pStyle w:val="11"/>
            </w:pPr>
            <w:r>
              <w:t>8.40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中共石家庄市鹿泉区委政法委员会本级2025年单位预算信息公开情况说明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按照《中华人民共和国预算法》、《地方预决算公开操作规程》和《关于进一步推进预算公开工作的实施意见》规定，现将中共石家庄市鹿泉区委政法委员会本级2025年单位预算公开如下：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1、对全区政法工作研究提出全局性部署，推进平安建设、法制建设、加强过硬队伍建设，深化智能化建设，坚决维护国家政治安全、确保社会大局稳定、促进社会公平正义、保障人民安居乐业。</w:t>
      </w:r>
    </w:p>
    <w:p>
      <w:pPr>
        <w:pStyle w:val="17"/>
      </w:pPr>
      <w:r>
        <w:t>2、了解掌握和分析研判政法工作情况动态，分析社会稳定形势，创新完善多部门参与的平安建设工作协调机制，协调推动预防、化解影响稳定的社会矛盾和风险，协调应对和处置重大突发事件。</w:t>
      </w:r>
    </w:p>
    <w:p>
      <w:pPr>
        <w:pStyle w:val="17"/>
      </w:pPr>
      <w:r>
        <w:t>3、加强对政法工作的督查，统筹协调社会治安综合治理、维护社会稳定、反邪教、反暴恐等有关法律法规政策的实施工作。</w:t>
      </w:r>
    </w:p>
    <w:p>
      <w:pPr>
        <w:pStyle w:val="17"/>
      </w:pPr>
      <w:r>
        <w:t>4、组织开展政法领域的调查研究，研究拟订政法工作的重大措施，及时向区委提出建议。</w:t>
      </w:r>
    </w:p>
    <w:p>
      <w:pPr>
        <w:pStyle w:val="17"/>
      </w:pPr>
      <w:r>
        <w:t>5、掌握分析政法舆情动态，指导协调政法单位媒体网络宣传工作，指导政法单位做好涉及政法工作的重大宣传工作。</w:t>
      </w:r>
    </w:p>
    <w:p>
      <w:pPr>
        <w:pStyle w:val="17"/>
      </w:pPr>
      <w:r>
        <w:t>鹿泉区政法委根据工作需要，设有办公室、维稳指导科、综治指导科、基层社会治理科、执法监督科、政治处。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中共石家庄市鹿泉区委政法委员会本级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1844.15万元，其中：一般公共预算收入1722.62万元，基金预算收入0.00万元，国有资本经营预算收入0.00万元，财政专户核拨收入0.00万元，单位资金收入0.00万元，上年结转结余121.53万元。</w:t>
      </w:r>
    </w:p>
    <w:p>
      <w:pPr>
        <w:pStyle w:val="18"/>
      </w:pPr>
      <w:r>
        <w:t>2、支出说明</w:t>
      </w:r>
    </w:p>
    <w:p>
      <w:pPr>
        <w:pStyle w:val="18"/>
      </w:pPr>
      <w:r>
        <w:t>收支预算总表支出栏、基本支出表、项目支出表按经济分类和支出功能分类科目编制，反映中共石家庄市鹿泉区委政法委员会本级年度单位预算中支出预算的总体情况。2025年支出预算1844.15万元，其中基本支出1137.33万元，包括人员经费602.26万元和日常公用经费535.07万元；项目支出706.82万元，主要为人员经费为：在职人员工资及社保福利费用；公用经费为：劳务派遣人员工资及社保费用及日常办公消耗费用；项目经费为：政法四级网扩容设备维保项目、精神障碍患者管理服务项目、城乡社区网格化服务项目等。</w:t>
      </w:r>
    </w:p>
    <w:p>
      <w:pPr>
        <w:pStyle w:val="18"/>
      </w:pPr>
    </w:p>
    <w:p>
      <w:pPr>
        <w:pStyle w:val="18"/>
      </w:pPr>
      <w:r>
        <w:t>3、比上年增减情况</w:t>
      </w:r>
    </w:p>
    <w:p>
      <w:pPr>
        <w:pStyle w:val="18"/>
      </w:pPr>
      <w:r>
        <w:t>2025年预算收支安排1844.15万元，较2024年预算增加82.77万元，其中：基本支出减少5.31万元，主要为单位劳务派遣人员减少。项目支出增加88.09万元，主要为政法四级网扩容维保项目支付合同款。</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2025年，我单位机关运行经费共计安排535.07万元，主要用于日常维修、办公用房水电费、办公用房取暖费、办公用房物业管理费等日常运行支出。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2025年，我单位财政拨款“三公”经费预算安排8.40万元，其中因公出国（境）费0.00万元</w:t>
      </w:r>
      <w:r>
        <w:rPr>
          <w:rFonts w:hint="eastAsia"/>
          <w:lang w:eastAsia="zh-CN"/>
        </w:rPr>
        <w:t>，</w:t>
      </w:r>
      <w:r>
        <w:t>2024年度相比持平，无增减变化；公务用车购置及运维费5.40万元（其中：公务用车购置费为0.00万元，公务用车运维费5.40万元)</w:t>
      </w:r>
      <w:r>
        <w:rPr>
          <w:rFonts w:hint="eastAsia"/>
          <w:lang w:eastAsia="zh-CN"/>
        </w:rPr>
        <w:t>，</w:t>
      </w:r>
      <w:r>
        <w:t>2024年度相比持平，无增减变化；公务接待费3.00万元</w:t>
      </w:r>
      <w:r>
        <w:rPr>
          <w:rFonts w:hint="eastAsia"/>
          <w:lang w:eastAsia="zh-CN"/>
        </w:rPr>
        <w:t>，</w:t>
      </w:r>
      <w:r>
        <w:t>与2024年度相比持平，无增减变化。</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1、2025年度“雪亮工程”建设项目绩效目标表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13011025P000038100044</w:t>
            </w:r>
          </w:p>
        </w:tc>
        <w:tc>
          <w:tcPr>
            <w:tcW w:w="2835" w:type="dxa"/>
            <w:vAlign w:val="center"/>
          </w:tcPr>
          <w:p>
            <w:pPr>
              <w:pStyle w:val="10"/>
            </w:pPr>
            <w:r>
              <w:t>项目名称</w:t>
            </w:r>
          </w:p>
        </w:tc>
        <w:tc>
          <w:tcPr>
            <w:tcW w:w="6095" w:type="dxa"/>
            <w:gridSpan w:val="3"/>
            <w:vAlign w:val="center"/>
          </w:tcPr>
          <w:p>
            <w:pPr>
              <w:pStyle w:val="12"/>
            </w:pPr>
            <w:r>
              <w:t>2025年度“雪亮工程”建设项目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于区综治中心社会视频监控200M专网租赁费保障线路畅通及运维费用。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于区综治中心社会视频监控200M专网租赁费保障线路畅通；我区“雪亮工程”建设在重点行业领域140个点位进行社会视频监控资源联网.与公安、智慧城市等单位协作，基本实现重点行业、领域及公共区域视频监控全覆盖。2021年维保期已到期，申请该工程运维经费，保障正常视频监控在线资源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重点行业领域联网数量</w:t>
            </w:r>
          </w:p>
        </w:tc>
        <w:tc>
          <w:tcPr>
            <w:tcW w:w="5386" w:type="dxa"/>
            <w:vAlign w:val="center"/>
          </w:tcPr>
          <w:p>
            <w:pPr>
              <w:pStyle w:val="12"/>
            </w:pPr>
            <w:r>
              <w:t>重点行业领域联网数量</w:t>
            </w:r>
          </w:p>
        </w:tc>
        <w:tc>
          <w:tcPr>
            <w:tcW w:w="2268" w:type="dxa"/>
            <w:vAlign w:val="center"/>
          </w:tcPr>
          <w:p>
            <w:pPr>
              <w:pStyle w:val="12"/>
            </w:pPr>
            <w:r>
              <w:t>140个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联网覆盖率</w:t>
            </w:r>
          </w:p>
        </w:tc>
        <w:tc>
          <w:tcPr>
            <w:tcW w:w="5386" w:type="dxa"/>
            <w:vAlign w:val="center"/>
          </w:tcPr>
          <w:p>
            <w:pPr>
              <w:pStyle w:val="12"/>
            </w:pPr>
            <w:r>
              <w:t>重点行业、领域及公共区域视频监控联网覆盖率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保障线路畅通</w:t>
            </w:r>
          </w:p>
        </w:tc>
        <w:tc>
          <w:tcPr>
            <w:tcW w:w="5386" w:type="dxa"/>
            <w:vAlign w:val="center"/>
          </w:tcPr>
          <w:p>
            <w:pPr>
              <w:pStyle w:val="12"/>
            </w:pPr>
            <w:r>
              <w:t>可保障综治中心及140个点位线路畅通</w:t>
            </w:r>
          </w:p>
        </w:tc>
        <w:tc>
          <w:tcPr>
            <w:tcW w:w="2268" w:type="dxa"/>
            <w:vAlign w:val="center"/>
          </w:tcPr>
          <w:p>
            <w:pPr>
              <w:pStyle w:val="12"/>
            </w:pPr>
            <w:r>
              <w:t>有效保障线路畅通</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设备维修及时率</w:t>
            </w:r>
          </w:p>
        </w:tc>
        <w:tc>
          <w:tcPr>
            <w:tcW w:w="5386" w:type="dxa"/>
            <w:vAlign w:val="center"/>
          </w:tcPr>
          <w:p>
            <w:pPr>
              <w:pStyle w:val="12"/>
            </w:pPr>
            <w:r>
              <w:t>设备维修及时率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区综治中心视频监控专网租赁成本</w:t>
            </w:r>
          </w:p>
        </w:tc>
        <w:tc>
          <w:tcPr>
            <w:tcW w:w="5386" w:type="dxa"/>
            <w:vAlign w:val="center"/>
          </w:tcPr>
          <w:p>
            <w:pPr>
              <w:pStyle w:val="12"/>
            </w:pPr>
            <w:r>
              <w:t>区综治中心视频监控专网租赁成本</w:t>
            </w:r>
          </w:p>
        </w:tc>
        <w:tc>
          <w:tcPr>
            <w:tcW w:w="2268" w:type="dxa"/>
            <w:vAlign w:val="center"/>
          </w:tcPr>
          <w:p>
            <w:pPr>
              <w:pStyle w:val="12"/>
            </w:pPr>
            <w:r>
              <w:t>3.36万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资源共享率</w:t>
            </w:r>
          </w:p>
        </w:tc>
        <w:tc>
          <w:tcPr>
            <w:tcW w:w="5386" w:type="dxa"/>
            <w:vAlign w:val="center"/>
          </w:tcPr>
          <w:p>
            <w:pPr>
              <w:pStyle w:val="12"/>
            </w:pPr>
            <w:r>
              <w:t>140个点位视频监控资源与区综治中心互联互通率100%实现资源共享</w:t>
            </w:r>
          </w:p>
        </w:tc>
        <w:tc>
          <w:tcPr>
            <w:tcW w:w="2268" w:type="dxa"/>
            <w:vAlign w:val="center"/>
          </w:tcPr>
          <w:p>
            <w:pPr>
              <w:pStyle w:val="12"/>
            </w:pPr>
            <w:r>
              <w:t>实现了资源共享</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推进社会治理现代化</w:t>
            </w:r>
          </w:p>
        </w:tc>
        <w:tc>
          <w:tcPr>
            <w:tcW w:w="5386" w:type="dxa"/>
            <w:vAlign w:val="center"/>
          </w:tcPr>
          <w:p>
            <w:pPr>
              <w:pStyle w:val="12"/>
            </w:pPr>
            <w:r>
              <w:t>推进社会治理现代化</w:t>
            </w:r>
          </w:p>
        </w:tc>
        <w:tc>
          <w:tcPr>
            <w:tcW w:w="2268" w:type="dxa"/>
            <w:vAlign w:val="center"/>
          </w:tcPr>
          <w:p>
            <w:pPr>
              <w:pStyle w:val="12"/>
            </w:pPr>
            <w:r>
              <w:t>有效推进社会治理现代化</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群众对建设雪亮工程的整体满意度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2、2025年度（社会治安综合治理）平安建设工作经费绩效目标表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13011025P000038100019</w:t>
            </w:r>
          </w:p>
        </w:tc>
        <w:tc>
          <w:tcPr>
            <w:tcW w:w="2835" w:type="dxa"/>
            <w:vAlign w:val="center"/>
          </w:tcPr>
          <w:p>
            <w:pPr>
              <w:pStyle w:val="10"/>
            </w:pPr>
            <w:r>
              <w:t>项目名称</w:t>
            </w:r>
          </w:p>
        </w:tc>
        <w:tc>
          <w:tcPr>
            <w:tcW w:w="6095" w:type="dxa"/>
            <w:gridSpan w:val="3"/>
            <w:vAlign w:val="center"/>
          </w:tcPr>
          <w:p>
            <w:pPr>
              <w:pStyle w:val="12"/>
            </w:pPr>
            <w:r>
              <w:t>2025年度（社会治安综合治理）平安建设工作经费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59.00</w:t>
            </w:r>
          </w:p>
        </w:tc>
        <w:tc>
          <w:tcPr>
            <w:tcW w:w="2835" w:type="dxa"/>
            <w:vAlign w:val="center"/>
          </w:tcPr>
          <w:p>
            <w:pPr>
              <w:pStyle w:val="10"/>
            </w:pPr>
            <w:r>
              <w:t>其中：财政    资金</w:t>
            </w:r>
          </w:p>
        </w:tc>
        <w:tc>
          <w:tcPr>
            <w:tcW w:w="2551" w:type="dxa"/>
            <w:vAlign w:val="center"/>
          </w:tcPr>
          <w:p>
            <w:pPr>
              <w:pStyle w:val="12"/>
            </w:pPr>
            <w:r>
              <w:t>59.00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用于全区综治工作经费支出，并对经济薄弱的乡镇进行以奖代补奖励，推进综合治理现代化建设。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全区综治工作经费支出，并对经济薄弱的乡镇进行以奖代补奖励，推进综合治理现代化建设。辖区内发生重大有影响的恶性案件或突发案件等情况时，根据需要及时拨付相关单位，确保大案、要案和突发事件的侦破、处置等工作能够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挂牌督办整改率</w:t>
            </w:r>
          </w:p>
        </w:tc>
        <w:tc>
          <w:tcPr>
            <w:tcW w:w="5386" w:type="dxa"/>
            <w:vAlign w:val="center"/>
          </w:tcPr>
          <w:p>
            <w:pPr>
              <w:pStyle w:val="12"/>
            </w:pPr>
            <w:r>
              <w:t>挂牌督办的社会治安重点地区整改率（%）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排查整治治安问题和安全隐患率</w:t>
            </w:r>
          </w:p>
        </w:tc>
        <w:tc>
          <w:tcPr>
            <w:tcW w:w="5386" w:type="dxa"/>
            <w:vAlign w:val="center"/>
          </w:tcPr>
          <w:p>
            <w:pPr>
              <w:pStyle w:val="12"/>
            </w:pPr>
            <w:r>
              <w:t>排查整治治安问题和安全隐患率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挂牌督办整改及时率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补贴乡镇综治工作资金成本</w:t>
            </w:r>
          </w:p>
        </w:tc>
        <w:tc>
          <w:tcPr>
            <w:tcW w:w="5386" w:type="dxa"/>
            <w:vAlign w:val="center"/>
          </w:tcPr>
          <w:p>
            <w:pPr>
              <w:pStyle w:val="12"/>
            </w:pPr>
            <w:r>
              <w:t>补贴乡镇综治工作资金成本</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治安、刑事案件处理及时性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大案要案补助覆盖率</w:t>
            </w:r>
          </w:p>
        </w:tc>
        <w:tc>
          <w:tcPr>
            <w:tcW w:w="5386" w:type="dxa"/>
            <w:vAlign w:val="center"/>
          </w:tcPr>
          <w:p>
            <w:pPr>
              <w:pStyle w:val="12"/>
            </w:pPr>
            <w:r>
              <w:t>大案要案补助覆盖率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推进社会治理现代化</w:t>
            </w:r>
          </w:p>
        </w:tc>
        <w:tc>
          <w:tcPr>
            <w:tcW w:w="5386" w:type="dxa"/>
            <w:vAlign w:val="center"/>
          </w:tcPr>
          <w:p>
            <w:pPr>
              <w:pStyle w:val="12"/>
            </w:pPr>
            <w:r>
              <w:t>推进社会治理现代化</w:t>
            </w:r>
          </w:p>
        </w:tc>
        <w:tc>
          <w:tcPr>
            <w:tcW w:w="2268" w:type="dxa"/>
            <w:vAlign w:val="center"/>
          </w:tcPr>
          <w:p>
            <w:pPr>
              <w:pStyle w:val="12"/>
            </w:pPr>
            <w:r>
              <w:t>有效推进社会治理现代化</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有效提高社会稳定水平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群众安全感满意度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3、2025年度城乡社区网格化服务管理试点项目绩效目标表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13011025P00003810005P</w:t>
            </w:r>
          </w:p>
        </w:tc>
        <w:tc>
          <w:tcPr>
            <w:tcW w:w="2835" w:type="dxa"/>
            <w:vAlign w:val="center"/>
          </w:tcPr>
          <w:p>
            <w:pPr>
              <w:pStyle w:val="10"/>
            </w:pPr>
            <w:r>
              <w:t>项目名称</w:t>
            </w:r>
          </w:p>
        </w:tc>
        <w:tc>
          <w:tcPr>
            <w:tcW w:w="6095" w:type="dxa"/>
            <w:gridSpan w:val="3"/>
            <w:vAlign w:val="center"/>
          </w:tcPr>
          <w:p>
            <w:pPr>
              <w:pStyle w:val="12"/>
            </w:pPr>
            <w:r>
              <w:t>2025年度城乡社区网格化服务管理试点项目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缴纳兼职网格员手持终端服务费用及发放兼职网格员补贴。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缴纳兼职网格员手持终端服务费用，保障系统正常运行/2、兼职网格员覆盖全区各村、各社区。负责本网格的社情民意、矛盾纠纷、事件搜集上报。对区、乡、村三级掌握社情民意，排查化解矛盾纠纷隐患，做到小事不出村，大事不出乡镇提供了支持，兼职网格员按季度发放补贴。3、对取得社区工作证的按照政策发放相应的补贴。4、年度评出“十佳网格员”、“优秀网格员”并对其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兼职网格员数量</w:t>
            </w:r>
          </w:p>
        </w:tc>
        <w:tc>
          <w:tcPr>
            <w:tcW w:w="5386" w:type="dxa"/>
            <w:vAlign w:val="center"/>
          </w:tcPr>
          <w:p>
            <w:pPr>
              <w:pStyle w:val="12"/>
            </w:pPr>
            <w:r>
              <w:t>全区兼职网格员人数</w:t>
            </w:r>
          </w:p>
        </w:tc>
        <w:tc>
          <w:tcPr>
            <w:tcW w:w="2268" w:type="dxa"/>
            <w:vAlign w:val="center"/>
          </w:tcPr>
          <w:p>
            <w:pPr>
              <w:pStyle w:val="12"/>
            </w:pPr>
            <w:r>
              <w:t>465名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开通手持终端账号数量</w:t>
            </w:r>
          </w:p>
        </w:tc>
        <w:tc>
          <w:tcPr>
            <w:tcW w:w="5386" w:type="dxa"/>
            <w:vAlign w:val="center"/>
          </w:tcPr>
          <w:p>
            <w:pPr>
              <w:pStyle w:val="12"/>
            </w:pPr>
            <w:r>
              <w:t>开通手持终端账号服务数量</w:t>
            </w:r>
          </w:p>
        </w:tc>
        <w:tc>
          <w:tcPr>
            <w:tcW w:w="2268" w:type="dxa"/>
            <w:vAlign w:val="center"/>
          </w:tcPr>
          <w:p>
            <w:pPr>
              <w:pStyle w:val="12"/>
            </w:pPr>
            <w:r>
              <w:t>607个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化解率</w:t>
            </w:r>
          </w:p>
        </w:tc>
        <w:tc>
          <w:tcPr>
            <w:tcW w:w="5386" w:type="dxa"/>
            <w:vAlign w:val="center"/>
          </w:tcPr>
          <w:p>
            <w:pPr>
              <w:pStyle w:val="12"/>
            </w:pPr>
            <w:r>
              <w:t>矛盾纠纷、问题隐患化解率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手持终端正常运行率</w:t>
            </w:r>
          </w:p>
        </w:tc>
        <w:tc>
          <w:tcPr>
            <w:tcW w:w="5386" w:type="dxa"/>
            <w:vAlign w:val="center"/>
          </w:tcPr>
          <w:p>
            <w:pPr>
              <w:pStyle w:val="12"/>
            </w:pPr>
            <w:r>
              <w:t>能否保障手持终端正常运行情况</w:t>
            </w:r>
          </w:p>
        </w:tc>
        <w:tc>
          <w:tcPr>
            <w:tcW w:w="2268" w:type="dxa"/>
            <w:vAlign w:val="center"/>
          </w:tcPr>
          <w:p>
            <w:pPr>
              <w:pStyle w:val="12"/>
            </w:pPr>
            <w:r>
              <w:t>100%行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网格员发现问题上报及时率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兼职网格员补贴标准</w:t>
            </w:r>
          </w:p>
        </w:tc>
        <w:tc>
          <w:tcPr>
            <w:tcW w:w="5386" w:type="dxa"/>
            <w:vAlign w:val="center"/>
          </w:tcPr>
          <w:p>
            <w:pPr>
              <w:pStyle w:val="12"/>
            </w:pPr>
            <w:r>
              <w:t>兼职网格员补贴标准</w:t>
            </w:r>
          </w:p>
        </w:tc>
        <w:tc>
          <w:tcPr>
            <w:tcW w:w="2268" w:type="dxa"/>
            <w:vAlign w:val="center"/>
          </w:tcPr>
          <w:p>
            <w:pPr>
              <w:pStyle w:val="12"/>
            </w:pPr>
            <w:r>
              <w:t>≤200元/月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助理社会工作师补贴标准</w:t>
            </w:r>
          </w:p>
        </w:tc>
        <w:tc>
          <w:tcPr>
            <w:tcW w:w="5386" w:type="dxa"/>
            <w:vAlign w:val="center"/>
          </w:tcPr>
          <w:p>
            <w:pPr>
              <w:pStyle w:val="12"/>
            </w:pPr>
            <w:r>
              <w:t>助理社会工作师补贴标准</w:t>
            </w:r>
          </w:p>
        </w:tc>
        <w:tc>
          <w:tcPr>
            <w:tcW w:w="2268" w:type="dxa"/>
            <w:vAlign w:val="center"/>
          </w:tcPr>
          <w:p>
            <w:pPr>
              <w:pStyle w:val="12"/>
            </w:pPr>
            <w:r>
              <w:t>50元/月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社会工作师补贴标准</w:t>
            </w:r>
          </w:p>
        </w:tc>
        <w:tc>
          <w:tcPr>
            <w:tcW w:w="5386" w:type="dxa"/>
            <w:vAlign w:val="center"/>
          </w:tcPr>
          <w:p>
            <w:pPr>
              <w:pStyle w:val="12"/>
            </w:pPr>
            <w:r>
              <w:t>社会工作师补贴标准</w:t>
            </w:r>
          </w:p>
        </w:tc>
        <w:tc>
          <w:tcPr>
            <w:tcW w:w="2268" w:type="dxa"/>
            <w:vAlign w:val="center"/>
          </w:tcPr>
          <w:p>
            <w:pPr>
              <w:pStyle w:val="12"/>
            </w:pPr>
            <w:r>
              <w:t>100元/月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高级社会工作师补贴标准</w:t>
            </w:r>
          </w:p>
        </w:tc>
        <w:tc>
          <w:tcPr>
            <w:tcW w:w="5386" w:type="dxa"/>
            <w:vAlign w:val="center"/>
          </w:tcPr>
          <w:p>
            <w:pPr>
              <w:pStyle w:val="12"/>
            </w:pPr>
            <w:r>
              <w:t>高级社会工作师补贴标准</w:t>
            </w:r>
          </w:p>
        </w:tc>
        <w:tc>
          <w:tcPr>
            <w:tcW w:w="2268" w:type="dxa"/>
            <w:vAlign w:val="center"/>
          </w:tcPr>
          <w:p>
            <w:pPr>
              <w:pStyle w:val="12"/>
            </w:pPr>
            <w:r>
              <w:t>200元/月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推进社会治理现代化</w:t>
            </w:r>
          </w:p>
        </w:tc>
        <w:tc>
          <w:tcPr>
            <w:tcW w:w="5386" w:type="dxa"/>
            <w:vAlign w:val="center"/>
          </w:tcPr>
          <w:p>
            <w:pPr>
              <w:pStyle w:val="12"/>
            </w:pPr>
            <w:r>
              <w:t>推进社会治理现代化</w:t>
            </w:r>
          </w:p>
        </w:tc>
        <w:tc>
          <w:tcPr>
            <w:tcW w:w="2268" w:type="dxa"/>
            <w:vAlign w:val="center"/>
          </w:tcPr>
          <w:p>
            <w:pPr>
              <w:pStyle w:val="12"/>
            </w:pPr>
            <w:r>
              <w:t>有效推进社会治理现代化</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提高社会治理水平</w:t>
            </w:r>
          </w:p>
        </w:tc>
        <w:tc>
          <w:tcPr>
            <w:tcW w:w="5386" w:type="dxa"/>
            <w:vAlign w:val="center"/>
          </w:tcPr>
          <w:p>
            <w:pPr>
              <w:pStyle w:val="12"/>
            </w:pPr>
            <w:r>
              <w:t>提高社会治理水平</w:t>
            </w:r>
          </w:p>
        </w:tc>
        <w:tc>
          <w:tcPr>
            <w:tcW w:w="2268" w:type="dxa"/>
            <w:vAlign w:val="center"/>
          </w:tcPr>
          <w:p>
            <w:pPr>
              <w:pStyle w:val="12"/>
            </w:pPr>
            <w:r>
              <w:t>提升社会治理水平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群众对专兼职网格员解决社情民意事件的整体满意度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4、2025年度反邪教经费绩效目标表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13011025P00151210024L</w:t>
            </w:r>
          </w:p>
        </w:tc>
        <w:tc>
          <w:tcPr>
            <w:tcW w:w="2835" w:type="dxa"/>
            <w:vAlign w:val="center"/>
          </w:tcPr>
          <w:p>
            <w:pPr>
              <w:pStyle w:val="10"/>
            </w:pPr>
            <w:r>
              <w:t>项目名称</w:t>
            </w:r>
          </w:p>
        </w:tc>
        <w:tc>
          <w:tcPr>
            <w:tcW w:w="6095" w:type="dxa"/>
            <w:gridSpan w:val="3"/>
            <w:vAlign w:val="center"/>
          </w:tcPr>
          <w:p>
            <w:pPr>
              <w:pStyle w:val="12"/>
            </w:pPr>
            <w:r>
              <w:t>2025年度反邪教经费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用于反邪教宣传教育，在全区营造了良好的反邪教宣传氛围。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1.1、用于宣传品印制、差旅费、学习考察等日常经费。印制反邪教宣传品、展牌展示对全区13乡镇进行反邪教宣传，在全区营造了良好的反邪教宣传氛围。</w:t>
            </w:r>
          </w:p>
          <w:p>
            <w:pPr>
              <w:pStyle w:val="12"/>
            </w:pPr>
            <w:r>
              <w:t>2、重点人员教育转化所需住宿、餐饮、教师专项费用等。</w:t>
            </w:r>
          </w:p>
          <w:p>
            <w:pPr>
              <w:pStyle w:val="12"/>
            </w:pPr>
            <w:r>
              <w:t>3、反邪教活动进机关、进校园、进乡村聘用专家讲座、餐饮等费用。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组织宣传活动次数</w:t>
            </w:r>
          </w:p>
        </w:tc>
        <w:tc>
          <w:tcPr>
            <w:tcW w:w="5386" w:type="dxa"/>
            <w:vAlign w:val="center"/>
          </w:tcPr>
          <w:p>
            <w:pPr>
              <w:pStyle w:val="12"/>
            </w:pPr>
            <w:r>
              <w:t>组织宣传反邪教活动次数</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宣传、活动区域覆盖率</w:t>
            </w:r>
          </w:p>
        </w:tc>
        <w:tc>
          <w:tcPr>
            <w:tcW w:w="5386" w:type="dxa"/>
            <w:vAlign w:val="center"/>
          </w:tcPr>
          <w:p>
            <w:pPr>
              <w:pStyle w:val="12"/>
            </w:pPr>
            <w:r>
              <w:t>宣传、活动区域覆盖率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宣传完成率</w:t>
            </w:r>
          </w:p>
        </w:tc>
        <w:tc>
          <w:tcPr>
            <w:tcW w:w="5386" w:type="dxa"/>
            <w:vAlign w:val="center"/>
          </w:tcPr>
          <w:p>
            <w:pPr>
              <w:pStyle w:val="12"/>
            </w:pPr>
            <w:r>
              <w:t>宣传、活动完成率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宣传成本</w:t>
            </w:r>
          </w:p>
        </w:tc>
        <w:tc>
          <w:tcPr>
            <w:tcW w:w="5386" w:type="dxa"/>
            <w:vAlign w:val="center"/>
          </w:tcPr>
          <w:p>
            <w:pPr>
              <w:pStyle w:val="12"/>
            </w:pPr>
            <w:r>
              <w:t>防范反邪教宣传成本</w:t>
            </w:r>
          </w:p>
        </w:tc>
        <w:tc>
          <w:tcPr>
            <w:tcW w:w="2268" w:type="dxa"/>
            <w:vAlign w:val="center"/>
          </w:tcPr>
          <w:p>
            <w:pPr>
              <w:pStyle w:val="12"/>
            </w:pPr>
            <w:r>
              <w:t>≤5万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有效维护社会稳定</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宣传氛围</w:t>
            </w:r>
          </w:p>
        </w:tc>
        <w:tc>
          <w:tcPr>
            <w:tcW w:w="5386" w:type="dxa"/>
            <w:vAlign w:val="center"/>
          </w:tcPr>
          <w:p>
            <w:pPr>
              <w:pStyle w:val="12"/>
            </w:pPr>
            <w:r>
              <w:t>全区营造了良好的反邪教宣传氛围</w:t>
            </w:r>
          </w:p>
        </w:tc>
        <w:tc>
          <w:tcPr>
            <w:tcW w:w="2268" w:type="dxa"/>
            <w:vAlign w:val="center"/>
          </w:tcPr>
          <w:p>
            <w:pPr>
              <w:pStyle w:val="12"/>
            </w:pPr>
            <w:r>
              <w:t>提高反邪教意识，营造良好宣传氛围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5、2025年度国家司法救助专项资金绩效目标表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13011025P00004110001Q</w:t>
            </w:r>
          </w:p>
        </w:tc>
        <w:tc>
          <w:tcPr>
            <w:tcW w:w="2835" w:type="dxa"/>
            <w:vAlign w:val="center"/>
          </w:tcPr>
          <w:p>
            <w:pPr>
              <w:pStyle w:val="10"/>
            </w:pPr>
            <w:r>
              <w:t>项目名称</w:t>
            </w:r>
          </w:p>
        </w:tc>
        <w:tc>
          <w:tcPr>
            <w:tcW w:w="6095" w:type="dxa"/>
            <w:gridSpan w:val="3"/>
            <w:vAlign w:val="center"/>
          </w:tcPr>
          <w:p>
            <w:pPr>
              <w:pStyle w:val="12"/>
            </w:pPr>
            <w:r>
              <w:t>2025年度国家司法救助专项资金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对我区民事判决无法执行或刑事案件受害人得不到有效赔偿，及生活困难的信访人申请救助的案件进行司法救助。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1.对我区民事判决无法执行或刑事案件受害人得不到有效赔偿，及生活困难的信访人申请救助的案件进行司法救助。有效化解信访积案，维护社会稳定。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发放率</w:t>
            </w:r>
          </w:p>
        </w:tc>
        <w:tc>
          <w:tcPr>
            <w:tcW w:w="5386" w:type="dxa"/>
            <w:vAlign w:val="center"/>
          </w:tcPr>
          <w:p>
            <w:pPr>
              <w:pStyle w:val="12"/>
            </w:pPr>
            <w:r>
              <w:t>司法补助金补助金额发放率(%)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及时率</w:t>
            </w:r>
          </w:p>
        </w:tc>
        <w:tc>
          <w:tcPr>
            <w:tcW w:w="5386" w:type="dxa"/>
            <w:vAlign w:val="center"/>
          </w:tcPr>
          <w:p>
            <w:pPr>
              <w:pStyle w:val="12"/>
            </w:pPr>
            <w:r>
              <w:t>司法补助金补助金额发放及时率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涉法涉诉案件结案率(%)</w:t>
            </w:r>
          </w:p>
        </w:tc>
        <w:tc>
          <w:tcPr>
            <w:tcW w:w="5386" w:type="dxa"/>
            <w:vAlign w:val="center"/>
          </w:tcPr>
          <w:p>
            <w:pPr>
              <w:pStyle w:val="12"/>
            </w:pPr>
            <w:r>
              <w:t>涉法涉诉案件结案率(%)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涉法涉诉救助金经费预算数</w:t>
            </w:r>
          </w:p>
        </w:tc>
        <w:tc>
          <w:tcPr>
            <w:tcW w:w="5386" w:type="dxa"/>
            <w:vAlign w:val="center"/>
          </w:tcPr>
          <w:p>
            <w:pPr>
              <w:pStyle w:val="12"/>
            </w:pPr>
            <w:r>
              <w:t>涉法涉诉救助金经费预算数</w:t>
            </w:r>
          </w:p>
        </w:tc>
        <w:tc>
          <w:tcPr>
            <w:tcW w:w="2268" w:type="dxa"/>
            <w:vAlign w:val="center"/>
          </w:tcPr>
          <w:p>
            <w:pPr>
              <w:pStyle w:val="12"/>
            </w:pPr>
            <w:r>
              <w:t>30万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息诉罢访率</w:t>
            </w:r>
          </w:p>
        </w:tc>
        <w:tc>
          <w:tcPr>
            <w:tcW w:w="5386" w:type="dxa"/>
            <w:vAlign w:val="center"/>
          </w:tcPr>
          <w:p>
            <w:pPr>
              <w:pStyle w:val="12"/>
            </w:pPr>
            <w:r>
              <w:t>涉法涉诉补助人员息诉罢访率(%)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涉法涉诉信访积案化解率</w:t>
            </w:r>
          </w:p>
        </w:tc>
        <w:tc>
          <w:tcPr>
            <w:tcW w:w="5386" w:type="dxa"/>
            <w:vAlign w:val="center"/>
          </w:tcPr>
          <w:p>
            <w:pPr>
              <w:pStyle w:val="12"/>
            </w:pPr>
            <w:r>
              <w:t>进行司法救助的信访积案化解率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补助对象满意度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6、2025年度见义勇为专项资金绩效目标表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13011025P00151610001Q</w:t>
            </w:r>
          </w:p>
        </w:tc>
        <w:tc>
          <w:tcPr>
            <w:tcW w:w="2835" w:type="dxa"/>
            <w:vAlign w:val="center"/>
          </w:tcPr>
          <w:p>
            <w:pPr>
              <w:pStyle w:val="10"/>
            </w:pPr>
            <w:r>
              <w:t>项目名称</w:t>
            </w:r>
          </w:p>
        </w:tc>
        <w:tc>
          <w:tcPr>
            <w:tcW w:w="6095" w:type="dxa"/>
            <w:gridSpan w:val="3"/>
            <w:vAlign w:val="center"/>
          </w:tcPr>
          <w:p>
            <w:pPr>
              <w:pStyle w:val="12"/>
            </w:pPr>
            <w:r>
              <w:t>2025年度见义勇为专项资金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对见义勇为人员进行奖励。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1.鼓励见义勇为行为。对保护国家利益、社会公共利益和他人的人F、财产安全，不顾个人安危，挺身而出的行为进行奖励。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见义勇为奖励率</w:t>
            </w:r>
          </w:p>
        </w:tc>
        <w:tc>
          <w:tcPr>
            <w:tcW w:w="5386" w:type="dxa"/>
            <w:vAlign w:val="center"/>
          </w:tcPr>
          <w:p>
            <w:pPr>
              <w:pStyle w:val="12"/>
            </w:pPr>
            <w:r>
              <w:t>见义勇为人员进行奖励率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见义勇为人员资金发放率（%)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见义勇为人员奖励资金发放及时率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见义勇为奖励金成本</w:t>
            </w:r>
          </w:p>
        </w:tc>
        <w:tc>
          <w:tcPr>
            <w:tcW w:w="5386" w:type="dxa"/>
            <w:vAlign w:val="center"/>
          </w:tcPr>
          <w:p>
            <w:pPr>
              <w:pStyle w:val="12"/>
            </w:pPr>
            <w:r>
              <w:t>见义勇为奖励金成本</w:t>
            </w:r>
          </w:p>
        </w:tc>
        <w:tc>
          <w:tcPr>
            <w:tcW w:w="2268" w:type="dxa"/>
            <w:vAlign w:val="center"/>
          </w:tcPr>
          <w:p>
            <w:pPr>
              <w:pStyle w:val="12"/>
            </w:pPr>
            <w:r>
              <w:t>奖励申请表</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社会影响力较好弘扬正能量</w:t>
            </w:r>
          </w:p>
        </w:tc>
        <w:tc>
          <w:tcPr>
            <w:tcW w:w="2268" w:type="dxa"/>
            <w:vAlign w:val="center"/>
          </w:tcPr>
          <w:p>
            <w:pPr>
              <w:pStyle w:val="12"/>
            </w:pPr>
            <w:r>
              <w:t>弘扬正能量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传播推广见义勇为事件</w:t>
            </w:r>
          </w:p>
        </w:tc>
        <w:tc>
          <w:tcPr>
            <w:tcW w:w="5386" w:type="dxa"/>
            <w:vAlign w:val="center"/>
          </w:tcPr>
          <w:p>
            <w:pPr>
              <w:pStyle w:val="12"/>
            </w:pPr>
            <w:r>
              <w:t>传播推广见义勇为</w:t>
            </w:r>
          </w:p>
        </w:tc>
        <w:tc>
          <w:tcPr>
            <w:tcW w:w="2268" w:type="dxa"/>
            <w:vAlign w:val="center"/>
          </w:tcPr>
          <w:p>
            <w:pPr>
              <w:pStyle w:val="12"/>
            </w:pPr>
            <w:r>
              <w:t>有效传播见义勇为事件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受奖励的见义勇为人满意度</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7、2025年度精神障碍管理服务专项经费绩效目标表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13011025P00003910001Y</w:t>
            </w:r>
          </w:p>
        </w:tc>
        <w:tc>
          <w:tcPr>
            <w:tcW w:w="2835" w:type="dxa"/>
            <w:vAlign w:val="center"/>
          </w:tcPr>
          <w:p>
            <w:pPr>
              <w:pStyle w:val="10"/>
            </w:pPr>
            <w:r>
              <w:t>项目名称</w:t>
            </w:r>
          </w:p>
        </w:tc>
        <w:tc>
          <w:tcPr>
            <w:tcW w:w="6095" w:type="dxa"/>
            <w:gridSpan w:val="3"/>
            <w:vAlign w:val="center"/>
          </w:tcPr>
          <w:p>
            <w:pPr>
              <w:pStyle w:val="12"/>
            </w:pPr>
            <w:r>
              <w:t>2025年度精神障碍管理服务专项经费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60.47</w:t>
            </w:r>
          </w:p>
        </w:tc>
        <w:tc>
          <w:tcPr>
            <w:tcW w:w="2835" w:type="dxa"/>
            <w:vAlign w:val="center"/>
          </w:tcPr>
          <w:p>
            <w:pPr>
              <w:pStyle w:val="10"/>
            </w:pPr>
            <w:r>
              <w:t>其中：财政    资金</w:t>
            </w:r>
          </w:p>
        </w:tc>
        <w:tc>
          <w:tcPr>
            <w:tcW w:w="2551" w:type="dxa"/>
            <w:vAlign w:val="center"/>
          </w:tcPr>
          <w:p>
            <w:pPr>
              <w:pStyle w:val="12"/>
            </w:pPr>
            <w:r>
              <w:t>60.47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用于缴纳精神障碍患者监护人责任险及发放精神障碍患者监护人以奖代补资金，对家庭极其困难的精神障碍患者进行救助。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1.1、截至2024年10月份，全区共有在册精神障碍患者2840人，监护人责任险每人每年100元，共计28.4万元；</w:t>
            </w:r>
          </w:p>
          <w:p>
            <w:pPr>
              <w:pStyle w:val="12"/>
            </w:pPr>
            <w:r>
              <w:t>2、根据</w:t>
            </w:r>
            <w:r>
              <w:rPr>
                <w:rFonts w:hint="eastAsia"/>
                <w:lang w:eastAsia="zh-CN"/>
              </w:rPr>
              <w:t>市委政法委</w:t>
            </w:r>
            <w:r>
              <w:t>文件要求，对精神障碍患者试行有奖监护，按照三级以上不低于200元标准，我区三级以上119人，监护人以奖代补每人每月200元，共28.56万元;</w:t>
            </w:r>
          </w:p>
          <w:p>
            <w:pPr>
              <w:pStyle w:val="12"/>
            </w:pPr>
            <w:r>
              <w:t>3、对家庭极其困难的严重精神障碍患者家庭进行救助，救赎基金20万元，确保不发生危害社会安全的案件，有效维护社会稳定。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购买责任险人数</w:t>
            </w:r>
          </w:p>
        </w:tc>
        <w:tc>
          <w:tcPr>
            <w:tcW w:w="5386" w:type="dxa"/>
            <w:vAlign w:val="center"/>
          </w:tcPr>
          <w:p>
            <w:pPr>
              <w:pStyle w:val="12"/>
            </w:pPr>
            <w:r>
              <w:t>精神障碍患者购买责任险人数</w:t>
            </w:r>
          </w:p>
        </w:tc>
        <w:tc>
          <w:tcPr>
            <w:tcW w:w="2268" w:type="dxa"/>
            <w:vAlign w:val="center"/>
          </w:tcPr>
          <w:p>
            <w:pPr>
              <w:pStyle w:val="12"/>
            </w:pPr>
            <w:r>
              <w:t>2840人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责任险标准</w:t>
            </w:r>
          </w:p>
        </w:tc>
        <w:tc>
          <w:tcPr>
            <w:tcW w:w="5386" w:type="dxa"/>
            <w:vAlign w:val="center"/>
          </w:tcPr>
          <w:p>
            <w:pPr>
              <w:pStyle w:val="12"/>
            </w:pPr>
            <w:r>
              <w:t>精神障碍患者购买责任险标准</w:t>
            </w:r>
          </w:p>
        </w:tc>
        <w:tc>
          <w:tcPr>
            <w:tcW w:w="2268" w:type="dxa"/>
            <w:vAlign w:val="center"/>
          </w:tcPr>
          <w:p>
            <w:pPr>
              <w:pStyle w:val="12"/>
            </w:pPr>
            <w:r>
              <w:t>100元/人</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以奖代补人数</w:t>
            </w:r>
          </w:p>
        </w:tc>
        <w:tc>
          <w:tcPr>
            <w:tcW w:w="5386" w:type="dxa"/>
            <w:vAlign w:val="center"/>
          </w:tcPr>
          <w:p>
            <w:pPr>
              <w:pStyle w:val="12"/>
            </w:pPr>
            <w:r>
              <w:t>三级以上精神障碍患者监护人以奖代补人数</w:t>
            </w:r>
          </w:p>
        </w:tc>
        <w:tc>
          <w:tcPr>
            <w:tcW w:w="2268" w:type="dxa"/>
            <w:vAlign w:val="center"/>
          </w:tcPr>
          <w:p>
            <w:pPr>
              <w:pStyle w:val="12"/>
            </w:pPr>
            <w:r>
              <w:t>119人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以奖代补标准</w:t>
            </w:r>
          </w:p>
        </w:tc>
        <w:tc>
          <w:tcPr>
            <w:tcW w:w="5386" w:type="dxa"/>
            <w:vAlign w:val="center"/>
          </w:tcPr>
          <w:p>
            <w:pPr>
              <w:pStyle w:val="12"/>
            </w:pPr>
            <w:r>
              <w:t>三级以上精神障碍患者监护人以奖代补标准</w:t>
            </w:r>
          </w:p>
        </w:tc>
        <w:tc>
          <w:tcPr>
            <w:tcW w:w="2268" w:type="dxa"/>
            <w:vAlign w:val="center"/>
          </w:tcPr>
          <w:p>
            <w:pPr>
              <w:pStyle w:val="12"/>
            </w:pPr>
            <w:r>
              <w:t>≤200元/月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以奖代补资金发放及时率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责任险覆盖率</w:t>
            </w:r>
          </w:p>
        </w:tc>
        <w:tc>
          <w:tcPr>
            <w:tcW w:w="5386" w:type="dxa"/>
            <w:vAlign w:val="center"/>
          </w:tcPr>
          <w:p>
            <w:pPr>
              <w:pStyle w:val="12"/>
            </w:pPr>
            <w:r>
              <w:t>精神障碍患者责任险覆盖率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以奖代补人员覆盖率</w:t>
            </w:r>
          </w:p>
        </w:tc>
        <w:tc>
          <w:tcPr>
            <w:tcW w:w="5386" w:type="dxa"/>
            <w:vAlign w:val="center"/>
          </w:tcPr>
          <w:p>
            <w:pPr>
              <w:pStyle w:val="12"/>
            </w:pPr>
            <w:r>
              <w:t>三级以上精神障碍患者监护人以奖代补发放覆盖率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特困精神障碍患者救助覆盖率</w:t>
            </w:r>
          </w:p>
        </w:tc>
        <w:tc>
          <w:tcPr>
            <w:tcW w:w="5386" w:type="dxa"/>
            <w:vAlign w:val="center"/>
          </w:tcPr>
          <w:p>
            <w:pPr>
              <w:pStyle w:val="12"/>
            </w:pPr>
            <w:r>
              <w:t>家庭特困的精神障碍患者进行救助覆盖率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特困精神障碍患者救助及时率</w:t>
            </w:r>
          </w:p>
        </w:tc>
        <w:tc>
          <w:tcPr>
            <w:tcW w:w="5386" w:type="dxa"/>
            <w:vAlign w:val="center"/>
          </w:tcPr>
          <w:p>
            <w:pPr>
              <w:pStyle w:val="12"/>
            </w:pPr>
            <w:r>
              <w:t>家庭特困的精神障碍患者进行救助及时率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发生肇事肇祸案件数量</w:t>
            </w:r>
          </w:p>
        </w:tc>
        <w:tc>
          <w:tcPr>
            <w:tcW w:w="5386" w:type="dxa"/>
            <w:vAlign w:val="center"/>
          </w:tcPr>
          <w:p>
            <w:pPr>
              <w:pStyle w:val="12"/>
            </w:pPr>
            <w:r>
              <w:t>精神障碍患者肇事肇祸发生次数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推进社会治理现代化</w:t>
            </w:r>
          </w:p>
        </w:tc>
        <w:tc>
          <w:tcPr>
            <w:tcW w:w="5386" w:type="dxa"/>
            <w:vAlign w:val="center"/>
          </w:tcPr>
          <w:p>
            <w:pPr>
              <w:pStyle w:val="12"/>
            </w:pPr>
            <w:r>
              <w:t>推进社会治理现代化</w:t>
            </w:r>
          </w:p>
        </w:tc>
        <w:tc>
          <w:tcPr>
            <w:tcW w:w="2268" w:type="dxa"/>
            <w:vAlign w:val="center"/>
          </w:tcPr>
          <w:p>
            <w:pPr>
              <w:pStyle w:val="12"/>
            </w:pPr>
            <w:r>
              <w:t>有效推进社会治理现代化</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精神障碍患者救助满意度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8、2025年度农村（社区）综治视联网建设项目绩效目标表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13011025P00003810003G</w:t>
            </w:r>
          </w:p>
        </w:tc>
        <w:tc>
          <w:tcPr>
            <w:tcW w:w="2835" w:type="dxa"/>
            <w:vAlign w:val="center"/>
          </w:tcPr>
          <w:p>
            <w:pPr>
              <w:pStyle w:val="10"/>
            </w:pPr>
            <w:r>
              <w:t>项目名称</w:t>
            </w:r>
          </w:p>
        </w:tc>
        <w:tc>
          <w:tcPr>
            <w:tcW w:w="6095" w:type="dxa"/>
            <w:gridSpan w:val="3"/>
            <w:vAlign w:val="center"/>
          </w:tcPr>
          <w:p>
            <w:pPr>
              <w:pStyle w:val="12"/>
            </w:pPr>
            <w:r>
              <w:t>2025年度农村（社区）综治视联网建设项目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19.36</w:t>
            </w:r>
          </w:p>
        </w:tc>
        <w:tc>
          <w:tcPr>
            <w:tcW w:w="2835" w:type="dxa"/>
            <w:vAlign w:val="center"/>
          </w:tcPr>
          <w:p>
            <w:pPr>
              <w:pStyle w:val="10"/>
            </w:pPr>
            <w:r>
              <w:t>其中：财政    资金</w:t>
            </w:r>
          </w:p>
        </w:tc>
        <w:tc>
          <w:tcPr>
            <w:tcW w:w="2551" w:type="dxa"/>
            <w:vAlign w:val="center"/>
          </w:tcPr>
          <w:p>
            <w:pPr>
              <w:pStyle w:val="12"/>
            </w:pPr>
            <w:r>
              <w:t>19.36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用于光纤租赁费用及运维费用。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1.综治视联网每村每年链路租赁费2400元，39个村共计：9.36万元；综治视联网运维费用10万元，保障综治视联网畅联畅通。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综治视联网开通数量</w:t>
            </w:r>
          </w:p>
        </w:tc>
        <w:tc>
          <w:tcPr>
            <w:tcW w:w="5386" w:type="dxa"/>
            <w:vAlign w:val="center"/>
          </w:tcPr>
          <w:p>
            <w:pPr>
              <w:pStyle w:val="12"/>
            </w:pPr>
            <w:r>
              <w:t>区综治视联网开通数量</w:t>
            </w:r>
          </w:p>
        </w:tc>
        <w:tc>
          <w:tcPr>
            <w:tcW w:w="2268" w:type="dxa"/>
            <w:vAlign w:val="center"/>
          </w:tcPr>
          <w:p>
            <w:pPr>
              <w:pStyle w:val="12"/>
            </w:pPr>
            <w:r>
              <w:t>39村</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光纤租赁成本</w:t>
            </w:r>
          </w:p>
        </w:tc>
        <w:tc>
          <w:tcPr>
            <w:tcW w:w="5386" w:type="dxa"/>
            <w:vAlign w:val="center"/>
          </w:tcPr>
          <w:p>
            <w:pPr>
              <w:pStyle w:val="12"/>
            </w:pPr>
            <w:r>
              <w:t>光纤租赁成本</w:t>
            </w:r>
          </w:p>
        </w:tc>
        <w:tc>
          <w:tcPr>
            <w:tcW w:w="2268" w:type="dxa"/>
            <w:vAlign w:val="center"/>
          </w:tcPr>
          <w:p>
            <w:pPr>
              <w:pStyle w:val="12"/>
            </w:pPr>
            <w:r>
              <w:t>2400元/年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光纤网络等维护响应时间</w:t>
            </w:r>
          </w:p>
        </w:tc>
        <w:tc>
          <w:tcPr>
            <w:tcW w:w="5386" w:type="dxa"/>
            <w:vAlign w:val="center"/>
          </w:tcPr>
          <w:p>
            <w:pPr>
              <w:pStyle w:val="12"/>
            </w:pPr>
            <w:r>
              <w:t>光纤网络等维护响应时间</w:t>
            </w:r>
          </w:p>
        </w:tc>
        <w:tc>
          <w:tcPr>
            <w:tcW w:w="2268" w:type="dxa"/>
            <w:vAlign w:val="center"/>
          </w:tcPr>
          <w:p>
            <w:pPr>
              <w:pStyle w:val="12"/>
            </w:pPr>
            <w:r>
              <w:t>≤1天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光纤故障率</w:t>
            </w:r>
          </w:p>
        </w:tc>
        <w:tc>
          <w:tcPr>
            <w:tcW w:w="5386" w:type="dxa"/>
            <w:vAlign w:val="center"/>
          </w:tcPr>
          <w:p>
            <w:pPr>
              <w:pStyle w:val="12"/>
            </w:pPr>
            <w:r>
              <w:t>光纤故障率</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保障39个村的视联网建设畅通</w:t>
            </w:r>
          </w:p>
        </w:tc>
        <w:tc>
          <w:tcPr>
            <w:tcW w:w="5386" w:type="dxa"/>
            <w:vAlign w:val="center"/>
          </w:tcPr>
          <w:p>
            <w:pPr>
              <w:pStyle w:val="12"/>
            </w:pPr>
            <w:r>
              <w:t>能否保39个村的综治视联网建设线路畅通</w:t>
            </w:r>
          </w:p>
        </w:tc>
        <w:tc>
          <w:tcPr>
            <w:tcW w:w="2268" w:type="dxa"/>
            <w:vAlign w:val="center"/>
          </w:tcPr>
          <w:p>
            <w:pPr>
              <w:pStyle w:val="12"/>
            </w:pPr>
            <w:r>
              <w:t>保障线路畅通</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推进社会治理现代化</w:t>
            </w:r>
          </w:p>
        </w:tc>
        <w:tc>
          <w:tcPr>
            <w:tcW w:w="5386" w:type="dxa"/>
            <w:vAlign w:val="center"/>
          </w:tcPr>
          <w:p>
            <w:pPr>
              <w:pStyle w:val="12"/>
            </w:pPr>
            <w:r>
              <w:t>推进社会治理现代化</w:t>
            </w:r>
          </w:p>
        </w:tc>
        <w:tc>
          <w:tcPr>
            <w:tcW w:w="2268" w:type="dxa"/>
            <w:vAlign w:val="center"/>
          </w:tcPr>
          <w:p>
            <w:pPr>
              <w:pStyle w:val="12"/>
            </w:pPr>
            <w:r>
              <w:t>有效推进社会治理现代化</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83个村的满意度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9、2025年度区综治中心水电暖等日常运行费用绩效目标表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13011025P00151210011X</w:t>
            </w:r>
          </w:p>
        </w:tc>
        <w:tc>
          <w:tcPr>
            <w:tcW w:w="2835" w:type="dxa"/>
            <w:vAlign w:val="center"/>
          </w:tcPr>
          <w:p>
            <w:pPr>
              <w:pStyle w:val="10"/>
            </w:pPr>
            <w:r>
              <w:t>项目名称</w:t>
            </w:r>
          </w:p>
        </w:tc>
        <w:tc>
          <w:tcPr>
            <w:tcW w:w="6095" w:type="dxa"/>
            <w:gridSpan w:val="3"/>
            <w:vAlign w:val="center"/>
          </w:tcPr>
          <w:p>
            <w:pPr>
              <w:pStyle w:val="12"/>
            </w:pPr>
            <w:r>
              <w:t>2025年度区综治中心水电暖等日常运行费用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支付综治中心水、电、网络宽带费用。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1.综治中心水电网络宽带等日常运行消耗，保障区综治中心正常运行。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综治中心运转保障率</w:t>
            </w:r>
          </w:p>
        </w:tc>
        <w:tc>
          <w:tcPr>
            <w:tcW w:w="5386" w:type="dxa"/>
            <w:vAlign w:val="center"/>
          </w:tcPr>
          <w:p>
            <w:pPr>
              <w:pStyle w:val="12"/>
            </w:pPr>
            <w:r>
              <w:t>综治中心运转保障情况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综治中心工作完成率</w:t>
            </w:r>
          </w:p>
        </w:tc>
        <w:tc>
          <w:tcPr>
            <w:tcW w:w="5386" w:type="dxa"/>
            <w:vAlign w:val="center"/>
          </w:tcPr>
          <w:p>
            <w:pPr>
              <w:pStyle w:val="12"/>
            </w:pPr>
            <w:r>
              <w:t>综治中心工作完成情况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综治中心工作按时完成率</w:t>
            </w:r>
          </w:p>
        </w:tc>
        <w:tc>
          <w:tcPr>
            <w:tcW w:w="5386" w:type="dxa"/>
            <w:vAlign w:val="center"/>
          </w:tcPr>
          <w:p>
            <w:pPr>
              <w:pStyle w:val="12"/>
            </w:pPr>
            <w:r>
              <w:t>综治中心工作按时完成情况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运行成本</w:t>
            </w:r>
          </w:p>
        </w:tc>
        <w:tc>
          <w:tcPr>
            <w:tcW w:w="5386" w:type="dxa"/>
            <w:vAlign w:val="center"/>
          </w:tcPr>
          <w:p>
            <w:pPr>
              <w:pStyle w:val="12"/>
            </w:pPr>
            <w:r>
              <w:t>运行成本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能够长期使用，满足工作人员正常的需求。</w:t>
            </w:r>
          </w:p>
        </w:tc>
        <w:tc>
          <w:tcPr>
            <w:tcW w:w="2268" w:type="dxa"/>
            <w:vAlign w:val="center"/>
          </w:tcPr>
          <w:p>
            <w:pPr>
              <w:pStyle w:val="12"/>
            </w:pPr>
            <w:r>
              <w:t>可长期使用</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群众对成立综治中心的整体满意度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10、2025年度扫黑除恶</w:t>
      </w:r>
      <w:r>
        <w:rPr>
          <w:rFonts w:hint="eastAsia" w:ascii="方正仿宋_GBK" w:hAnsi="方正仿宋_GBK" w:eastAsia="方正仿宋_GBK" w:cs="方正仿宋_GBK"/>
          <w:b/>
          <w:color w:val="000000"/>
          <w:sz w:val="28"/>
          <w:lang w:eastAsia="zh-CN"/>
        </w:rPr>
        <w:t>专项斗争</w:t>
      </w:r>
      <w:r>
        <w:rPr>
          <w:rFonts w:ascii="方正仿宋_GBK" w:hAnsi="方正仿宋_GBK" w:eastAsia="方正仿宋_GBK" w:cs="方正仿宋_GBK"/>
          <w:b/>
          <w:color w:val="000000"/>
          <w:sz w:val="28"/>
        </w:rPr>
        <w:t>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13011025P00151610002C</w:t>
            </w:r>
          </w:p>
        </w:tc>
        <w:tc>
          <w:tcPr>
            <w:tcW w:w="2835" w:type="dxa"/>
            <w:vAlign w:val="center"/>
          </w:tcPr>
          <w:p>
            <w:pPr>
              <w:pStyle w:val="10"/>
            </w:pPr>
            <w:r>
              <w:t>项目名称</w:t>
            </w:r>
          </w:p>
        </w:tc>
        <w:tc>
          <w:tcPr>
            <w:tcW w:w="6095" w:type="dxa"/>
            <w:gridSpan w:val="3"/>
            <w:vAlign w:val="center"/>
          </w:tcPr>
          <w:p>
            <w:pPr>
              <w:pStyle w:val="12"/>
            </w:pPr>
            <w:r>
              <w:t>2025年度扫黑除恶</w:t>
            </w:r>
            <w:r>
              <w:rPr>
                <w:rFonts w:hint="eastAsia"/>
                <w:lang w:eastAsia="zh-CN"/>
              </w:rPr>
              <w:t>专项斗争</w:t>
            </w:r>
            <w:r>
              <w:t>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集中办公，制作条幅、手册、彩页、宣传片等宣传材料和组织各种活动对全区13个乡镇进行208个村进行宣传。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区扫黑除恶专项斗争领导小组办公室抽调人员，集中办公，制作条幅、手册、彩页、宣传片等宣传材料和组织各种活动对全区13个乡镇进行208个村进行宣传，坚持依法严惩、一案三查，对行业领域开展专项整治，夯实基层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扫黑除恶宣传村数</w:t>
            </w:r>
          </w:p>
        </w:tc>
        <w:tc>
          <w:tcPr>
            <w:tcW w:w="5386" w:type="dxa"/>
            <w:vAlign w:val="center"/>
          </w:tcPr>
          <w:p>
            <w:pPr>
              <w:pStyle w:val="12"/>
            </w:pPr>
            <w:r>
              <w:t>全区覆盖</w:t>
            </w:r>
          </w:p>
        </w:tc>
        <w:tc>
          <w:tcPr>
            <w:tcW w:w="2268" w:type="dxa"/>
            <w:vAlign w:val="center"/>
          </w:tcPr>
          <w:p>
            <w:pPr>
              <w:pStyle w:val="12"/>
            </w:pPr>
            <w:r>
              <w:t>208个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工作完成情况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工作成本</w:t>
            </w:r>
          </w:p>
        </w:tc>
        <w:tc>
          <w:tcPr>
            <w:tcW w:w="5386" w:type="dxa"/>
            <w:vAlign w:val="center"/>
          </w:tcPr>
          <w:p>
            <w:pPr>
              <w:pStyle w:val="12"/>
            </w:pPr>
            <w:r>
              <w:t>公作成本</w:t>
            </w:r>
          </w:p>
        </w:tc>
        <w:tc>
          <w:tcPr>
            <w:tcW w:w="2268" w:type="dxa"/>
            <w:vAlign w:val="center"/>
          </w:tcPr>
          <w:p>
            <w:pPr>
              <w:pStyle w:val="12"/>
            </w:pPr>
            <w:r>
              <w:t>控制在预算范围内</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群众安全指数</w:t>
            </w:r>
          </w:p>
        </w:tc>
        <w:tc>
          <w:tcPr>
            <w:tcW w:w="5386" w:type="dxa"/>
            <w:vAlign w:val="center"/>
          </w:tcPr>
          <w:p>
            <w:pPr>
              <w:pStyle w:val="12"/>
            </w:pPr>
            <w:r>
              <w:t>群众安全指数</w:t>
            </w:r>
          </w:p>
        </w:tc>
        <w:tc>
          <w:tcPr>
            <w:tcW w:w="2268" w:type="dxa"/>
            <w:vAlign w:val="center"/>
          </w:tcPr>
          <w:p>
            <w:pPr>
              <w:pStyle w:val="12"/>
            </w:pPr>
            <w:r>
              <w:t>提高群众安全指数</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有效维护了社会稳定</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群众安全感满意度</w:t>
            </w:r>
          </w:p>
        </w:tc>
        <w:tc>
          <w:tcPr>
            <w:tcW w:w="5386" w:type="dxa"/>
            <w:vAlign w:val="center"/>
          </w:tcPr>
          <w:p>
            <w:pPr>
              <w:pStyle w:val="12"/>
            </w:pPr>
            <w:r>
              <w:t>群众安全感满意度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11、2025年度社会矛盾纠纷多元化解中心工作经费（社会矛盾纠纷化解工作）绩效目标表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13011025P00003810006B</w:t>
            </w:r>
          </w:p>
        </w:tc>
        <w:tc>
          <w:tcPr>
            <w:tcW w:w="2835" w:type="dxa"/>
            <w:vAlign w:val="center"/>
          </w:tcPr>
          <w:p>
            <w:pPr>
              <w:pStyle w:val="10"/>
            </w:pPr>
            <w:r>
              <w:t>项目名称</w:t>
            </w:r>
          </w:p>
        </w:tc>
        <w:tc>
          <w:tcPr>
            <w:tcW w:w="6095" w:type="dxa"/>
            <w:gridSpan w:val="3"/>
            <w:vAlign w:val="center"/>
          </w:tcPr>
          <w:p>
            <w:pPr>
              <w:pStyle w:val="12"/>
            </w:pPr>
            <w:r>
              <w:t>2025年度社会矛盾纠纷多元化解中心工作经费（社会矛盾纠纷化解工作）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我区208村均已建成调解室，用于乡村调解室建设，培树和支持调解典型，支持行业调委会建设，及区调解中心设备购置维修、宣传奖励等日常运行费用。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我区208村均已建成调解室，用于乡村调解室建设，培树和支持调解典型，支持行业调委会建设，及区调解中心设备购置维修、宣传奖励等日常运行费用。深入矛盾隐患排查化解工作，确保小事不出村，大事不出乡，有效化解矛盾纠纷、促进社会和谐。2、保障多元化解中心正常运行，综合协调、指挥调度社会矛盾纠纷化解相关工作，开展“一站式”纠纷化解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调解室数量</w:t>
            </w:r>
          </w:p>
        </w:tc>
        <w:tc>
          <w:tcPr>
            <w:tcW w:w="5386" w:type="dxa"/>
            <w:vAlign w:val="center"/>
          </w:tcPr>
          <w:p>
            <w:pPr>
              <w:pStyle w:val="12"/>
            </w:pPr>
            <w:r>
              <w:t>设立调解室数量</w:t>
            </w:r>
          </w:p>
        </w:tc>
        <w:tc>
          <w:tcPr>
            <w:tcW w:w="2268" w:type="dxa"/>
            <w:vAlign w:val="center"/>
          </w:tcPr>
          <w:p>
            <w:pPr>
              <w:pStyle w:val="12"/>
            </w:pPr>
            <w:r>
              <w:t>208个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矛盾隐患化解率（%）</w:t>
            </w:r>
          </w:p>
        </w:tc>
        <w:tc>
          <w:tcPr>
            <w:tcW w:w="5386" w:type="dxa"/>
            <w:vAlign w:val="center"/>
          </w:tcPr>
          <w:p>
            <w:pPr>
              <w:pStyle w:val="12"/>
            </w:pPr>
            <w:r>
              <w:t>矛盾隐患化解率（%）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矛盾纠纷排查及时率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多元化解工作成本</w:t>
            </w:r>
          </w:p>
        </w:tc>
        <w:tc>
          <w:tcPr>
            <w:tcW w:w="5386" w:type="dxa"/>
            <w:vAlign w:val="center"/>
          </w:tcPr>
          <w:p>
            <w:pPr>
              <w:pStyle w:val="12"/>
            </w:pPr>
            <w:r>
              <w:t>多元化解工作成本</w:t>
            </w:r>
          </w:p>
        </w:tc>
        <w:tc>
          <w:tcPr>
            <w:tcW w:w="2268" w:type="dxa"/>
            <w:vAlign w:val="center"/>
          </w:tcPr>
          <w:p>
            <w:pPr>
              <w:pStyle w:val="12"/>
            </w:pPr>
            <w:r>
              <w:t>≤20万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推进社会治理现代化</w:t>
            </w:r>
          </w:p>
        </w:tc>
        <w:tc>
          <w:tcPr>
            <w:tcW w:w="5386" w:type="dxa"/>
            <w:vAlign w:val="center"/>
          </w:tcPr>
          <w:p>
            <w:pPr>
              <w:pStyle w:val="12"/>
            </w:pPr>
            <w:r>
              <w:t>推进社会治理现代化</w:t>
            </w:r>
          </w:p>
        </w:tc>
        <w:tc>
          <w:tcPr>
            <w:tcW w:w="2268" w:type="dxa"/>
            <w:vAlign w:val="center"/>
          </w:tcPr>
          <w:p>
            <w:pPr>
              <w:pStyle w:val="12"/>
            </w:pPr>
            <w:r>
              <w:t>有效推进社会治理现代化</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公众安全感指数(%)</w:t>
            </w:r>
          </w:p>
        </w:tc>
        <w:tc>
          <w:tcPr>
            <w:tcW w:w="5386" w:type="dxa"/>
            <w:vAlign w:val="center"/>
          </w:tcPr>
          <w:p>
            <w:pPr>
              <w:pStyle w:val="12"/>
            </w:pPr>
            <w:r>
              <w:t>公众安全感指数(%)</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12、2025年度铁路护路联防工作经费绩效目标表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13011025P00003810007Y</w:t>
            </w:r>
          </w:p>
        </w:tc>
        <w:tc>
          <w:tcPr>
            <w:tcW w:w="2835" w:type="dxa"/>
            <w:vAlign w:val="center"/>
          </w:tcPr>
          <w:p>
            <w:pPr>
              <w:pStyle w:val="10"/>
            </w:pPr>
            <w:r>
              <w:t>项目名称</w:t>
            </w:r>
          </w:p>
        </w:tc>
        <w:tc>
          <w:tcPr>
            <w:tcW w:w="6095" w:type="dxa"/>
            <w:gridSpan w:val="3"/>
            <w:vAlign w:val="center"/>
          </w:tcPr>
          <w:p>
            <w:pPr>
              <w:pStyle w:val="12"/>
            </w:pPr>
            <w:r>
              <w:t>2025年度铁路护路联防工作经费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聘用铁路沿线村民设置49个护路点，做好重要时期护路安保工。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1.聘用铁路沿线村民设置49个护路点，做好重要时期护路安保工作，保障安全畅通。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护路点的个数</w:t>
            </w:r>
          </w:p>
        </w:tc>
        <w:tc>
          <w:tcPr>
            <w:tcW w:w="5386" w:type="dxa"/>
            <w:vAlign w:val="center"/>
          </w:tcPr>
          <w:p>
            <w:pPr>
              <w:pStyle w:val="12"/>
            </w:pPr>
            <w:r>
              <w:t>全区护路点位个数</w:t>
            </w:r>
          </w:p>
        </w:tc>
        <w:tc>
          <w:tcPr>
            <w:tcW w:w="2268" w:type="dxa"/>
            <w:vAlign w:val="center"/>
          </w:tcPr>
          <w:p>
            <w:pPr>
              <w:pStyle w:val="12"/>
            </w:pPr>
            <w:r>
              <w:t>49个</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护路点看护人员发现问题上报及时率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5386" w:type="dxa"/>
            <w:vAlign w:val="center"/>
          </w:tcPr>
          <w:p>
            <w:pPr>
              <w:pStyle w:val="12"/>
            </w:pPr>
            <w:r>
              <w:t>护路点位看护人员覆盖率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控制在预算资金内</w:t>
            </w:r>
          </w:p>
        </w:tc>
        <w:tc>
          <w:tcPr>
            <w:tcW w:w="5386" w:type="dxa"/>
            <w:vAlign w:val="center"/>
          </w:tcPr>
          <w:p>
            <w:pPr>
              <w:pStyle w:val="12"/>
            </w:pPr>
            <w:r>
              <w:t>控制在预算资金内</w:t>
            </w:r>
          </w:p>
        </w:tc>
        <w:tc>
          <w:tcPr>
            <w:tcW w:w="2268" w:type="dxa"/>
            <w:vAlign w:val="center"/>
          </w:tcPr>
          <w:p>
            <w:pPr>
              <w:pStyle w:val="12"/>
            </w:pPr>
            <w:r>
              <w:t>控制在预算范围内</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涉路矛盾排查化解率</w:t>
            </w:r>
          </w:p>
        </w:tc>
        <w:tc>
          <w:tcPr>
            <w:tcW w:w="5386" w:type="dxa"/>
            <w:vAlign w:val="center"/>
          </w:tcPr>
          <w:p>
            <w:pPr>
              <w:pStyle w:val="12"/>
            </w:pPr>
            <w:r>
              <w:t>涉路矛盾排查化解率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铁路安全情况</w:t>
            </w:r>
          </w:p>
        </w:tc>
        <w:tc>
          <w:tcPr>
            <w:tcW w:w="5386" w:type="dxa"/>
            <w:vAlign w:val="center"/>
          </w:tcPr>
          <w:p>
            <w:pPr>
              <w:pStyle w:val="12"/>
            </w:pPr>
            <w:r>
              <w:t>重要时期铁路安全情况</w:t>
            </w:r>
          </w:p>
        </w:tc>
        <w:tc>
          <w:tcPr>
            <w:tcW w:w="2268" w:type="dxa"/>
            <w:vAlign w:val="center"/>
          </w:tcPr>
          <w:p>
            <w:pPr>
              <w:pStyle w:val="12"/>
            </w:pPr>
            <w:r>
              <w:t>有所提升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群众安全感满意度</w:t>
            </w:r>
          </w:p>
        </w:tc>
        <w:tc>
          <w:tcPr>
            <w:tcW w:w="5386" w:type="dxa"/>
            <w:vAlign w:val="center"/>
          </w:tcPr>
          <w:p>
            <w:pPr>
              <w:pStyle w:val="12"/>
            </w:pPr>
            <w:r>
              <w:t>群众安全感满意度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13、2025年度铁路沿线视频监控系统建设费用绩效目标表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13011025P00150510006X</w:t>
            </w:r>
          </w:p>
        </w:tc>
        <w:tc>
          <w:tcPr>
            <w:tcW w:w="2835" w:type="dxa"/>
            <w:vAlign w:val="center"/>
          </w:tcPr>
          <w:p>
            <w:pPr>
              <w:pStyle w:val="10"/>
            </w:pPr>
            <w:r>
              <w:t>项目名称</w:t>
            </w:r>
          </w:p>
        </w:tc>
        <w:tc>
          <w:tcPr>
            <w:tcW w:w="6095" w:type="dxa"/>
            <w:gridSpan w:val="3"/>
            <w:vAlign w:val="center"/>
          </w:tcPr>
          <w:p>
            <w:pPr>
              <w:pStyle w:val="12"/>
            </w:pPr>
            <w:r>
              <w:t>2025年度铁路沿线视频监控系统建设费用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铁路沿线安装视频监控设备，保障铁路运输安全。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1.有效维护铁路沿线治安秩序，保障本辖区内铁路安全。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监控建设数量</w:t>
            </w:r>
          </w:p>
        </w:tc>
        <w:tc>
          <w:tcPr>
            <w:tcW w:w="5386" w:type="dxa"/>
            <w:vAlign w:val="center"/>
          </w:tcPr>
          <w:p>
            <w:pPr>
              <w:pStyle w:val="12"/>
            </w:pPr>
            <w:r>
              <w:t>视频监控系统监控点建设数量</w:t>
            </w:r>
          </w:p>
        </w:tc>
        <w:tc>
          <w:tcPr>
            <w:tcW w:w="2268" w:type="dxa"/>
            <w:vAlign w:val="center"/>
          </w:tcPr>
          <w:p>
            <w:pPr>
              <w:pStyle w:val="12"/>
            </w:pPr>
            <w:r>
              <w:t>89个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视频监控运行点位数量</w:t>
            </w:r>
          </w:p>
        </w:tc>
        <w:tc>
          <w:tcPr>
            <w:tcW w:w="5386" w:type="dxa"/>
            <w:vAlign w:val="center"/>
          </w:tcPr>
          <w:p>
            <w:pPr>
              <w:pStyle w:val="12"/>
            </w:pPr>
            <w:r>
              <w:t>正常运行视频监控点位数量</w:t>
            </w:r>
          </w:p>
        </w:tc>
        <w:tc>
          <w:tcPr>
            <w:tcW w:w="2268" w:type="dxa"/>
            <w:vAlign w:val="center"/>
          </w:tcPr>
          <w:p>
            <w:pPr>
              <w:pStyle w:val="12"/>
            </w:pPr>
            <w:r>
              <w:t>89个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视频监控点位安装合格率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视频监控运行成本</w:t>
            </w:r>
          </w:p>
        </w:tc>
        <w:tc>
          <w:tcPr>
            <w:tcW w:w="5386" w:type="dxa"/>
            <w:vAlign w:val="center"/>
          </w:tcPr>
          <w:p>
            <w:pPr>
              <w:pStyle w:val="12"/>
            </w:pPr>
            <w:r>
              <w:t>视频监控运行成本</w:t>
            </w:r>
          </w:p>
        </w:tc>
        <w:tc>
          <w:tcPr>
            <w:tcW w:w="2268" w:type="dxa"/>
            <w:vAlign w:val="center"/>
          </w:tcPr>
          <w:p>
            <w:pPr>
              <w:pStyle w:val="12"/>
            </w:pPr>
            <w:r>
              <w:t>81.03万元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保障铁路运营安全</w:t>
            </w:r>
          </w:p>
        </w:tc>
        <w:tc>
          <w:tcPr>
            <w:tcW w:w="5386" w:type="dxa"/>
            <w:vAlign w:val="center"/>
          </w:tcPr>
          <w:p>
            <w:pPr>
              <w:pStyle w:val="12"/>
            </w:pPr>
            <w:r>
              <w:t>保障铁路运营安全</w:t>
            </w:r>
          </w:p>
        </w:tc>
        <w:tc>
          <w:tcPr>
            <w:tcW w:w="2268" w:type="dxa"/>
            <w:vAlign w:val="center"/>
          </w:tcPr>
          <w:p>
            <w:pPr>
              <w:pStyle w:val="12"/>
            </w:pPr>
            <w:r>
              <w:t>有效保障运营安全</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铁路沿线秩序</w:t>
            </w:r>
          </w:p>
        </w:tc>
        <w:tc>
          <w:tcPr>
            <w:tcW w:w="5386" w:type="dxa"/>
            <w:vAlign w:val="center"/>
          </w:tcPr>
          <w:p>
            <w:pPr>
              <w:pStyle w:val="12"/>
            </w:pPr>
            <w:r>
              <w:t>本辖区铁路沿线治安秩序</w:t>
            </w:r>
          </w:p>
        </w:tc>
        <w:tc>
          <w:tcPr>
            <w:tcW w:w="2268" w:type="dxa"/>
            <w:vAlign w:val="center"/>
          </w:tcPr>
          <w:p>
            <w:pPr>
              <w:pStyle w:val="12"/>
            </w:pPr>
            <w:r>
              <w:t>有效提升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群众对铁路安全满意度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14、2025年度退役军人劳务派遣专项经费绩效目标表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13011025P00154010001C</w:t>
            </w:r>
          </w:p>
        </w:tc>
        <w:tc>
          <w:tcPr>
            <w:tcW w:w="2835" w:type="dxa"/>
            <w:vAlign w:val="center"/>
          </w:tcPr>
          <w:p>
            <w:pPr>
              <w:pStyle w:val="10"/>
            </w:pPr>
            <w:r>
              <w:t>项目名称</w:t>
            </w:r>
          </w:p>
        </w:tc>
        <w:tc>
          <w:tcPr>
            <w:tcW w:w="6095" w:type="dxa"/>
            <w:gridSpan w:val="3"/>
            <w:vAlign w:val="center"/>
          </w:tcPr>
          <w:p>
            <w:pPr>
              <w:pStyle w:val="12"/>
            </w:pPr>
            <w:r>
              <w:t>2025年度退役军人劳务派遣专项经费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11.46</w:t>
            </w:r>
          </w:p>
        </w:tc>
        <w:tc>
          <w:tcPr>
            <w:tcW w:w="2835" w:type="dxa"/>
            <w:vAlign w:val="center"/>
          </w:tcPr>
          <w:p>
            <w:pPr>
              <w:pStyle w:val="10"/>
            </w:pPr>
            <w:r>
              <w:t>其中：财政    资金</w:t>
            </w:r>
          </w:p>
        </w:tc>
        <w:tc>
          <w:tcPr>
            <w:tcW w:w="2551" w:type="dxa"/>
            <w:vAlign w:val="center"/>
          </w:tcPr>
          <w:p>
            <w:pPr>
              <w:pStyle w:val="12"/>
            </w:pPr>
            <w:r>
              <w:t>11.46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用于发放退役军人劳务派遣人员工资及保险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1.我单位对符合就业困难条件军队服役人员2名，实行劳务派遣托管安置，帮扶救助到位，保障人员工资保险发放缴纳到位。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人数</w:t>
            </w:r>
          </w:p>
        </w:tc>
        <w:tc>
          <w:tcPr>
            <w:tcW w:w="5386" w:type="dxa"/>
            <w:vAlign w:val="center"/>
          </w:tcPr>
          <w:p>
            <w:pPr>
              <w:pStyle w:val="12"/>
            </w:pPr>
            <w:r>
              <w:t>安置退役军人劳务派遣岗位人数</w:t>
            </w:r>
          </w:p>
        </w:tc>
        <w:tc>
          <w:tcPr>
            <w:tcW w:w="2268" w:type="dxa"/>
            <w:vAlign w:val="center"/>
          </w:tcPr>
          <w:p>
            <w:pPr>
              <w:pStyle w:val="12"/>
            </w:pPr>
            <w:r>
              <w:t>2人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月工资标准</w:t>
            </w:r>
          </w:p>
        </w:tc>
        <w:tc>
          <w:tcPr>
            <w:tcW w:w="5386" w:type="dxa"/>
            <w:vAlign w:val="center"/>
          </w:tcPr>
          <w:p>
            <w:pPr>
              <w:pStyle w:val="12"/>
            </w:pPr>
            <w:r>
              <w:t>退役军人劳务派遣每月工资标准</w:t>
            </w:r>
          </w:p>
        </w:tc>
        <w:tc>
          <w:tcPr>
            <w:tcW w:w="2268" w:type="dxa"/>
            <w:vAlign w:val="center"/>
          </w:tcPr>
          <w:p>
            <w:pPr>
              <w:pStyle w:val="12"/>
            </w:pPr>
            <w:r>
              <w:t>3400元/月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资助经费及时发放率</w:t>
            </w:r>
          </w:p>
        </w:tc>
        <w:tc>
          <w:tcPr>
            <w:tcW w:w="5386" w:type="dxa"/>
            <w:vAlign w:val="center"/>
          </w:tcPr>
          <w:p>
            <w:pPr>
              <w:pStyle w:val="12"/>
            </w:pPr>
            <w:r>
              <w:t>资金经费能够及时发放占总发放次数比率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托岗安置人数</w:t>
            </w:r>
          </w:p>
        </w:tc>
        <w:tc>
          <w:tcPr>
            <w:tcW w:w="5386" w:type="dxa"/>
            <w:vAlign w:val="center"/>
          </w:tcPr>
          <w:p>
            <w:pPr>
              <w:pStyle w:val="12"/>
            </w:pPr>
            <w:r>
              <w:t>托岗安置劳务派遣人数</w:t>
            </w:r>
          </w:p>
        </w:tc>
        <w:tc>
          <w:tcPr>
            <w:tcW w:w="2268" w:type="dxa"/>
            <w:vAlign w:val="center"/>
          </w:tcPr>
          <w:p>
            <w:pPr>
              <w:pStyle w:val="12"/>
            </w:pPr>
            <w:r>
              <w:t>2人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保障退役军人工资正常发放及保险正常缴纳</w:t>
            </w:r>
          </w:p>
        </w:tc>
        <w:tc>
          <w:tcPr>
            <w:tcW w:w="5386" w:type="dxa"/>
            <w:vAlign w:val="center"/>
          </w:tcPr>
          <w:p>
            <w:pPr>
              <w:pStyle w:val="12"/>
            </w:pPr>
            <w:r>
              <w:t>有效保障人员工资及保险</w:t>
            </w:r>
          </w:p>
        </w:tc>
        <w:tc>
          <w:tcPr>
            <w:tcW w:w="2268" w:type="dxa"/>
            <w:vAlign w:val="center"/>
          </w:tcPr>
          <w:p>
            <w:pPr>
              <w:pStyle w:val="12"/>
            </w:pPr>
            <w:r>
              <w:t>确保人员工资及保险的缴纳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安置退役军人满意度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15、2025年度维稳专项经费绩效目标表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13011025P00003810002W</w:t>
            </w:r>
          </w:p>
        </w:tc>
        <w:tc>
          <w:tcPr>
            <w:tcW w:w="2835" w:type="dxa"/>
            <w:vAlign w:val="center"/>
          </w:tcPr>
          <w:p>
            <w:pPr>
              <w:pStyle w:val="10"/>
            </w:pPr>
            <w:r>
              <w:t>项目名称</w:t>
            </w:r>
          </w:p>
        </w:tc>
        <w:tc>
          <w:tcPr>
            <w:tcW w:w="6095" w:type="dxa"/>
            <w:gridSpan w:val="3"/>
            <w:vAlign w:val="center"/>
          </w:tcPr>
          <w:p>
            <w:pPr>
              <w:pStyle w:val="12"/>
            </w:pPr>
            <w:r>
              <w:t>2025年度维稳专项经费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w:t>
            </w:r>
            <w:r>
              <w:rPr>
                <w:rFonts w:hint="eastAsia"/>
                <w:lang w:eastAsia="zh-CN"/>
              </w:rPr>
              <w:t>全国两会</w:t>
            </w:r>
            <w:r>
              <w:t>、“六四”、”十一“等重大敏感时间节点安保维稳工作，确保各乡镇区涉稳重点人员、群体稳定。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w:t>
            </w:r>
            <w:r>
              <w:rPr>
                <w:rFonts w:hint="eastAsia"/>
                <w:lang w:eastAsia="zh-CN"/>
              </w:rPr>
              <w:t>全国两会</w:t>
            </w:r>
            <w:r>
              <w:t>、“六四”、”十一“等重大敏感时间节点安保维稳工作，确保各乡镇区涉稳重点人员、群体稳定，全力做好全区社会稳定工作，确保不发生重大影响社会稳定的案（事）件。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维稳节点数量</w:t>
            </w:r>
          </w:p>
        </w:tc>
        <w:tc>
          <w:tcPr>
            <w:tcW w:w="5386" w:type="dxa"/>
            <w:vAlign w:val="center"/>
          </w:tcPr>
          <w:p>
            <w:pPr>
              <w:pStyle w:val="12"/>
            </w:pPr>
            <w:r>
              <w:t>重点时期维稳节点数量</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群体性事件成功处置率（%）</w:t>
            </w:r>
          </w:p>
        </w:tc>
        <w:tc>
          <w:tcPr>
            <w:tcW w:w="5386" w:type="dxa"/>
            <w:vAlign w:val="center"/>
          </w:tcPr>
          <w:p>
            <w:pPr>
              <w:pStyle w:val="12"/>
            </w:pPr>
            <w:r>
              <w:t>群体性事件成功处置率（%）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涉稳事件及时率</w:t>
            </w:r>
          </w:p>
        </w:tc>
        <w:tc>
          <w:tcPr>
            <w:tcW w:w="5386" w:type="dxa"/>
            <w:vAlign w:val="center"/>
          </w:tcPr>
          <w:p>
            <w:pPr>
              <w:pStyle w:val="12"/>
            </w:pPr>
            <w:r>
              <w:t>涉稳事件完成及时率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维护稳定工作成本</w:t>
            </w:r>
          </w:p>
        </w:tc>
        <w:tc>
          <w:tcPr>
            <w:tcW w:w="5386" w:type="dxa"/>
            <w:vAlign w:val="center"/>
          </w:tcPr>
          <w:p>
            <w:pPr>
              <w:pStyle w:val="12"/>
            </w:pPr>
            <w:r>
              <w:t>维稳工作成本</w:t>
            </w:r>
          </w:p>
        </w:tc>
        <w:tc>
          <w:tcPr>
            <w:tcW w:w="2268" w:type="dxa"/>
            <w:vAlign w:val="center"/>
          </w:tcPr>
          <w:p>
            <w:pPr>
              <w:pStyle w:val="12"/>
            </w:pPr>
            <w:r>
              <w:t>≤10万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维护我区社会稳定</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公众安全感指数(%)</w:t>
            </w:r>
          </w:p>
        </w:tc>
        <w:tc>
          <w:tcPr>
            <w:tcW w:w="5386" w:type="dxa"/>
            <w:vAlign w:val="center"/>
          </w:tcPr>
          <w:p>
            <w:pPr>
              <w:pStyle w:val="12"/>
            </w:pPr>
            <w:r>
              <w:t>公众安全感指数(%)</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群众满意率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16、2025年度政法队伍建设工作经费绩效目标表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13011025P00150010003N</w:t>
            </w:r>
          </w:p>
        </w:tc>
        <w:tc>
          <w:tcPr>
            <w:tcW w:w="2835" w:type="dxa"/>
            <w:vAlign w:val="center"/>
          </w:tcPr>
          <w:p>
            <w:pPr>
              <w:pStyle w:val="10"/>
            </w:pPr>
            <w:r>
              <w:t>项目名称</w:t>
            </w:r>
          </w:p>
        </w:tc>
        <w:tc>
          <w:tcPr>
            <w:tcW w:w="6095" w:type="dxa"/>
            <w:gridSpan w:val="3"/>
            <w:vAlign w:val="center"/>
          </w:tcPr>
          <w:p>
            <w:pPr>
              <w:pStyle w:val="12"/>
            </w:pPr>
            <w:r>
              <w:t>2025年度政法队伍建设工作经费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邀请第三方公司对我区开展群众安全感满意度调查、开展平安建设、法治建设、政法队伍建设等各项宣传，宣传费用、政法干警购买最新理论学习书籍等。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邀请第三方公司对我区开展群众安全感满意度调查。2、加强政法干警教育培训，提高政法干警荣誉感责任感。3、开展平安建设、法治建设、政法队伍建设等各项宣传，宣传费用。4、加强新媒体阵地建设，建设费用需3万元。 5、为政法干警购买最新理论学习书籍等，需经费3万元。  加强全区政法队伍建设，筑牢整治忠诚的思想根基，加强政法队伍宣传，改进政法队伍建设中存在的问题，更好的服务保障经济社会发展，提高群众安全感和对政法队伍建设的满意度。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培训数量</w:t>
            </w:r>
          </w:p>
        </w:tc>
        <w:tc>
          <w:tcPr>
            <w:tcW w:w="5386" w:type="dxa"/>
            <w:vAlign w:val="center"/>
          </w:tcPr>
          <w:p>
            <w:pPr>
              <w:pStyle w:val="12"/>
            </w:pPr>
            <w:r>
              <w:t>政法队伍轮训数量</w:t>
            </w:r>
          </w:p>
        </w:tc>
        <w:tc>
          <w:tcPr>
            <w:tcW w:w="2268" w:type="dxa"/>
            <w:vAlign w:val="center"/>
          </w:tcPr>
          <w:p>
            <w:pPr>
              <w:pStyle w:val="12"/>
            </w:pPr>
            <w:r>
              <w:t>1次</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平安建设宣传完成率</w:t>
            </w:r>
          </w:p>
        </w:tc>
        <w:tc>
          <w:tcPr>
            <w:tcW w:w="5386" w:type="dxa"/>
            <w:vAlign w:val="center"/>
          </w:tcPr>
          <w:p>
            <w:pPr>
              <w:pStyle w:val="12"/>
            </w:pPr>
            <w:r>
              <w:t>平安建设宣传情况</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安全满意度调查次数</w:t>
            </w:r>
          </w:p>
        </w:tc>
        <w:tc>
          <w:tcPr>
            <w:tcW w:w="5386" w:type="dxa"/>
            <w:vAlign w:val="center"/>
          </w:tcPr>
          <w:p>
            <w:pPr>
              <w:pStyle w:val="12"/>
            </w:pPr>
            <w:r>
              <w:t>安全满意度调查次数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5386" w:type="dxa"/>
            <w:vAlign w:val="center"/>
          </w:tcPr>
          <w:p>
            <w:pPr>
              <w:pStyle w:val="12"/>
            </w:pPr>
            <w:r>
              <w:t>各项工作完成情况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各项工作完成及时率</w:t>
            </w:r>
          </w:p>
        </w:tc>
        <w:tc>
          <w:tcPr>
            <w:tcW w:w="5386" w:type="dxa"/>
            <w:vAlign w:val="center"/>
          </w:tcPr>
          <w:p>
            <w:pPr>
              <w:pStyle w:val="12"/>
            </w:pPr>
            <w:r>
              <w:t>各项工作完成及时情况</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工作成本</w:t>
            </w:r>
          </w:p>
        </w:tc>
        <w:tc>
          <w:tcPr>
            <w:tcW w:w="5386" w:type="dxa"/>
            <w:vAlign w:val="center"/>
          </w:tcPr>
          <w:p>
            <w:pPr>
              <w:pStyle w:val="12"/>
            </w:pPr>
            <w:r>
              <w:t>各项工作全部成本</w:t>
            </w:r>
          </w:p>
        </w:tc>
        <w:tc>
          <w:tcPr>
            <w:tcW w:w="2268" w:type="dxa"/>
            <w:vAlign w:val="center"/>
          </w:tcPr>
          <w:p>
            <w:pPr>
              <w:pStyle w:val="12"/>
            </w:pPr>
            <w:r>
              <w:t>≤10万元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对社会经济发展的影响</w:t>
            </w:r>
          </w:p>
        </w:tc>
        <w:tc>
          <w:tcPr>
            <w:tcW w:w="5386" w:type="dxa"/>
            <w:vAlign w:val="center"/>
          </w:tcPr>
          <w:p>
            <w:pPr>
              <w:pStyle w:val="12"/>
            </w:pPr>
            <w:r>
              <w:t>对全区社会经济发展的影响</w:t>
            </w:r>
          </w:p>
        </w:tc>
        <w:tc>
          <w:tcPr>
            <w:tcW w:w="2268" w:type="dxa"/>
            <w:vAlign w:val="center"/>
          </w:tcPr>
          <w:p>
            <w:pPr>
              <w:pStyle w:val="12"/>
            </w:pPr>
            <w:r>
              <w:t>有效保障经济社会的发展</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群众安全感</w:t>
            </w:r>
          </w:p>
        </w:tc>
        <w:tc>
          <w:tcPr>
            <w:tcW w:w="5386" w:type="dxa"/>
            <w:vAlign w:val="center"/>
          </w:tcPr>
          <w:p>
            <w:pPr>
              <w:pStyle w:val="12"/>
            </w:pPr>
            <w:r>
              <w:t>群众的安全感</w:t>
            </w:r>
          </w:p>
        </w:tc>
        <w:tc>
          <w:tcPr>
            <w:tcW w:w="2268" w:type="dxa"/>
            <w:vAlign w:val="center"/>
          </w:tcPr>
          <w:p>
            <w:pPr>
              <w:pStyle w:val="12"/>
            </w:pPr>
            <w:r>
              <w:t>提高了群众的安全感</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群众对政法队伍建设的满意度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17、2025年度政法四级网扩容设备维保绩效目标表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13011025P00150510004N</w:t>
            </w:r>
          </w:p>
        </w:tc>
        <w:tc>
          <w:tcPr>
            <w:tcW w:w="2835" w:type="dxa"/>
            <w:vAlign w:val="center"/>
          </w:tcPr>
          <w:p>
            <w:pPr>
              <w:pStyle w:val="10"/>
            </w:pPr>
            <w:r>
              <w:t>项目名称</w:t>
            </w:r>
          </w:p>
        </w:tc>
        <w:tc>
          <w:tcPr>
            <w:tcW w:w="6095" w:type="dxa"/>
            <w:gridSpan w:val="3"/>
            <w:vAlign w:val="center"/>
          </w:tcPr>
          <w:p>
            <w:pPr>
              <w:pStyle w:val="12"/>
            </w:pPr>
            <w:r>
              <w:t>2025年度政法四级网扩容设备维保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支付政法四级网扩容设备维保费用，保障网络正常运行。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1.保障政法网设备正常运行。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业务中断次数</w:t>
            </w:r>
          </w:p>
        </w:tc>
        <w:tc>
          <w:tcPr>
            <w:tcW w:w="5386" w:type="dxa"/>
            <w:vAlign w:val="center"/>
          </w:tcPr>
          <w:p>
            <w:pPr>
              <w:pStyle w:val="12"/>
            </w:pPr>
            <w:r>
              <w:t>全年区级业务中断次数≤2次</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业务中断次数</w:t>
            </w:r>
          </w:p>
        </w:tc>
        <w:tc>
          <w:tcPr>
            <w:tcW w:w="5386" w:type="dxa"/>
            <w:vAlign w:val="center"/>
          </w:tcPr>
          <w:p>
            <w:pPr>
              <w:pStyle w:val="12"/>
            </w:pPr>
            <w:r>
              <w:t>全年单个乡镇业务中断次数≤4次</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保障政法四级网络畅联畅通</w:t>
            </w:r>
          </w:p>
        </w:tc>
        <w:tc>
          <w:tcPr>
            <w:tcW w:w="5386" w:type="dxa"/>
            <w:vAlign w:val="center"/>
          </w:tcPr>
          <w:p>
            <w:pPr>
              <w:pStyle w:val="12"/>
            </w:pPr>
            <w:r>
              <w:t>能否有效保障政法四级网络正常运行</w:t>
            </w:r>
          </w:p>
        </w:tc>
        <w:tc>
          <w:tcPr>
            <w:tcW w:w="2268" w:type="dxa"/>
            <w:vAlign w:val="center"/>
          </w:tcPr>
          <w:p>
            <w:pPr>
              <w:pStyle w:val="12"/>
            </w:pPr>
            <w:r>
              <w:t>有效保障政法四级网络畅联畅通</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设备维护及时</w:t>
            </w:r>
          </w:p>
        </w:tc>
        <w:tc>
          <w:tcPr>
            <w:tcW w:w="5386" w:type="dxa"/>
            <w:vAlign w:val="center"/>
          </w:tcPr>
          <w:p>
            <w:pPr>
              <w:pStyle w:val="12"/>
            </w:pPr>
            <w:r>
              <w:t>设备报修到维护完成时间≤3小时</w:t>
            </w:r>
          </w:p>
        </w:tc>
        <w:tc>
          <w:tcPr>
            <w:tcW w:w="2268" w:type="dxa"/>
            <w:vAlign w:val="center"/>
          </w:tcPr>
          <w:p>
            <w:pPr>
              <w:pStyle w:val="12"/>
            </w:pPr>
            <w:r>
              <w:t>≤3小时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每年政法网扩容设备维保成本</w:t>
            </w:r>
          </w:p>
        </w:tc>
        <w:tc>
          <w:tcPr>
            <w:tcW w:w="5386" w:type="dxa"/>
            <w:vAlign w:val="center"/>
          </w:tcPr>
          <w:p>
            <w:pPr>
              <w:pStyle w:val="12"/>
            </w:pPr>
            <w:r>
              <w:t>每年政法网扩容设备维保成本</w:t>
            </w:r>
          </w:p>
        </w:tc>
        <w:tc>
          <w:tcPr>
            <w:tcW w:w="2268" w:type="dxa"/>
            <w:vAlign w:val="center"/>
          </w:tcPr>
          <w:p>
            <w:pPr>
              <w:pStyle w:val="12"/>
            </w:pPr>
            <w:r>
              <w:t>224万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网络运行速度</w:t>
            </w:r>
          </w:p>
        </w:tc>
        <w:tc>
          <w:tcPr>
            <w:tcW w:w="5386" w:type="dxa"/>
            <w:vAlign w:val="center"/>
          </w:tcPr>
          <w:p>
            <w:pPr>
              <w:pStyle w:val="12"/>
            </w:pPr>
            <w:r>
              <w:t>网络带宽速政法四级网达到20g,政务外网独享20g</w:t>
            </w:r>
          </w:p>
        </w:tc>
        <w:tc>
          <w:tcPr>
            <w:tcW w:w="2268" w:type="dxa"/>
            <w:vAlign w:val="center"/>
          </w:tcPr>
          <w:p>
            <w:pPr>
              <w:pStyle w:val="12"/>
            </w:pPr>
            <w:r>
              <w:t>20G</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设备正常运行率</w:t>
            </w:r>
          </w:p>
        </w:tc>
        <w:tc>
          <w:tcPr>
            <w:tcW w:w="5386" w:type="dxa"/>
            <w:vAlign w:val="center"/>
          </w:tcPr>
          <w:p>
            <w:pPr>
              <w:pStyle w:val="12"/>
            </w:pPr>
            <w:r>
              <w:t>正常运行设备占总设备比例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群众对政法网运行速度整体满意度≥95%</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18、205年度政法网运行维护绩效目标表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13011025P00150510005A</w:t>
            </w:r>
          </w:p>
        </w:tc>
        <w:tc>
          <w:tcPr>
            <w:tcW w:w="2835" w:type="dxa"/>
            <w:vAlign w:val="center"/>
          </w:tcPr>
          <w:p>
            <w:pPr>
              <w:pStyle w:val="10"/>
            </w:pPr>
            <w:r>
              <w:t>项目名称</w:t>
            </w:r>
          </w:p>
        </w:tc>
        <w:tc>
          <w:tcPr>
            <w:tcW w:w="6095" w:type="dxa"/>
            <w:gridSpan w:val="3"/>
            <w:vAlign w:val="center"/>
          </w:tcPr>
          <w:p>
            <w:pPr>
              <w:pStyle w:val="12"/>
            </w:pPr>
            <w:r>
              <w:t>205年度政法网运行维护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用于光纤租赁费用及维护费用。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我区政法四级网62个节点的正常运行、使用，保证全区政法系统视频会议、网络办公系统正常使用，提升工作、办案效率。保障政法网光纤线路的正常通信和设备的正常使用，以及相关应用系统开发、后期人员培训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政法四级网运行站点个数</w:t>
            </w:r>
          </w:p>
        </w:tc>
        <w:tc>
          <w:tcPr>
            <w:tcW w:w="5386" w:type="dxa"/>
            <w:vAlign w:val="center"/>
          </w:tcPr>
          <w:p>
            <w:pPr>
              <w:pStyle w:val="12"/>
            </w:pPr>
            <w:r>
              <w:t>政法四级网运行站点62个</w:t>
            </w:r>
          </w:p>
        </w:tc>
        <w:tc>
          <w:tcPr>
            <w:tcW w:w="2268" w:type="dxa"/>
            <w:vAlign w:val="center"/>
          </w:tcPr>
          <w:p>
            <w:pPr>
              <w:pStyle w:val="12"/>
            </w:pPr>
            <w:r>
              <w:t>62个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信息系统建设维护工作完成率</w:t>
            </w:r>
          </w:p>
        </w:tc>
        <w:tc>
          <w:tcPr>
            <w:tcW w:w="5386" w:type="dxa"/>
            <w:vAlign w:val="center"/>
          </w:tcPr>
          <w:p>
            <w:pPr>
              <w:pStyle w:val="12"/>
            </w:pPr>
            <w:r>
              <w:t>信息系统建设维护工作完成率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光纤设备维护及时</w:t>
            </w:r>
          </w:p>
        </w:tc>
        <w:tc>
          <w:tcPr>
            <w:tcW w:w="5386" w:type="dxa"/>
            <w:vAlign w:val="center"/>
          </w:tcPr>
          <w:p>
            <w:pPr>
              <w:pStyle w:val="12"/>
            </w:pPr>
            <w:r>
              <w:t>报修到维护完成时间≤1天</w:t>
            </w:r>
          </w:p>
        </w:tc>
        <w:tc>
          <w:tcPr>
            <w:tcW w:w="2268" w:type="dxa"/>
            <w:vAlign w:val="center"/>
          </w:tcPr>
          <w:p>
            <w:pPr>
              <w:pStyle w:val="12"/>
            </w:pPr>
            <w:r>
              <w:t>≤1天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政法网光纤租赁成本</w:t>
            </w:r>
          </w:p>
        </w:tc>
        <w:tc>
          <w:tcPr>
            <w:tcW w:w="5386" w:type="dxa"/>
            <w:vAlign w:val="center"/>
          </w:tcPr>
          <w:p>
            <w:pPr>
              <w:pStyle w:val="12"/>
            </w:pPr>
            <w:r>
              <w:t>政法网光纤租赁成本</w:t>
            </w:r>
          </w:p>
        </w:tc>
        <w:tc>
          <w:tcPr>
            <w:tcW w:w="2268" w:type="dxa"/>
            <w:vAlign w:val="center"/>
          </w:tcPr>
          <w:p>
            <w:pPr>
              <w:pStyle w:val="12"/>
            </w:pPr>
            <w:r>
              <w:t>17万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政法网运行维护成本</w:t>
            </w:r>
          </w:p>
        </w:tc>
        <w:tc>
          <w:tcPr>
            <w:tcW w:w="5386" w:type="dxa"/>
            <w:vAlign w:val="center"/>
          </w:tcPr>
          <w:p>
            <w:pPr>
              <w:pStyle w:val="12"/>
            </w:pPr>
            <w:r>
              <w:t>政法网运行维护成本</w:t>
            </w:r>
          </w:p>
        </w:tc>
        <w:tc>
          <w:tcPr>
            <w:tcW w:w="2268" w:type="dxa"/>
            <w:vAlign w:val="center"/>
          </w:tcPr>
          <w:p>
            <w:pPr>
              <w:pStyle w:val="12"/>
            </w:pPr>
            <w:r>
              <w:t>8万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设备在线率</w:t>
            </w:r>
          </w:p>
        </w:tc>
        <w:tc>
          <w:tcPr>
            <w:tcW w:w="5386" w:type="dxa"/>
            <w:vAlign w:val="center"/>
          </w:tcPr>
          <w:p>
            <w:pPr>
              <w:pStyle w:val="12"/>
            </w:pPr>
            <w:r>
              <w:t>保持在线率100%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网络正常运行率</w:t>
            </w:r>
          </w:p>
        </w:tc>
        <w:tc>
          <w:tcPr>
            <w:tcW w:w="5386" w:type="dxa"/>
            <w:vAlign w:val="center"/>
          </w:tcPr>
          <w:p>
            <w:pPr>
              <w:pStyle w:val="12"/>
            </w:pPr>
            <w:r>
              <w:t>网络正常运行占总运行时间比率≥95%</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群众对政法网运行速度整体满意度≥95%</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19、市级下达基层平安建设专项经费绩效目标表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13011024P00330210050R</w:t>
            </w:r>
          </w:p>
        </w:tc>
        <w:tc>
          <w:tcPr>
            <w:tcW w:w="2835" w:type="dxa"/>
            <w:vAlign w:val="center"/>
          </w:tcPr>
          <w:p>
            <w:pPr>
              <w:pStyle w:val="10"/>
            </w:pPr>
            <w:r>
              <w:t>项目名称</w:t>
            </w:r>
          </w:p>
        </w:tc>
        <w:tc>
          <w:tcPr>
            <w:tcW w:w="6095" w:type="dxa"/>
            <w:gridSpan w:val="3"/>
            <w:vAlign w:val="center"/>
          </w:tcPr>
          <w:p>
            <w:pPr>
              <w:pStyle w:val="12"/>
            </w:pPr>
            <w:r>
              <w:t>市级下达基层平安建设专项经费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121.53</w:t>
            </w:r>
          </w:p>
        </w:tc>
        <w:tc>
          <w:tcPr>
            <w:tcW w:w="2835" w:type="dxa"/>
            <w:vAlign w:val="center"/>
          </w:tcPr>
          <w:p>
            <w:pPr>
              <w:pStyle w:val="10"/>
            </w:pPr>
            <w:r>
              <w:t>其中：财政    资金</w:t>
            </w:r>
          </w:p>
        </w:tc>
        <w:tc>
          <w:tcPr>
            <w:tcW w:w="2551" w:type="dxa"/>
            <w:vAlign w:val="center"/>
          </w:tcPr>
          <w:p>
            <w:pPr>
              <w:pStyle w:val="12"/>
            </w:pPr>
            <w:r>
              <w:t>121.53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用于我区平安建设方面经费支出。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80%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贯彻落实党中央和省、市关于平安建设的决策部署，客观、公正、科学评价县乡村各级平安建设成效。2、切实发挥考评的“指挥棒”作用，奖优罚劣，传导压力，激发动力，不断提升市域社会现代化和平安省会建设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平安建设考核工作完成率</w:t>
            </w:r>
          </w:p>
        </w:tc>
        <w:tc>
          <w:tcPr>
            <w:tcW w:w="5386" w:type="dxa"/>
            <w:vAlign w:val="center"/>
          </w:tcPr>
          <w:p>
            <w:pPr>
              <w:pStyle w:val="12"/>
            </w:pPr>
            <w:r>
              <w:t>平安建设工作完成达标情况</w:t>
            </w:r>
          </w:p>
        </w:tc>
        <w:tc>
          <w:tcPr>
            <w:tcW w:w="2268" w:type="dxa"/>
            <w:vAlign w:val="center"/>
          </w:tcPr>
          <w:p>
            <w:pPr>
              <w:pStyle w:val="12"/>
            </w:pPr>
            <w:r>
              <w:t>100%</w:t>
            </w:r>
          </w:p>
        </w:tc>
        <w:tc>
          <w:tcPr>
            <w:tcW w:w="1276" w:type="dxa"/>
            <w:vAlign w:val="center"/>
          </w:tcPr>
          <w:p>
            <w:pPr>
              <w:pStyle w:val="12"/>
            </w:pPr>
            <w:r>
              <w:t>完成指标得满分，未完成指标按照完成程度得分。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100%</w:t>
            </w:r>
          </w:p>
        </w:tc>
        <w:tc>
          <w:tcPr>
            <w:tcW w:w="1276" w:type="dxa"/>
            <w:vAlign w:val="center"/>
          </w:tcPr>
          <w:p>
            <w:pPr>
              <w:pStyle w:val="12"/>
            </w:pPr>
            <w:r>
              <w:t>完成指标得满分，未完成指标按照完成程度得分。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奖励先进乡镇（街道）数量</w:t>
            </w:r>
          </w:p>
        </w:tc>
        <w:tc>
          <w:tcPr>
            <w:tcW w:w="5386" w:type="dxa"/>
            <w:vAlign w:val="center"/>
          </w:tcPr>
          <w:p>
            <w:pPr>
              <w:pStyle w:val="12"/>
            </w:pPr>
            <w:r>
              <w:t>奖励先进乡镇（街道）数量</w:t>
            </w:r>
          </w:p>
          <w:p>
            <w:pPr>
              <w:pStyle w:val="12"/>
            </w:pPr>
          </w:p>
        </w:tc>
        <w:tc>
          <w:tcPr>
            <w:tcW w:w="2268" w:type="dxa"/>
            <w:vAlign w:val="center"/>
          </w:tcPr>
          <w:p>
            <w:pPr>
              <w:pStyle w:val="12"/>
            </w:pPr>
            <w:r>
              <w:t>3个</w:t>
            </w:r>
          </w:p>
        </w:tc>
        <w:tc>
          <w:tcPr>
            <w:tcW w:w="1276" w:type="dxa"/>
            <w:vAlign w:val="center"/>
          </w:tcPr>
          <w:p>
            <w:pPr>
              <w:pStyle w:val="12"/>
            </w:pPr>
            <w:r>
              <w:t>完成指标得满分，未完成指标按照完成程度得分。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奖励先进村（社区）数量</w:t>
            </w:r>
          </w:p>
        </w:tc>
        <w:tc>
          <w:tcPr>
            <w:tcW w:w="5386" w:type="dxa"/>
            <w:vAlign w:val="center"/>
          </w:tcPr>
          <w:p>
            <w:pPr>
              <w:pStyle w:val="12"/>
            </w:pPr>
            <w:r>
              <w:t>奖励先进村（社区）数量</w:t>
            </w:r>
          </w:p>
        </w:tc>
        <w:tc>
          <w:tcPr>
            <w:tcW w:w="2268" w:type="dxa"/>
            <w:vAlign w:val="center"/>
          </w:tcPr>
          <w:p>
            <w:pPr>
              <w:pStyle w:val="12"/>
            </w:pPr>
            <w:r>
              <w:t>7个</w:t>
            </w:r>
          </w:p>
        </w:tc>
        <w:tc>
          <w:tcPr>
            <w:tcW w:w="1276" w:type="dxa"/>
            <w:vAlign w:val="center"/>
          </w:tcPr>
          <w:p>
            <w:pPr>
              <w:pStyle w:val="12"/>
            </w:pPr>
            <w:r>
              <w:t>完成指标得满分，未完成指标按照完成程度得分。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奖励先进乡镇成本</w:t>
            </w:r>
          </w:p>
        </w:tc>
        <w:tc>
          <w:tcPr>
            <w:tcW w:w="5386" w:type="dxa"/>
            <w:vAlign w:val="center"/>
          </w:tcPr>
          <w:p>
            <w:pPr>
              <w:pStyle w:val="12"/>
            </w:pPr>
            <w:r>
              <w:t>奖励先进乡镇资金成本</w:t>
            </w:r>
          </w:p>
        </w:tc>
        <w:tc>
          <w:tcPr>
            <w:tcW w:w="2268" w:type="dxa"/>
            <w:vAlign w:val="center"/>
          </w:tcPr>
          <w:p>
            <w:pPr>
              <w:pStyle w:val="12"/>
            </w:pPr>
            <w:r>
              <w:t>30万元</w:t>
            </w:r>
          </w:p>
        </w:tc>
        <w:tc>
          <w:tcPr>
            <w:tcW w:w="1276" w:type="dxa"/>
            <w:vAlign w:val="center"/>
          </w:tcPr>
          <w:p>
            <w:pPr>
              <w:pStyle w:val="12"/>
            </w:pPr>
            <w:r>
              <w:t>完成指标得满分，未完成指标按照完成程度得分。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奖励先进村（社区)成本</w:t>
            </w:r>
          </w:p>
        </w:tc>
        <w:tc>
          <w:tcPr>
            <w:tcW w:w="5386" w:type="dxa"/>
            <w:vAlign w:val="center"/>
          </w:tcPr>
          <w:p>
            <w:pPr>
              <w:pStyle w:val="12"/>
            </w:pPr>
            <w:r>
              <w:t>奖励先进村（社区)成本</w:t>
            </w:r>
          </w:p>
        </w:tc>
        <w:tc>
          <w:tcPr>
            <w:tcW w:w="2268" w:type="dxa"/>
            <w:vAlign w:val="center"/>
          </w:tcPr>
          <w:p>
            <w:pPr>
              <w:pStyle w:val="12"/>
            </w:pPr>
            <w:r>
              <w:t>35万元</w:t>
            </w:r>
          </w:p>
        </w:tc>
        <w:tc>
          <w:tcPr>
            <w:tcW w:w="1276" w:type="dxa"/>
            <w:vAlign w:val="center"/>
          </w:tcPr>
          <w:p>
            <w:pPr>
              <w:pStyle w:val="12"/>
            </w:pPr>
            <w:r>
              <w:t>完成指标得满分，未完成指标按照完成程度得分。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提高社会治理水平</w:t>
            </w:r>
          </w:p>
        </w:tc>
        <w:tc>
          <w:tcPr>
            <w:tcW w:w="5386" w:type="dxa"/>
            <w:vAlign w:val="center"/>
          </w:tcPr>
          <w:p>
            <w:pPr>
              <w:pStyle w:val="12"/>
            </w:pPr>
            <w:r>
              <w:t>提高社会治理水平</w:t>
            </w:r>
          </w:p>
        </w:tc>
        <w:tc>
          <w:tcPr>
            <w:tcW w:w="2268" w:type="dxa"/>
            <w:vAlign w:val="center"/>
          </w:tcPr>
          <w:p>
            <w:pPr>
              <w:pStyle w:val="12"/>
            </w:pPr>
            <w:r>
              <w:t>有效提升社会治理水平</w:t>
            </w:r>
          </w:p>
        </w:tc>
        <w:tc>
          <w:tcPr>
            <w:tcW w:w="1276" w:type="dxa"/>
            <w:vAlign w:val="center"/>
          </w:tcPr>
          <w:p>
            <w:pPr>
              <w:pStyle w:val="12"/>
            </w:pPr>
            <w:r>
              <w:t>完成指标得满分，未完成指标按照完成程度得分。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平安建设水平</w:t>
            </w:r>
          </w:p>
        </w:tc>
        <w:tc>
          <w:tcPr>
            <w:tcW w:w="5386" w:type="dxa"/>
            <w:vAlign w:val="center"/>
          </w:tcPr>
          <w:p>
            <w:pPr>
              <w:pStyle w:val="12"/>
            </w:pPr>
            <w:r>
              <w:t>有效提升平安建设水平</w:t>
            </w:r>
          </w:p>
        </w:tc>
        <w:tc>
          <w:tcPr>
            <w:tcW w:w="2268" w:type="dxa"/>
            <w:vAlign w:val="center"/>
          </w:tcPr>
          <w:p>
            <w:pPr>
              <w:pStyle w:val="12"/>
            </w:pPr>
            <w:r>
              <w:t>有效提升平安建设水平</w:t>
            </w:r>
          </w:p>
        </w:tc>
        <w:tc>
          <w:tcPr>
            <w:tcW w:w="1276" w:type="dxa"/>
            <w:vAlign w:val="center"/>
          </w:tcPr>
          <w:p>
            <w:pPr>
              <w:pStyle w:val="12"/>
            </w:pPr>
            <w:r>
              <w:t>完成指标得满分，未完成指标按照完成程度得分。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群众对平安建设水平的满意度</w:t>
            </w:r>
          </w:p>
        </w:tc>
        <w:tc>
          <w:tcPr>
            <w:tcW w:w="2268" w:type="dxa"/>
            <w:vAlign w:val="center"/>
          </w:tcPr>
          <w:p>
            <w:pPr>
              <w:pStyle w:val="12"/>
            </w:pPr>
            <w:r>
              <w:t>≥90%</w:t>
            </w:r>
          </w:p>
        </w:tc>
        <w:tc>
          <w:tcPr>
            <w:tcW w:w="1276" w:type="dxa"/>
            <w:vAlign w:val="center"/>
          </w:tcPr>
          <w:p>
            <w:pPr>
              <w:pStyle w:val="12"/>
            </w:pPr>
            <w:r>
              <w:t>完成指标得满分，未完成指标按照完成程度得分。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36.92</w:t>
            </w:r>
          </w:p>
        </w:tc>
        <w:tc>
          <w:tcPr>
            <w:tcW w:w="964" w:type="dxa"/>
            <w:vAlign w:val="center"/>
          </w:tcPr>
          <w:p>
            <w:pPr>
              <w:pStyle w:val="15"/>
            </w:pPr>
            <w:r>
              <w:t>36.92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中共石家庄市鹿泉区委政法委员会本级小计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36.92</w:t>
            </w:r>
          </w:p>
        </w:tc>
        <w:tc>
          <w:tcPr>
            <w:tcW w:w="964" w:type="dxa"/>
            <w:vAlign w:val="center"/>
          </w:tcPr>
          <w:p>
            <w:pPr>
              <w:pStyle w:val="15"/>
            </w:pPr>
            <w:r>
              <w:t>36.92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517.07</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万元</w:t>
            </w:r>
          </w:p>
        </w:tc>
        <w:tc>
          <w:tcPr>
            <w:tcW w:w="850" w:type="dxa"/>
            <w:vAlign w:val="center"/>
          </w:tcPr>
          <w:p>
            <w:pPr>
              <w:pStyle w:val="11"/>
            </w:pPr>
            <w:r>
              <w:t>2</w:t>
            </w:r>
          </w:p>
        </w:tc>
        <w:tc>
          <w:tcPr>
            <w:tcW w:w="850" w:type="dxa"/>
            <w:vAlign w:val="center"/>
          </w:tcPr>
          <w:p>
            <w:pPr>
              <w:pStyle w:val="11"/>
            </w:pPr>
            <w:r>
              <w:t>0.25</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517.07</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万元</w:t>
            </w:r>
          </w:p>
        </w:tc>
        <w:tc>
          <w:tcPr>
            <w:tcW w:w="850" w:type="dxa"/>
            <w:vAlign w:val="center"/>
          </w:tcPr>
          <w:p>
            <w:pPr>
              <w:pStyle w:val="11"/>
            </w:pPr>
            <w:r>
              <w:t>2</w:t>
            </w:r>
          </w:p>
        </w:tc>
        <w:tc>
          <w:tcPr>
            <w:tcW w:w="850" w:type="dxa"/>
            <w:vAlign w:val="center"/>
          </w:tcPr>
          <w:p>
            <w:pPr>
              <w:pStyle w:val="11"/>
            </w:pPr>
            <w:r>
              <w:t>1.23</w:t>
            </w:r>
          </w:p>
        </w:tc>
        <w:tc>
          <w:tcPr>
            <w:tcW w:w="964" w:type="dxa"/>
            <w:vAlign w:val="center"/>
          </w:tcPr>
          <w:p>
            <w:pPr>
              <w:pStyle w:val="11"/>
            </w:pPr>
            <w:r>
              <w:t>2.45</w:t>
            </w:r>
          </w:p>
        </w:tc>
        <w:tc>
          <w:tcPr>
            <w:tcW w:w="964" w:type="dxa"/>
            <w:vAlign w:val="center"/>
          </w:tcPr>
          <w:p>
            <w:pPr>
              <w:pStyle w:val="11"/>
            </w:pPr>
            <w:r>
              <w:t>2.45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517.07</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万元</w:t>
            </w:r>
          </w:p>
        </w:tc>
        <w:tc>
          <w:tcPr>
            <w:tcW w:w="850" w:type="dxa"/>
            <w:vAlign w:val="center"/>
          </w:tcPr>
          <w:p>
            <w:pPr>
              <w:pStyle w:val="11"/>
            </w:pPr>
            <w:r>
              <w:t>2</w:t>
            </w:r>
          </w:p>
        </w:tc>
        <w:tc>
          <w:tcPr>
            <w:tcW w:w="850" w:type="dxa"/>
            <w:vAlign w:val="center"/>
          </w:tcPr>
          <w:p>
            <w:pPr>
              <w:pStyle w:val="11"/>
            </w:pPr>
            <w:r>
              <w:t>1.00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18.00</w:t>
            </w:r>
          </w:p>
        </w:tc>
        <w:tc>
          <w:tcPr>
            <w:tcW w:w="1134" w:type="dxa"/>
            <w:vAlign w:val="center"/>
          </w:tcPr>
          <w:p>
            <w:pPr>
              <w:pStyle w:val="12"/>
            </w:pPr>
            <w:r>
              <w:t>茶几</w:t>
            </w:r>
          </w:p>
        </w:tc>
        <w:tc>
          <w:tcPr>
            <w:tcW w:w="1134" w:type="dxa"/>
            <w:vAlign w:val="center"/>
          </w:tcPr>
          <w:p>
            <w:pPr>
              <w:pStyle w:val="12"/>
            </w:pPr>
            <w:r>
              <w:t>A05010204</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0.02</w:t>
            </w:r>
          </w:p>
        </w:tc>
        <w:tc>
          <w:tcPr>
            <w:tcW w:w="964" w:type="dxa"/>
            <w:vAlign w:val="center"/>
          </w:tcPr>
          <w:p>
            <w:pPr>
              <w:pStyle w:val="11"/>
            </w:pPr>
            <w:r>
              <w:t>0.02</w:t>
            </w:r>
          </w:p>
        </w:tc>
        <w:tc>
          <w:tcPr>
            <w:tcW w:w="964" w:type="dxa"/>
            <w:vAlign w:val="center"/>
          </w:tcPr>
          <w:p>
            <w:pPr>
              <w:pStyle w:val="11"/>
            </w:pPr>
            <w:r>
              <w:t>0.02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18.00</w:t>
            </w:r>
          </w:p>
        </w:tc>
        <w:tc>
          <w:tcPr>
            <w:tcW w:w="1134" w:type="dxa"/>
            <w:vAlign w:val="center"/>
          </w:tcPr>
          <w:p>
            <w:pPr>
              <w:pStyle w:val="12"/>
            </w:pPr>
            <w:r>
              <w:t>单人沙发</w:t>
            </w:r>
          </w:p>
        </w:tc>
        <w:tc>
          <w:tcPr>
            <w:tcW w:w="1134" w:type="dxa"/>
            <w:vAlign w:val="center"/>
          </w:tcPr>
          <w:p>
            <w:pPr>
              <w:pStyle w:val="12"/>
            </w:pPr>
            <w:r>
              <w:t>A05010402</w:t>
            </w:r>
          </w:p>
        </w:tc>
        <w:tc>
          <w:tcPr>
            <w:tcW w:w="709" w:type="dxa"/>
            <w:vAlign w:val="center"/>
          </w:tcPr>
          <w:p>
            <w:pPr>
              <w:pStyle w:val="13"/>
            </w:pPr>
            <w:r>
              <w:t>件</w:t>
            </w:r>
          </w:p>
        </w:tc>
        <w:tc>
          <w:tcPr>
            <w:tcW w:w="850" w:type="dxa"/>
            <w:vAlign w:val="center"/>
          </w:tcPr>
          <w:p>
            <w:pPr>
              <w:pStyle w:val="11"/>
            </w:pPr>
            <w:r>
              <w:t>2</w:t>
            </w:r>
          </w:p>
        </w:tc>
        <w:tc>
          <w:tcPr>
            <w:tcW w:w="850" w:type="dxa"/>
            <w:vAlign w:val="center"/>
          </w:tcPr>
          <w:p>
            <w:pPr>
              <w:pStyle w:val="11"/>
            </w:pPr>
            <w:r>
              <w:t>0.04</w:t>
            </w:r>
          </w:p>
        </w:tc>
        <w:tc>
          <w:tcPr>
            <w:tcW w:w="964" w:type="dxa"/>
            <w:vAlign w:val="center"/>
          </w:tcPr>
          <w:p>
            <w:pPr>
              <w:pStyle w:val="11"/>
            </w:pPr>
            <w:r>
              <w:t>0.07</w:t>
            </w:r>
          </w:p>
        </w:tc>
        <w:tc>
          <w:tcPr>
            <w:tcW w:w="964" w:type="dxa"/>
            <w:vAlign w:val="center"/>
          </w:tcPr>
          <w:p>
            <w:pPr>
              <w:pStyle w:val="11"/>
            </w:pPr>
            <w:r>
              <w:t>0.07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18.00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400</w:t>
            </w:r>
          </w:p>
        </w:tc>
        <w:tc>
          <w:tcPr>
            <w:tcW w:w="850" w:type="dxa"/>
            <w:vAlign w:val="center"/>
          </w:tcPr>
          <w:p>
            <w:pPr>
              <w:pStyle w:val="11"/>
            </w:pPr>
            <w:r>
              <w:t>0.00</w:t>
            </w:r>
          </w:p>
        </w:tc>
        <w:tc>
          <w:tcPr>
            <w:tcW w:w="964" w:type="dxa"/>
            <w:vAlign w:val="center"/>
          </w:tcPr>
          <w:p>
            <w:pPr>
              <w:pStyle w:val="11"/>
            </w:pPr>
            <w:r>
              <w:t>0.88</w:t>
            </w:r>
          </w:p>
        </w:tc>
        <w:tc>
          <w:tcPr>
            <w:tcW w:w="964" w:type="dxa"/>
            <w:vAlign w:val="center"/>
          </w:tcPr>
          <w:p>
            <w:pPr>
              <w:pStyle w:val="11"/>
            </w:pPr>
            <w:r>
              <w:t>0.88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18.00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万元</w:t>
            </w:r>
          </w:p>
        </w:tc>
        <w:tc>
          <w:tcPr>
            <w:tcW w:w="850" w:type="dxa"/>
            <w:vAlign w:val="center"/>
          </w:tcPr>
          <w:p>
            <w:pPr>
              <w:pStyle w:val="11"/>
            </w:pPr>
            <w:r>
              <w:t>5</w:t>
            </w:r>
          </w:p>
        </w:tc>
        <w:tc>
          <w:tcPr>
            <w:tcW w:w="850" w:type="dxa"/>
            <w:vAlign w:val="center"/>
          </w:tcPr>
          <w:p>
            <w:pPr>
              <w:pStyle w:val="11"/>
            </w:pPr>
            <w:r>
              <w:t>0.20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2025年度（社会治安综合治理）平安建设工作经费</w:t>
            </w:r>
          </w:p>
        </w:tc>
        <w:tc>
          <w:tcPr>
            <w:tcW w:w="964" w:type="dxa"/>
            <w:vAlign w:val="center"/>
          </w:tcPr>
          <w:p>
            <w:pPr>
              <w:pStyle w:val="11"/>
            </w:pPr>
            <w:r>
              <w:t>59.00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万元</w:t>
            </w:r>
          </w:p>
        </w:tc>
        <w:tc>
          <w:tcPr>
            <w:tcW w:w="850" w:type="dxa"/>
            <w:vAlign w:val="center"/>
          </w:tcPr>
          <w:p>
            <w:pPr>
              <w:pStyle w:val="11"/>
            </w:pPr>
            <w:r>
              <w:t>2</w:t>
            </w:r>
          </w:p>
        </w:tc>
        <w:tc>
          <w:tcPr>
            <w:tcW w:w="850" w:type="dxa"/>
            <w:vAlign w:val="center"/>
          </w:tcPr>
          <w:p>
            <w:pPr>
              <w:pStyle w:val="11"/>
            </w:pPr>
            <w:r>
              <w:t>2.50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2025年度城乡社区网格化服务管理试点项目</w:t>
            </w:r>
          </w:p>
        </w:tc>
        <w:tc>
          <w:tcPr>
            <w:tcW w:w="964" w:type="dxa"/>
            <w:vAlign w:val="center"/>
          </w:tcPr>
          <w:p>
            <w:pPr>
              <w:pStyle w:val="11"/>
            </w:pPr>
            <w:r>
              <w:t>150.00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万元</w:t>
            </w:r>
          </w:p>
        </w:tc>
        <w:tc>
          <w:tcPr>
            <w:tcW w:w="850" w:type="dxa"/>
            <w:vAlign w:val="center"/>
          </w:tcPr>
          <w:p>
            <w:pPr>
              <w:pStyle w:val="11"/>
            </w:pPr>
            <w:r>
              <w:t>2</w:t>
            </w:r>
          </w:p>
        </w:tc>
        <w:tc>
          <w:tcPr>
            <w:tcW w:w="850" w:type="dxa"/>
            <w:vAlign w:val="center"/>
          </w:tcPr>
          <w:p>
            <w:pPr>
              <w:pStyle w:val="11"/>
            </w:pPr>
            <w:r>
              <w:t>5.00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2025年度反邪教经费</w:t>
            </w:r>
          </w:p>
        </w:tc>
        <w:tc>
          <w:tcPr>
            <w:tcW w:w="964" w:type="dxa"/>
            <w:vAlign w:val="center"/>
          </w:tcPr>
          <w:p>
            <w:pPr>
              <w:pStyle w:val="11"/>
            </w:pPr>
            <w:r>
              <w:t>5.00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万元</w:t>
            </w:r>
          </w:p>
        </w:tc>
        <w:tc>
          <w:tcPr>
            <w:tcW w:w="850" w:type="dxa"/>
            <w:vAlign w:val="center"/>
          </w:tcPr>
          <w:p>
            <w:pPr>
              <w:pStyle w:val="11"/>
            </w:pPr>
            <w:r>
              <w:t>2</w:t>
            </w:r>
          </w:p>
        </w:tc>
        <w:tc>
          <w:tcPr>
            <w:tcW w:w="850" w:type="dxa"/>
            <w:vAlign w:val="center"/>
          </w:tcPr>
          <w:p>
            <w:pPr>
              <w:pStyle w:val="11"/>
            </w:pPr>
            <w:r>
              <w:t>1.25</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2025年度扫黑除恶</w:t>
            </w:r>
            <w:r>
              <w:rPr>
                <w:rFonts w:hint="eastAsia"/>
                <w:lang w:eastAsia="zh-CN"/>
              </w:rPr>
              <w:t>专项斗争</w:t>
            </w:r>
            <w:r>
              <w:t>资金</w:t>
            </w:r>
          </w:p>
        </w:tc>
        <w:tc>
          <w:tcPr>
            <w:tcW w:w="964" w:type="dxa"/>
            <w:vAlign w:val="center"/>
          </w:tcPr>
          <w:p>
            <w:pPr>
              <w:pStyle w:val="11"/>
            </w:pPr>
            <w:r>
              <w:t>10.00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万元</w:t>
            </w:r>
          </w:p>
        </w:tc>
        <w:tc>
          <w:tcPr>
            <w:tcW w:w="850" w:type="dxa"/>
            <w:vAlign w:val="center"/>
          </w:tcPr>
          <w:p>
            <w:pPr>
              <w:pStyle w:val="11"/>
            </w:pPr>
            <w:r>
              <w:t>2</w:t>
            </w:r>
          </w:p>
        </w:tc>
        <w:tc>
          <w:tcPr>
            <w:tcW w:w="850" w:type="dxa"/>
            <w:vAlign w:val="center"/>
          </w:tcPr>
          <w:p>
            <w:pPr>
              <w:pStyle w:val="11"/>
            </w:pPr>
            <w:r>
              <w:t>2.50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2025年度社会矛盾纠纷多元化解中心工作经费（社会矛盾纠纷化解工作）</w:t>
            </w:r>
          </w:p>
        </w:tc>
        <w:tc>
          <w:tcPr>
            <w:tcW w:w="964" w:type="dxa"/>
            <w:vAlign w:val="center"/>
          </w:tcPr>
          <w:p>
            <w:pPr>
              <w:pStyle w:val="11"/>
            </w:pPr>
            <w:r>
              <w:t>20.00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万元</w:t>
            </w:r>
          </w:p>
        </w:tc>
        <w:tc>
          <w:tcPr>
            <w:tcW w:w="850" w:type="dxa"/>
            <w:vAlign w:val="center"/>
          </w:tcPr>
          <w:p>
            <w:pPr>
              <w:pStyle w:val="11"/>
            </w:pPr>
            <w:r>
              <w:t>2</w:t>
            </w:r>
          </w:p>
        </w:tc>
        <w:tc>
          <w:tcPr>
            <w:tcW w:w="850" w:type="dxa"/>
            <w:vAlign w:val="center"/>
          </w:tcPr>
          <w:p>
            <w:pPr>
              <w:pStyle w:val="11"/>
            </w:pPr>
            <w:r>
              <w:t>2.50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2025年度维稳专项经费</w:t>
            </w:r>
          </w:p>
        </w:tc>
        <w:tc>
          <w:tcPr>
            <w:tcW w:w="964" w:type="dxa"/>
            <w:vAlign w:val="center"/>
          </w:tcPr>
          <w:p>
            <w:pPr>
              <w:pStyle w:val="11"/>
            </w:pPr>
            <w:r>
              <w:t>5.00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万元</w:t>
            </w:r>
          </w:p>
        </w:tc>
        <w:tc>
          <w:tcPr>
            <w:tcW w:w="850" w:type="dxa"/>
            <w:vAlign w:val="center"/>
          </w:tcPr>
          <w:p>
            <w:pPr>
              <w:pStyle w:val="11"/>
            </w:pPr>
            <w:r>
              <w:t>2</w:t>
            </w:r>
          </w:p>
        </w:tc>
        <w:tc>
          <w:tcPr>
            <w:tcW w:w="850" w:type="dxa"/>
            <w:vAlign w:val="center"/>
          </w:tcPr>
          <w:p>
            <w:pPr>
              <w:pStyle w:val="11"/>
            </w:pPr>
            <w:r>
              <w:t>1.25</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中共石家庄市鹿泉区委政法委员会本级上年末固定资产金额为3639.02万元（详见下表）。本年度拟购置固定资产总额为0.00万元，已按要求列入政府采购预算，详见政府采购预算表。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3639.02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23.95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8</w:t>
            </w:r>
          </w:p>
        </w:tc>
        <w:tc>
          <w:tcPr>
            <w:tcW w:w="2835" w:type="dxa"/>
            <w:vAlign w:val="center"/>
          </w:tcPr>
          <w:p>
            <w:pPr>
              <w:pStyle w:val="11"/>
            </w:pPr>
            <w:r>
              <w:t>3341.77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1478</w:t>
            </w:r>
          </w:p>
        </w:tc>
        <w:tc>
          <w:tcPr>
            <w:tcW w:w="2835" w:type="dxa"/>
            <w:vAlign w:val="center"/>
          </w:tcPr>
          <w:p>
            <w:pPr>
              <w:pStyle w:val="11"/>
            </w:pPr>
            <w:r>
              <w:t>273.30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Arial">
    <w:panose1 w:val="020B0604020202020204"/>
    <w:charset w:val="00"/>
    <w:family w:val="auto"/>
    <w:pitch w:val="default"/>
    <w:sig w:usb0="E0002E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6D196A"/>
    <w:rsid w:val="23BE095D"/>
    <w:rsid w:val="528F2D6D"/>
    <w:rsid w:val="6BD9755C"/>
    <w:rsid w:val="6D4517A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15666</Words>
  <Characters>18856</Characters>
  <TotalTime>1</TotalTime>
  <ScaleCrop>false</ScaleCrop>
  <LinksUpToDate>false</LinksUpToDate>
  <CharactersWithSpaces>19127</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2025-02-14T11:14:00Z</dcterms:created>
  <dc:creator>Administrator</dc:creator>
  <cp:lastModifiedBy>Administrator</cp:lastModifiedBy>
  <dcterms:modified xsi:type="dcterms:W3CDTF">2025-05-08T06:47:11Z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265604F23B9445179A89AADF2C9D7410</vt:lpwstr>
  </property>
</Properties>
</file>