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eastAsia="zh-CN"/>
        </w:rPr>
        <w:t>区档案馆</w:t>
      </w: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区档案馆</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640" w:firstLineChars="200"/>
        <w:textAlignment w:val="auto"/>
        <w:rPr>
          <w:rFonts w:ascii="宋体" w:hAnsi="宋体" w:eastAsia="仿宋_GB2312" w:cs="Times New Roman"/>
          <w:color w:val="auto"/>
          <w:sz w:val="32"/>
          <w:szCs w:val="32"/>
          <w:lang w:val="en-US" w:eastAsia="uk-UA" w:bidi="ar-SA"/>
        </w:rPr>
      </w:pPr>
      <w:r>
        <w:rPr>
          <w:rFonts w:ascii="宋体" w:hAnsi="宋体" w:eastAsia="仿宋_GB2312" w:cs="Times New Roman"/>
          <w:color w:val="auto"/>
          <w:sz w:val="32"/>
          <w:szCs w:val="32"/>
          <w:lang w:val="en-US" w:eastAsia="uk-UA" w:bidi="ar-SA"/>
        </w:rPr>
        <w:t>档案馆主要职责是贯彻落实有关法律、法规和国家有关方针政策，组织、指导、协调区直部门及下属单位、乡镇的档案业务工作。集中统一管理区直机关、乡镇的重要档案资料；保管具有地方特色的各种档案资料；开展档案接收、征集、整理、保管、鉴定等各项工作，维护档案完整，确保档案安全；做好档案的开发利用工作，为社会需要提供服务。承办区委、区政府交办的其它事项。</w:t>
      </w:r>
    </w:p>
    <w:p>
      <w:pPr>
        <w:keepNext w:val="0"/>
        <w:keepLines w:val="0"/>
        <w:pageBreakBefore w:val="0"/>
        <w:widowControl w:val="0"/>
        <w:kinsoku/>
        <w:wordWrap/>
        <w:overflowPunct/>
        <w:topLinePunct w:val="0"/>
        <w:autoSpaceDE/>
        <w:autoSpaceDN/>
        <w:bidi w:val="0"/>
        <w:adjustRightInd/>
        <w:snapToGrid/>
        <w:spacing w:beforeAutospacing="0" w:afterAutospacing="0" w:line="578" w:lineRule="exact"/>
        <w:ind w:left="0" w:firstLine="640" w:firstLineChars="200"/>
        <w:jc w:val="left"/>
        <w:textAlignment w:val="auto"/>
        <w:outlineLvl w:val="9"/>
        <w:rPr>
          <w:rFonts w:ascii="宋体" w:hAnsi="宋体" w:eastAsia="仿宋_GB2312" w:cs="Times New Roman"/>
          <w:color w:val="auto"/>
          <w:kern w:val="2"/>
          <w:sz w:val="32"/>
          <w:szCs w:val="32"/>
          <w:lang w:val="en-US" w:eastAsia="uk-UA" w:bidi="ar-SA"/>
        </w:rPr>
      </w:pPr>
      <w:r>
        <w:rPr>
          <w:rFonts w:ascii="宋体" w:hAnsi="宋体" w:eastAsia="仿宋_GB2312" w:cs="Times New Roman"/>
          <w:color w:val="auto"/>
          <w:kern w:val="2"/>
          <w:sz w:val="32"/>
          <w:szCs w:val="32"/>
          <w:lang w:val="en-US" w:eastAsia="uk-UA" w:bidi="ar-SA"/>
        </w:rPr>
        <w:t>机构设置：</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单位名称</w:t>
            </w:r>
          </w:p>
        </w:tc>
        <w:tc>
          <w:tcPr>
            <w:tcW w:w="1843"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单位性质</w:t>
            </w:r>
          </w:p>
        </w:tc>
        <w:tc>
          <w:tcPr>
            <w:tcW w:w="2126"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单位规格</w:t>
            </w:r>
          </w:p>
        </w:tc>
        <w:tc>
          <w:tcPr>
            <w:tcW w:w="3827" w:type="dxa"/>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textAlignment w:val="auto"/>
              <w:rPr>
                <w:color w:val="auto"/>
              </w:rPr>
            </w:pPr>
            <w:r>
              <w:rPr>
                <w:color w:val="auto"/>
              </w:rPr>
              <w:t>石家庄市鹿泉区档案馆</w:t>
            </w:r>
          </w:p>
        </w:tc>
        <w:tc>
          <w:tcPr>
            <w:tcW w:w="1843" w:type="dxa"/>
            <w:vAlign w:val="center"/>
          </w:tcPr>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事业</w:t>
            </w:r>
          </w:p>
        </w:tc>
        <w:tc>
          <w:tcPr>
            <w:tcW w:w="2126" w:type="dxa"/>
            <w:vAlign w:val="center"/>
          </w:tcPr>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left="0" w:firstLine="420" w:firstLineChars="200"/>
              <w:textAlignment w:val="auto"/>
              <w:rPr>
                <w:color w:val="auto"/>
              </w:rPr>
            </w:pPr>
            <w:r>
              <w:rPr>
                <w:color w:val="auto"/>
              </w:rPr>
              <w:t>正科级</w:t>
            </w:r>
          </w:p>
        </w:tc>
        <w:tc>
          <w:tcPr>
            <w:tcW w:w="3827" w:type="dxa"/>
            <w:vAlign w:val="center"/>
          </w:tcPr>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jc w:val="center"/>
              <w:textAlignment w:val="auto"/>
              <w:rPr>
                <w:color w:val="auto"/>
              </w:rPr>
            </w:pPr>
            <w:r>
              <w:rPr>
                <w:color w:val="auto"/>
              </w:rPr>
              <w:t>财政性资金基本保证</w:t>
            </w:r>
          </w:p>
        </w:tc>
      </w:tr>
    </w:tbl>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仿宋" w:hAnsi="仿宋" w:eastAsia="仿宋"/>
          <w:sz w:val="32"/>
          <w:szCs w:val="32"/>
        </w:rPr>
      </w:pPr>
      <w:r>
        <w:rPr>
          <w:rFonts w:hint="eastAsia" w:ascii="仿宋" w:hAnsi="仿宋" w:eastAsia="仿宋"/>
          <w:color w:val="auto"/>
          <w:sz w:val="32"/>
          <w:szCs w:val="32"/>
          <w:lang w:eastAsia="zh-CN"/>
        </w:rPr>
        <w:t>截至</w:t>
      </w:r>
      <w:r>
        <w:rPr>
          <w:rFonts w:hint="eastAsia" w:ascii="仿宋" w:hAnsi="仿宋" w:eastAsia="仿宋"/>
          <w:color w:val="auto"/>
          <w:sz w:val="32"/>
          <w:szCs w:val="32"/>
          <w:lang w:val="en-US" w:eastAsia="zh-CN"/>
        </w:rPr>
        <w:t>2024年12月31日，我单位实有在职人员8人，劳务派遣人员8人。</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numPr>
          <w:ilvl w:val="0"/>
          <w:numId w:val="0"/>
        </w:numPr>
        <w:adjustRightInd w:val="0"/>
        <w:snapToGrid w:val="0"/>
        <w:spacing w:line="560" w:lineRule="exact"/>
        <w:ind w:firstLine="640" w:firstLineChars="200"/>
        <w:rPr>
          <w:rFonts w:ascii="楷体" w:hAnsi="楷体" w:eastAsia="楷体" w:cs="楷体_GB2312"/>
          <w:bCs/>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w:t>
      </w:r>
      <w:r>
        <w:rPr>
          <w:rFonts w:hint="eastAsia" w:ascii="仿宋_GB2312" w:hAnsi="Times New Roman" w:eastAsia="仿宋_GB2312" w:cs="仿宋_GB2312"/>
          <w:color w:val="auto"/>
          <w:sz w:val="32"/>
          <w:szCs w:val="32"/>
          <w:lang w:val="en-US" w:eastAsia="zh-CN"/>
        </w:rPr>
        <w:t>4</w:t>
      </w:r>
      <w:r>
        <w:rPr>
          <w:rFonts w:hint="eastAsia" w:ascii="仿宋_GB2312" w:hAnsi="Times New Roman" w:eastAsia="仿宋_GB2312" w:cs="仿宋_GB2312"/>
          <w:color w:val="auto"/>
          <w:sz w:val="32"/>
          <w:szCs w:val="32"/>
        </w:rPr>
        <w:t>年度财政拨款本年收入</w:t>
      </w:r>
      <w:r>
        <w:rPr>
          <w:rFonts w:hint="eastAsia" w:ascii="仿宋_GB2312" w:hAnsi="Times New Roman" w:eastAsia="仿宋_GB2312" w:cs="仿宋_GB2312"/>
          <w:color w:val="auto"/>
          <w:sz w:val="32"/>
          <w:szCs w:val="32"/>
          <w:lang w:val="en-US" w:eastAsia="zh-CN"/>
        </w:rPr>
        <w:t>250.32</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69.54</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109.65</w:t>
      </w:r>
      <w:r>
        <w:rPr>
          <w:rFonts w:hint="eastAsia" w:ascii="仿宋_GB2312" w:hAnsi="Times New Roman" w:eastAsia="仿宋_GB2312" w:cs="仿宋_GB2312"/>
          <w:color w:val="auto"/>
          <w:sz w:val="32"/>
          <w:szCs w:val="32"/>
        </w:rPr>
        <w:t>万元，本年支出</w:t>
      </w:r>
      <w:r>
        <w:rPr>
          <w:rFonts w:hint="eastAsia" w:ascii="宋体" w:hAnsi="宋体" w:eastAsia="仿宋_GB2312" w:cs="Times New Roman"/>
          <w:color w:val="auto"/>
          <w:sz w:val="32"/>
          <w:szCs w:val="32"/>
          <w:lang w:val="en-US" w:eastAsia="zh-CN"/>
        </w:rPr>
        <w:t>250.33</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69.54</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109.34</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仿宋" w:hAnsi="仿宋" w:eastAsia="仿宋"/>
          <w:sz w:val="32"/>
          <w:szCs w:val="32"/>
        </w:rPr>
      </w:pPr>
      <w:r>
        <w:rPr>
          <w:rFonts w:hint="eastAsia" w:ascii="宋体" w:hAnsi="宋体" w:eastAsia="仿宋_GB2312"/>
          <w:color w:val="auto"/>
          <w:sz w:val="32"/>
          <w:szCs w:val="32"/>
          <w:lang w:val="en-US" w:eastAsia="zh-CN"/>
        </w:rPr>
        <w:t>对民生档案数字化进行加工扫描，既保护了档案原件，又提高了档案查准率，工作效率得到有效增强，群众满意度提高，更好的服务了社会群众。</w:t>
      </w:r>
      <w:r>
        <w:rPr>
          <w:rFonts w:hint="eastAsia" w:ascii="宋体" w:hAnsi="宋体" w:eastAsia="仿宋_GB2312" w:cs="仿宋_GB2312"/>
          <w:sz w:val="32"/>
          <w:szCs w:val="32"/>
          <w:lang w:val="en-US" w:eastAsia="zh-CN"/>
        </w:rPr>
        <w:t>加强</w:t>
      </w:r>
      <w:r>
        <w:rPr>
          <w:rFonts w:hint="eastAsia" w:ascii="宋体" w:hAnsi="宋体" w:eastAsia="仿宋_GB2312"/>
          <w:sz w:val="32"/>
          <w:szCs w:val="32"/>
          <w:lang w:val="en-US" w:eastAsia="zh-CN"/>
        </w:rPr>
        <w:t>对馆内监控设施、设备的使用检查，</w:t>
      </w:r>
      <w:r>
        <w:rPr>
          <w:rFonts w:hint="eastAsia" w:ascii="宋体" w:hAnsi="宋体" w:eastAsia="仿宋_GB2312" w:cs="仿宋_GB2312"/>
          <w:sz w:val="32"/>
          <w:szCs w:val="32"/>
          <w:lang w:val="en-US" w:eastAsia="zh-CN"/>
        </w:rPr>
        <w:t>对库房和服务器机房的气体消防灭火装置进行定期维护与保养，</w:t>
      </w:r>
      <w:r>
        <w:rPr>
          <w:rFonts w:hint="eastAsia" w:ascii="宋体" w:hAnsi="宋体" w:eastAsia="仿宋_GB2312"/>
          <w:color w:val="auto"/>
          <w:sz w:val="32"/>
          <w:szCs w:val="32"/>
          <w:lang w:val="en-US" w:eastAsia="zh-CN"/>
        </w:rPr>
        <w:t>增强库房安全性，保证了档案的存放安全，改善了档案库房环境。</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olor w:val="auto"/>
          <w:sz w:val="32"/>
          <w:szCs w:val="32"/>
          <w:lang w:eastAsia="zh-CN"/>
        </w:rPr>
        <w:t>由办公室</w:t>
      </w:r>
      <w:r>
        <w:rPr>
          <w:rFonts w:hint="eastAsia" w:ascii="宋体" w:hAnsi="宋体" w:eastAsia="仿宋_GB2312" w:cs="Times New Roman"/>
          <w:color w:val="auto"/>
          <w:sz w:val="32"/>
          <w:szCs w:val="32"/>
          <w:lang w:val="en-US" w:eastAsia="zh-CN" w:bidi="ar-SA"/>
        </w:rPr>
        <w:t>牵头，</w:t>
      </w:r>
      <w:r>
        <w:rPr>
          <w:rFonts w:hint="eastAsia" w:ascii="仿宋" w:hAnsi="仿宋" w:eastAsia="仿宋"/>
          <w:color w:val="auto"/>
          <w:sz w:val="32"/>
          <w:szCs w:val="32"/>
          <w:lang w:eastAsia="zh-CN"/>
        </w:rPr>
        <w:t>向全体干部职工传达有关工作开展情况，成立以财务主管领导为组长、</w:t>
      </w:r>
      <w:r>
        <w:rPr>
          <w:rFonts w:hint="eastAsia" w:ascii="宋体" w:hAnsi="宋体" w:eastAsia="仿宋_GB2312" w:cs="Times New Roman"/>
          <w:color w:val="auto"/>
          <w:sz w:val="32"/>
          <w:szCs w:val="32"/>
          <w:lang w:val="en-US" w:eastAsia="zh-CN" w:bidi="ar-SA"/>
        </w:rPr>
        <w:t>各股室负责人及相关工作人员为成员的绩效工作自评小组，负责组织落实年度绩效自评工作。</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pPr>
      <w:r>
        <w:rPr>
          <w:rFonts w:hint="eastAsia" w:ascii="仿宋_GB2312" w:hAnsi="仿宋_GB2312" w:eastAsia="仿宋_GB2312" w:cs="仿宋_GB2312"/>
          <w:sz w:val="32"/>
          <w:szCs w:val="32"/>
          <w:lang w:eastAsia="zh-CN"/>
        </w:rPr>
        <w:t>根据年初设置的总体绩效目标和分项绩效目标，通过问询、复核等多种方式从责任股室收集202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度工作数据、资金用途、资金使用明细等资料，了解项目计划、完成情况、完成质量等总体情况，绩效工作自评小组根据绩效自评表，从单位层面和业务层面进行逐项自评打分，根据综合分析信息和评价结论，最终形成年度支出绩效自评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1.档案利用方面，今年以来共接待利用者4288人次，提供档案13347卷，出具证明1737份，在服务就业、入职、离退、社保、婚姻等各领域发挥了档案独特的服务和凭证功能。</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1"/>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2.档案开放方面，今年以来组织形成单位对馆藏1999年的档案进行了审查、鉴定，共审查84个全宗，共计1947卷，经区委办（区档案局）批准，确定开放档案354卷。</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Calibri" w:eastAsia="仿宋_GB2312" w:cs="黑体"/>
          <w:b w:val="0"/>
          <w:kern w:val="2"/>
          <w:sz w:val="32"/>
          <w:szCs w:val="32"/>
          <w:lang w:val="en-US" w:eastAsia="zh-CN" w:bidi="ar-SA"/>
        </w:rPr>
      </w:pPr>
      <w:r>
        <w:rPr>
          <w:rFonts w:hint="eastAsia" w:ascii="仿宋_GB2312" w:hAnsi="Calibri" w:eastAsia="仿宋_GB2312" w:cs="黑体"/>
          <w:b w:val="0"/>
          <w:kern w:val="2"/>
          <w:sz w:val="32"/>
          <w:szCs w:val="32"/>
          <w:lang w:val="en-US" w:eastAsia="zh-CN" w:bidi="ar-SA"/>
        </w:rPr>
        <w:t>3.档案接收、数字化方面，目前已指导11家区直部门、1家乡镇完成档案整理工作，接收疫情档案8088件、2016-2018年文书档案2064件，数字化副本共计55550幅同时接收进馆；接收死亡干部档案249卷。加快馆藏档案扫描工作进度，共计扫描1146卷，153421幅。</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both"/>
        <w:textAlignment w:val="auto"/>
        <w:rPr>
          <w:rFonts w:hint="eastAsia" w:ascii="仿宋_GB2312" w:hAnsi="Calibri" w:eastAsia="仿宋_GB2312" w:cs="黑体"/>
          <w:b w:val="0"/>
          <w:kern w:val="2"/>
          <w:sz w:val="32"/>
          <w:szCs w:val="32"/>
          <w:lang w:val="en-US" w:eastAsia="zh-CN" w:bidi="ar-SA"/>
        </w:rPr>
      </w:pPr>
      <w:r>
        <w:rPr>
          <w:rFonts w:hint="eastAsia" w:ascii="仿宋_GB2312" w:hAnsi="Calibri" w:eastAsia="仿宋_GB2312" w:cs="黑体"/>
          <w:b w:val="0"/>
          <w:kern w:val="2"/>
          <w:sz w:val="32"/>
          <w:szCs w:val="32"/>
          <w:lang w:val="en-US" w:eastAsia="zh-CN" w:bidi="ar-SA"/>
        </w:rPr>
        <w:t>4.接收地方特色档案。今年开启接收区域特色档案新篇章，共接南甘子村《任氏》、《于氏》、《张氏》三本老家谱，接受非物质文化遗产“获鹿丝弦”光盘5张、申遗资料3本。</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both"/>
        <w:textAlignment w:val="auto"/>
        <w:rPr>
          <w:rFonts w:hint="eastAsia" w:ascii="仿宋_GB2312" w:hAnsi="Calibri" w:eastAsia="仿宋_GB2312" w:cs="黑体"/>
          <w:b w:val="0"/>
          <w:kern w:val="2"/>
          <w:sz w:val="32"/>
          <w:szCs w:val="32"/>
          <w:lang w:val="en-US" w:eastAsia="zh-CN" w:bidi="ar-SA"/>
        </w:rPr>
      </w:pPr>
      <w:r>
        <w:rPr>
          <w:rFonts w:hint="eastAsia" w:ascii="仿宋_GB2312" w:hAnsi="Calibri" w:eastAsia="仿宋_GB2312" w:cs="黑体"/>
          <w:b w:val="0"/>
          <w:kern w:val="2"/>
          <w:sz w:val="32"/>
          <w:szCs w:val="32"/>
          <w:lang w:val="en-US" w:eastAsia="zh-CN" w:bidi="ar-SA"/>
        </w:rPr>
        <w:t>5.全力推进新馆建设。档案馆新馆建设在区委、区政府领导的大力支持下，在主体工程完工的基础上，已完成内装和设备采购施工图设计、项目预算、财政评审、施工单位招标、合同签订等工作，待主体工程验收后进场施工。</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beforeAutospacing="0" w:afterAutospacing="0" w:line="578" w:lineRule="exact"/>
        <w:ind w:left="0" w:leftChars="0" w:right="0" w:firstLine="640" w:firstLineChars="200"/>
        <w:textAlignment w:val="auto"/>
        <w:outlineLvl w:val="9"/>
        <w:rPr>
          <w:rFonts w:hint="eastAsia" w:ascii="宋体" w:hAnsi="宋体" w:eastAsia="仿宋_GB2312" w:cs="Times New Roman"/>
          <w:color w:val="auto"/>
          <w:sz w:val="32"/>
          <w:szCs w:val="32"/>
          <w:lang w:val="en-US" w:eastAsia="zh-CN" w:bidi="ar-SA"/>
        </w:rPr>
      </w:pPr>
      <w:r>
        <w:rPr>
          <w:rFonts w:hint="eastAsia" w:ascii="宋体" w:hAnsi="宋体" w:eastAsia="仿宋_GB2312" w:cs="Times New Roman"/>
          <w:color w:val="auto"/>
          <w:sz w:val="32"/>
          <w:szCs w:val="32"/>
          <w:lang w:val="en-US" w:eastAsia="zh-CN" w:bidi="ar-SA"/>
        </w:rPr>
        <w:t>1.档案日常维护费项目总得分93分，具体如下：</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文件级目录数据化工作完成率（10分）：完成年度数字化目标，故得分10分。</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档案资料完好率</w:t>
      </w:r>
      <w:r>
        <w:rPr>
          <w:rFonts w:hint="eastAsia" w:ascii="仿宋_GB2312" w:hAnsi="仿宋_GB2312" w:eastAsia="仿宋_GB2312" w:cs="仿宋_GB2312"/>
          <w:b w:val="0"/>
          <w:bCs w:val="0"/>
          <w:color w:val="auto"/>
          <w:sz w:val="32"/>
          <w:szCs w:val="32"/>
          <w:lang w:val="en-US" w:eastAsia="zh-CN" w:bidi="ar-SA"/>
        </w:rPr>
        <w:t>（10分）：库房档案资料完好，未发生受损事件，故得分10分。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按时做好库房“十防”</w:t>
      </w:r>
      <w:r>
        <w:rPr>
          <w:rFonts w:hint="eastAsia" w:ascii="仿宋_GB2312" w:hAnsi="仿宋_GB2312" w:eastAsia="仿宋_GB2312" w:cs="仿宋_GB2312"/>
          <w:b w:val="0"/>
          <w:bCs w:val="0"/>
          <w:color w:val="auto"/>
          <w:sz w:val="32"/>
          <w:szCs w:val="32"/>
          <w:lang w:val="en-US" w:eastAsia="zh-CN" w:bidi="ar-SA"/>
        </w:rPr>
        <w:t>（10分）：完成灭火器年检工作，按时对库房安全进行自检，做好“十防”工作，故得分10分。</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每卷（件）档案日常维护费</w:t>
      </w:r>
      <w:r>
        <w:rPr>
          <w:rFonts w:hint="eastAsia" w:ascii="仿宋_GB2312" w:hAnsi="仿宋_GB2312" w:eastAsia="仿宋_GB2312" w:cs="仿宋_GB2312"/>
          <w:b w:val="0"/>
          <w:bCs w:val="0"/>
          <w:color w:val="auto"/>
          <w:sz w:val="32"/>
          <w:szCs w:val="32"/>
          <w:lang w:val="en-US" w:eastAsia="zh-CN" w:bidi="ar-SA"/>
        </w:rPr>
        <w:t>（10分）：按支出金额计算，每卷（件）档案日常维护费&lt;2元，故得分7分。</w:t>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w:t>
      </w:r>
      <w:r>
        <w:rPr>
          <w:rFonts w:hint="eastAsia" w:ascii="仿宋_GB2312" w:hAnsi="仿宋_GB2312" w:eastAsia="仿宋_GB2312" w:cs="仿宋_GB2312"/>
          <w:b w:val="0"/>
          <w:bCs w:val="0"/>
          <w:color w:val="auto"/>
          <w:sz w:val="32"/>
          <w:szCs w:val="32"/>
          <w:lang w:val="en-US" w:eastAsia="zh-CN" w:bidi="ar-SA"/>
        </w:rPr>
        <w:t>（10分）：预算调整数20.00万元，执行数14.53万元，预算执行率73%，故得分8分。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项目持续发挥作用</w:t>
      </w:r>
      <w:r>
        <w:rPr>
          <w:rFonts w:hint="eastAsia" w:ascii="仿宋_GB2312" w:hAnsi="仿宋_GB2312" w:eastAsia="仿宋_GB2312" w:cs="仿宋_GB2312"/>
          <w:b w:val="0"/>
          <w:bCs w:val="0"/>
          <w:color w:val="auto"/>
          <w:sz w:val="32"/>
          <w:szCs w:val="32"/>
          <w:lang w:val="en-US" w:eastAsia="zh-CN" w:bidi="ar-SA"/>
        </w:rPr>
        <w:t>（40分）：项目支出基本可以保障日常查阅利用、库房“十防”等档案业务运转，但每卷（件）档案日常维护费未达到标准，故得分38分。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78" w:lineRule="exact"/>
        <w:ind w:lef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群众满意度</w:t>
      </w:r>
      <w:r>
        <w:rPr>
          <w:rFonts w:hint="eastAsia" w:ascii="仿宋_GB2312" w:hAnsi="仿宋_GB2312" w:eastAsia="仿宋_GB2312" w:cs="仿宋_GB2312"/>
          <w:b w:val="0"/>
          <w:bCs w:val="0"/>
          <w:color w:val="auto"/>
          <w:sz w:val="32"/>
          <w:szCs w:val="32"/>
          <w:lang w:val="en-US" w:eastAsia="zh-CN" w:bidi="ar-SA"/>
        </w:rPr>
        <w:t>（10分）：满意度约97%，故得分10分。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spacing w:before="0" w:beforeLines="0" w:beforeAutospacing="0" w:after="0" w:afterLines="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2.鹿泉区档案馆新馆装饰装修及设备采购项目其他费用及预备费总得分84分，具体如下：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设备购置完成率（10分）：截至年底已支付招投标代理费用，未购置，故得分7分。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设备正常运转率（10分）：设备质量合格，未开始运行，故得分7分。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工程完成及时率（10分）：</w:t>
      </w:r>
      <w:r>
        <w:rPr>
          <w:rFonts w:hint="eastAsia" w:ascii="仿宋_GB2312" w:hAnsi="仿宋_GB2312" w:eastAsia="仿宋_GB2312" w:cs="仿宋_GB2312"/>
          <w:sz w:val="32"/>
          <w:szCs w:val="32"/>
          <w:lang w:val="en-US" w:eastAsia="zh-CN"/>
        </w:rPr>
        <w:t>装修设计方案已经过审图机构审核，并完成内部装修财政评审工作，</w:t>
      </w:r>
      <w:r>
        <w:rPr>
          <w:rFonts w:hint="eastAsia" w:ascii="仿宋_GB2312" w:hAnsi="仿宋_GB2312" w:eastAsia="仿宋_GB2312" w:cs="仿宋_GB2312"/>
          <w:b w:val="0"/>
          <w:bCs w:val="0"/>
          <w:color w:val="auto"/>
          <w:kern w:val="2"/>
          <w:sz w:val="32"/>
          <w:szCs w:val="32"/>
          <w:lang w:val="en-US" w:eastAsia="zh-CN" w:bidi="ar-SA"/>
        </w:rPr>
        <w:t>截至年底已支付招投标代理费用，未入场实施，故得分7分。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总体采购成本（10分）：总成本约138.63万元，小于预期指标值852.34万元，故得分10分。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预算执行率（10分）：</w:t>
      </w:r>
      <w:r>
        <w:rPr>
          <w:rFonts w:hint="eastAsia" w:ascii="仿宋_GB2312" w:hAnsi="仿宋_GB2312" w:eastAsia="仿宋_GB2312" w:cs="仿宋_GB2312"/>
          <w:b w:val="0"/>
          <w:bCs w:val="0"/>
          <w:color w:val="auto"/>
          <w:sz w:val="32"/>
          <w:szCs w:val="32"/>
          <w:lang w:val="en-US" w:eastAsia="zh-CN" w:bidi="ar-SA"/>
        </w:rPr>
        <w:t>预算调整数14万元，执行数5.52万元，预算执行率39%，故得分8分。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设备运行情况（20分）：未开始运行，故得分15分。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设备可使用年限（20分）：新馆建成后可使用年限在50年以上，故得分20分。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服务对象满意度比例（10分）：满意度约100%，故得分10分。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spacing w:before="0" w:beforeLines="0" w:beforeAutospacing="0" w:after="0" w:afterLines="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3.鹿泉区档案馆新馆装饰装修项目总得分82分，具体如下：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装修面积（10分）：装饰装修工程的装修面积为3819.68平方米，</w:t>
      </w:r>
      <w:r>
        <w:rPr>
          <w:rFonts w:hint="eastAsia" w:ascii="仿宋_GB2312" w:hAnsi="仿宋_GB2312" w:eastAsia="仿宋_GB2312" w:cs="仿宋_GB2312"/>
          <w:sz w:val="32"/>
          <w:szCs w:val="32"/>
          <w:lang w:val="en-US" w:eastAsia="zh-CN"/>
        </w:rPr>
        <w:t>装修设计方案已经过审图机构审核，并完成内部装修财政评审工作，</w:t>
      </w:r>
      <w:r>
        <w:rPr>
          <w:rFonts w:hint="eastAsia" w:ascii="仿宋_GB2312" w:hAnsi="仿宋_GB2312" w:eastAsia="仿宋_GB2312" w:cs="仿宋_GB2312"/>
          <w:b w:val="0"/>
          <w:bCs w:val="0"/>
          <w:color w:val="auto"/>
          <w:kern w:val="2"/>
          <w:sz w:val="32"/>
          <w:szCs w:val="32"/>
          <w:lang w:val="en-US" w:eastAsia="zh-CN" w:bidi="ar-SA"/>
        </w:rPr>
        <w:t>截至年底已支付招投标代理费用，未入场实施，故得分7分。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工程质量合格率（10分）：工程已进入招标环节，对工程质量有严格要求，但因未入场实施，故得分7分。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工程完成及时率（10分）：</w:t>
      </w:r>
      <w:r>
        <w:rPr>
          <w:rFonts w:hint="eastAsia" w:ascii="仿宋_GB2312" w:hAnsi="仿宋_GB2312" w:eastAsia="仿宋_GB2312" w:cs="仿宋_GB2312"/>
          <w:sz w:val="32"/>
          <w:szCs w:val="32"/>
          <w:lang w:val="en-US" w:eastAsia="zh-CN"/>
        </w:rPr>
        <w:t>装修设计方案已经过审图机构审核，并完成内部装修财政评审工作，</w:t>
      </w:r>
      <w:r>
        <w:rPr>
          <w:rFonts w:hint="eastAsia" w:ascii="仿宋_GB2312" w:hAnsi="仿宋_GB2312" w:eastAsia="仿宋_GB2312" w:cs="仿宋_GB2312"/>
          <w:b w:val="0"/>
          <w:bCs w:val="0"/>
          <w:color w:val="auto"/>
          <w:kern w:val="2"/>
          <w:sz w:val="32"/>
          <w:szCs w:val="32"/>
          <w:lang w:val="en-US" w:eastAsia="zh-CN" w:bidi="ar-SA"/>
        </w:rPr>
        <w:t>截至年底已支付招投标代理费用，未入场实施，故得分7分。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工程建设总成本（10分）：总成本约为337.18万元，小于预期指标值350.19万元，故得分10分。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预算执行率（10分）：</w:t>
      </w:r>
      <w:r>
        <w:rPr>
          <w:rFonts w:hint="eastAsia" w:ascii="仿宋_GB2312" w:hAnsi="仿宋_GB2312" w:eastAsia="仿宋_GB2312" w:cs="仿宋_GB2312"/>
          <w:b w:val="0"/>
          <w:bCs w:val="0"/>
          <w:color w:val="auto"/>
          <w:sz w:val="32"/>
          <w:szCs w:val="32"/>
          <w:lang w:val="en-US" w:eastAsia="zh-CN" w:bidi="ar-SA"/>
        </w:rPr>
        <w:t>预算调整数35万元，执行数0万元，预算执行率0%，故得分6分。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设备利用率（20分）：未建成服务性创新馆，仅推进前期工作，故得分15分。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设备可使用年限（20分）：新馆建成后可使用年限在50年以上，故得分20分。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服务对象满意度比例（10分）：满意度约100%，故得分10分。</w:t>
      </w:r>
      <w:r>
        <w:rPr>
          <w:rFonts w:hint="eastAsia" w:ascii="仿宋_GB2312" w:hAnsi="仿宋_GB2312" w:eastAsia="仿宋_GB2312" w:cs="仿宋_GB2312"/>
          <w:b w:val="0"/>
          <w:bCs w:val="0"/>
          <w:color w:val="auto"/>
          <w:kern w:val="2"/>
          <w:sz w:val="32"/>
          <w:szCs w:val="32"/>
          <w:lang w:val="en-US" w:eastAsia="zh-CN" w:bidi="ar-SA"/>
        </w:rPr>
        <w:tab/>
      </w:r>
    </w:p>
    <w:p>
      <w:pPr>
        <w:pStyle w:val="2"/>
        <w:keepNext w:val="0"/>
        <w:keepLines w:val="0"/>
        <w:pageBreakBefore w:val="0"/>
        <w:widowControl w:val="0"/>
        <w:kinsoku/>
        <w:wordWrap/>
        <w:overflowPunct/>
        <w:topLinePunct w:val="0"/>
        <w:autoSpaceDE/>
        <w:autoSpaceDN/>
        <w:bidi w:val="0"/>
        <w:spacing w:before="0" w:beforeLines="0" w:beforeAutospacing="0" w:after="0" w:afterLines="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4.鹿泉区档案馆新馆设备采购项目总得分83分，具体如下：</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数量指标（10分）：采购一批用于档案库建设、档案馆信息化、机房建设等设备，未采购故得7分。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设备质量合格率（10分）：设备经过严格质量检测合格率100%，故得分8分。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设备采购完成及时率（10分）：未进行采购，故得分7分。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工程建设总成本（10分）：总成本约为771.30万元，小于预期指标值788.71万元，故得分10分。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预算执行率（10分）：</w:t>
      </w:r>
      <w:r>
        <w:rPr>
          <w:rFonts w:hint="eastAsia" w:ascii="仿宋_GB2312" w:hAnsi="仿宋_GB2312" w:eastAsia="仿宋_GB2312" w:cs="仿宋_GB2312"/>
          <w:b w:val="0"/>
          <w:bCs w:val="0"/>
          <w:color w:val="auto"/>
          <w:sz w:val="32"/>
          <w:szCs w:val="32"/>
          <w:lang w:val="en-US" w:eastAsia="zh-CN" w:bidi="ar-SA"/>
        </w:rPr>
        <w:t>预算调整数78万元，执行数0万元，预算执行率0%，故得分5分。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设备利用率（20分）：未建成服务性创新馆，仅推进前期工作，故得分16分。</w:t>
      </w:r>
      <w:r>
        <w:rPr>
          <w:rFonts w:hint="eastAsia" w:ascii="仿宋_GB2312" w:hAnsi="仿宋_GB2312" w:eastAsia="仿宋_GB2312" w:cs="仿宋_GB2312"/>
          <w:b w:val="0"/>
          <w:bCs w:val="0"/>
          <w:color w:val="auto"/>
          <w:kern w:val="2"/>
          <w:sz w:val="32"/>
          <w:szCs w:val="32"/>
          <w:lang w:val="en-US" w:eastAsia="zh-CN" w:bidi="ar-SA"/>
        </w:rPr>
        <w:tab/>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设备可使用年限（20分）：新馆建成后可使用年限在50年以上，故得分20分。</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hint="eastAsia"/>
          <w:lang w:val="en-US" w:eastAsia="zh-CN"/>
        </w:rPr>
      </w:pPr>
      <w:r>
        <w:rPr>
          <w:rFonts w:hint="eastAsia" w:ascii="仿宋_GB2312" w:hAnsi="仿宋_GB2312" w:eastAsia="仿宋_GB2312" w:cs="仿宋_GB2312"/>
          <w:b w:val="0"/>
          <w:bCs w:val="0"/>
          <w:color w:val="auto"/>
          <w:kern w:val="2"/>
          <w:sz w:val="32"/>
          <w:szCs w:val="32"/>
          <w:lang w:val="en-US" w:eastAsia="zh-CN" w:bidi="ar-SA"/>
        </w:rPr>
        <w:t>服务对象满意度比例（10分）：满意度约100%，故得分10分。</w:t>
      </w:r>
      <w:r>
        <w:rPr>
          <w:rFonts w:hint="eastAsia" w:ascii="仿宋_GB2312" w:hAnsi="仿宋_GB2312" w:eastAsia="仿宋_GB2312" w:cs="仿宋_GB2312"/>
          <w:b w:val="0"/>
          <w:bCs w:val="0"/>
          <w:color w:val="auto"/>
          <w:kern w:val="2"/>
          <w:sz w:val="32"/>
          <w:szCs w:val="32"/>
          <w:lang w:val="en-US" w:eastAsia="zh-CN" w:bidi="ar-SA"/>
        </w:rPr>
        <w:tab/>
      </w:r>
    </w:p>
    <w:p>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评价结论和评价等级</w:t>
      </w:r>
    </w:p>
    <w:p>
      <w:pPr>
        <w:numPr>
          <w:ilvl w:val="0"/>
          <w:numId w:val="0"/>
        </w:num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根据项目执行情况和项目绩效情况，</w:t>
      </w:r>
      <w:r>
        <w:rPr>
          <w:rFonts w:hint="eastAsia" w:ascii="仿宋_GB2312" w:hAnsi="仿宋_GB2312" w:eastAsia="仿宋_GB2312" w:cs="仿宋_GB2312"/>
          <w:sz w:val="32"/>
          <w:szCs w:val="32"/>
          <w:lang w:eastAsia="zh-CN"/>
        </w:rPr>
        <w:t>档案日常维护费项目</w:t>
      </w:r>
      <w:r>
        <w:rPr>
          <w:rFonts w:hint="eastAsia" w:ascii="仿宋_GB2312" w:hAnsi="仿宋_GB2312" w:eastAsia="仿宋_GB2312" w:cs="仿宋_GB2312"/>
          <w:sz w:val="32"/>
          <w:szCs w:val="32"/>
        </w:rPr>
        <w:t>总得分</w:t>
      </w:r>
      <w:r>
        <w:rPr>
          <w:rFonts w:hint="eastAsia" w:ascii="仿宋_GB2312" w:hAnsi="仿宋_GB2312" w:eastAsia="仿宋_GB2312" w:cs="仿宋_GB2312"/>
          <w:sz w:val="32"/>
          <w:szCs w:val="32"/>
          <w:lang w:val="en-US" w:eastAsia="zh-CN"/>
        </w:rPr>
        <w:t>93分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为优秀；</w:t>
      </w:r>
      <w:r>
        <w:rPr>
          <w:rFonts w:hint="eastAsia" w:ascii="仿宋_GB2312" w:hAnsi="仿宋_GB2312" w:eastAsia="仿宋_GB2312" w:cs="仿宋_GB2312"/>
          <w:b w:val="0"/>
          <w:bCs w:val="0"/>
          <w:color w:val="auto"/>
          <w:kern w:val="2"/>
          <w:sz w:val="32"/>
          <w:szCs w:val="32"/>
          <w:lang w:val="en-US" w:eastAsia="zh-CN" w:bidi="ar-SA"/>
        </w:rPr>
        <w:t>鹿泉区档案馆新馆装饰装修及设备采购项目其他费用及预备费</w:t>
      </w:r>
      <w:r>
        <w:rPr>
          <w:rFonts w:hint="eastAsia" w:ascii="仿宋_GB2312" w:hAnsi="仿宋_GB2312" w:eastAsia="仿宋_GB2312" w:cs="仿宋_GB2312"/>
          <w:sz w:val="32"/>
          <w:szCs w:val="32"/>
        </w:rPr>
        <w:t>总</w:t>
      </w:r>
      <w:bookmarkStart w:id="0" w:name="_GoBack"/>
      <w:bookmarkEnd w:id="0"/>
      <w:r>
        <w:rPr>
          <w:rFonts w:hint="eastAsia" w:ascii="仿宋_GB2312" w:hAnsi="仿宋_GB2312" w:eastAsia="仿宋_GB2312" w:cs="仿宋_GB2312"/>
          <w:sz w:val="32"/>
          <w:szCs w:val="32"/>
        </w:rPr>
        <w:t>得分</w:t>
      </w:r>
      <w:r>
        <w:rPr>
          <w:rFonts w:hint="eastAsia" w:ascii="仿宋_GB2312" w:hAnsi="仿宋_GB2312" w:eastAsia="仿宋_GB2312" w:cs="仿宋_GB2312"/>
          <w:sz w:val="32"/>
          <w:szCs w:val="32"/>
          <w:lang w:val="en-US" w:eastAsia="zh-CN"/>
        </w:rPr>
        <w:t>84分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为良好；</w:t>
      </w:r>
      <w:r>
        <w:rPr>
          <w:rFonts w:hint="eastAsia" w:ascii="仿宋_GB2312" w:hAnsi="仿宋_GB2312" w:eastAsia="仿宋_GB2312" w:cs="仿宋_GB2312"/>
          <w:b w:val="0"/>
          <w:bCs w:val="0"/>
          <w:color w:val="auto"/>
          <w:kern w:val="2"/>
          <w:sz w:val="32"/>
          <w:szCs w:val="32"/>
          <w:lang w:val="en-US" w:eastAsia="zh-CN" w:bidi="ar-SA"/>
        </w:rPr>
        <w:t>鹿泉区档案馆新馆装饰装修项目</w:t>
      </w:r>
      <w:r>
        <w:rPr>
          <w:rFonts w:hint="eastAsia" w:ascii="仿宋_GB2312" w:hAnsi="仿宋_GB2312" w:eastAsia="仿宋_GB2312" w:cs="仿宋_GB2312"/>
          <w:sz w:val="32"/>
          <w:szCs w:val="32"/>
        </w:rPr>
        <w:t>总得分</w:t>
      </w:r>
      <w:r>
        <w:rPr>
          <w:rFonts w:hint="eastAsia" w:ascii="仿宋_GB2312" w:hAnsi="仿宋_GB2312" w:eastAsia="仿宋_GB2312" w:cs="仿宋_GB2312"/>
          <w:sz w:val="32"/>
          <w:szCs w:val="32"/>
          <w:lang w:val="en-US" w:eastAsia="zh-CN"/>
        </w:rPr>
        <w:t>82分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为良好；</w:t>
      </w:r>
      <w:r>
        <w:rPr>
          <w:rFonts w:hint="eastAsia" w:ascii="仿宋_GB2312" w:hAnsi="仿宋_GB2312" w:eastAsia="仿宋_GB2312" w:cs="仿宋_GB2312"/>
          <w:b w:val="0"/>
          <w:bCs w:val="0"/>
          <w:color w:val="auto"/>
          <w:kern w:val="2"/>
          <w:sz w:val="32"/>
          <w:szCs w:val="32"/>
          <w:lang w:val="en-US" w:eastAsia="zh-CN" w:bidi="ar-SA"/>
        </w:rPr>
        <w:t>鹿泉区档案馆新馆设备采购项目</w:t>
      </w:r>
      <w:r>
        <w:rPr>
          <w:rFonts w:hint="eastAsia" w:ascii="仿宋_GB2312" w:hAnsi="仿宋_GB2312" w:eastAsia="仿宋_GB2312" w:cs="仿宋_GB2312"/>
          <w:sz w:val="32"/>
          <w:szCs w:val="32"/>
        </w:rPr>
        <w:t>总得分</w:t>
      </w:r>
      <w:r>
        <w:rPr>
          <w:rFonts w:hint="eastAsia" w:ascii="仿宋_GB2312" w:hAnsi="仿宋_GB2312" w:eastAsia="仿宋_GB2312" w:cs="仿宋_GB2312"/>
          <w:sz w:val="32"/>
          <w:szCs w:val="32"/>
          <w:lang w:val="en-US" w:eastAsia="zh-CN"/>
        </w:rPr>
        <w:t>83分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为良好。</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宋体" w:hAnsi="宋体" w:eastAsia="仿宋_GB2312" w:cs="Times New Roman"/>
          <w:color w:val="auto"/>
          <w:sz w:val="32"/>
          <w:szCs w:val="32"/>
          <w:lang w:val="en-US" w:eastAsia="zh-CN" w:bidi="ar-SA"/>
        </w:rPr>
      </w:pPr>
      <w:r>
        <w:rPr>
          <w:rFonts w:hint="eastAsia" w:ascii="宋体" w:hAnsi="宋体" w:eastAsia="仿宋_GB2312" w:cs="Times New Roman"/>
          <w:color w:val="auto"/>
          <w:sz w:val="32"/>
          <w:szCs w:val="32"/>
          <w:lang w:val="en-US" w:eastAsia="zh-CN" w:bidi="ar-SA"/>
        </w:rPr>
        <w:t>预算绩效指标体系存在进一步完善的空间，制定各项预算绩效目标不够细致准确，部分项目资金用途未详细说明，导致部分工作未完成预期目标，影响工作效果，影响了预算绩效评价的结果。</w:t>
      </w:r>
    </w:p>
    <w:p>
      <w:pPr>
        <w:keepNext w:val="0"/>
        <w:keepLines w:val="0"/>
        <w:pageBreakBefore w:val="0"/>
        <w:widowControl w:val="0"/>
        <w:kinsoku/>
        <w:wordWrap/>
        <w:overflowPunct/>
        <w:topLinePunct w:val="0"/>
        <w:autoSpaceDE/>
        <w:autoSpaceDN/>
        <w:bidi w:val="0"/>
        <w:spacing w:beforeAutospacing="0" w:afterAutospacing="0" w:line="578" w:lineRule="exact"/>
        <w:ind w:left="0" w:firstLine="640" w:firstLineChars="200"/>
        <w:textAlignment w:val="auto"/>
        <w:rPr>
          <w:rFonts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宋体" w:hAnsi="宋体" w:eastAsia="仿宋_GB2312" w:cs="Times New Roman"/>
          <w:color w:val="auto"/>
          <w:sz w:val="32"/>
          <w:szCs w:val="32"/>
          <w:lang w:val="en-US" w:eastAsia="zh-CN" w:bidi="ar-SA"/>
        </w:rPr>
      </w:pPr>
      <w:r>
        <w:rPr>
          <w:rFonts w:hint="eastAsia" w:ascii="宋体" w:hAnsi="宋体" w:eastAsia="仿宋_GB2312" w:cs="Times New Roman"/>
          <w:color w:val="auto"/>
          <w:sz w:val="32"/>
          <w:szCs w:val="32"/>
          <w:lang w:val="en-US" w:eastAsia="zh-CN" w:bidi="ar-SA"/>
        </w:rPr>
        <w:t>密切关注目标任务开展情况，确保实际工作切合绩效目标。严格按照绩效目标管理要求，细致科学地制定绩效目标，适时调整工作进度和方向，确保绩效目标得到全面贯彻执行。</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组长：冀斐</w:t>
      </w:r>
      <w:r>
        <w:rPr>
          <w:rFonts w:hint="eastAsia" w:ascii="仿宋_GB2312" w:hAnsi="仿宋_GB2312" w:eastAsia="仿宋_GB2312" w:cs="仿宋_GB2312"/>
          <w:sz w:val="32"/>
          <w:szCs w:val="32"/>
          <w:lang w:val="en-US" w:eastAsia="zh-CN"/>
        </w:rPr>
        <w:t xml:space="preserve">  副馆长</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成员：黄欣  办公室主任</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赵品  档案管理股股长</w:t>
      </w:r>
    </w:p>
    <w:p>
      <w:pPr>
        <w:keepNext w:val="0"/>
        <w:keepLines w:val="0"/>
        <w:pageBreakBefore w:val="0"/>
        <w:widowControl w:val="0"/>
        <w:kinsoku/>
        <w:wordWrap/>
        <w:overflowPunct/>
        <w:topLinePunct w:val="0"/>
        <w:autoSpaceDE/>
        <w:autoSpaceDN/>
        <w:bidi w:val="0"/>
        <w:adjustRightInd w:val="0"/>
        <w:snapToGrid w:val="0"/>
        <w:spacing w:beforeAutospacing="0" w:afterAutospacing="0" w:line="578" w:lineRule="exact"/>
        <w:ind w:left="0" w:firstLine="640" w:firstLineChars="200"/>
        <w:textAlignment w:val="auto"/>
        <w:rPr>
          <w:rFonts w:ascii="仿宋" w:hAnsi="仿宋" w:eastAsia="仿宋"/>
        </w:rPr>
      </w:pPr>
      <w:r>
        <w:rPr>
          <w:rFonts w:hint="eastAsia" w:ascii="仿宋_GB2312" w:hAnsi="仿宋_GB2312" w:eastAsia="仿宋_GB2312" w:cs="仿宋_GB2312"/>
          <w:sz w:val="32"/>
          <w:szCs w:val="32"/>
          <w:lang w:val="en-US" w:eastAsia="zh-CN"/>
        </w:rPr>
        <w:t xml:space="preserve">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51275A"/>
    <w:multiLevelType w:val="singleLevel"/>
    <w:tmpl w:val="9651275A"/>
    <w:lvl w:ilvl="0" w:tentative="0">
      <w:start w:val="4"/>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1E4B45B"/>
    <w:multiLevelType w:val="singleLevel"/>
    <w:tmpl w:val="11E4B45B"/>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DF09BC"/>
    <w:rsid w:val="00EA07C2"/>
    <w:rsid w:val="00F441CC"/>
    <w:rsid w:val="01B104CA"/>
    <w:rsid w:val="02106AB0"/>
    <w:rsid w:val="02A65603"/>
    <w:rsid w:val="02B43A28"/>
    <w:rsid w:val="046F331E"/>
    <w:rsid w:val="06313212"/>
    <w:rsid w:val="07956271"/>
    <w:rsid w:val="09721397"/>
    <w:rsid w:val="0BB63BED"/>
    <w:rsid w:val="0CC23250"/>
    <w:rsid w:val="0E0C35C2"/>
    <w:rsid w:val="0EB97A43"/>
    <w:rsid w:val="0EBD2122"/>
    <w:rsid w:val="0F214EAE"/>
    <w:rsid w:val="11B71E6A"/>
    <w:rsid w:val="1AAF0063"/>
    <w:rsid w:val="1BE140DE"/>
    <w:rsid w:val="248C197D"/>
    <w:rsid w:val="252959AF"/>
    <w:rsid w:val="25BE3BCC"/>
    <w:rsid w:val="260C05E7"/>
    <w:rsid w:val="26687490"/>
    <w:rsid w:val="277A6671"/>
    <w:rsid w:val="292D35B7"/>
    <w:rsid w:val="2C897D49"/>
    <w:rsid w:val="32817910"/>
    <w:rsid w:val="33EB6CFF"/>
    <w:rsid w:val="35A12947"/>
    <w:rsid w:val="37387040"/>
    <w:rsid w:val="38E71109"/>
    <w:rsid w:val="39885D54"/>
    <w:rsid w:val="3A2F5B1D"/>
    <w:rsid w:val="3B625C0A"/>
    <w:rsid w:val="3CEE1963"/>
    <w:rsid w:val="436B78D3"/>
    <w:rsid w:val="49FF5A33"/>
    <w:rsid w:val="4C9C27FE"/>
    <w:rsid w:val="4CFE5285"/>
    <w:rsid w:val="512260B4"/>
    <w:rsid w:val="51E641F0"/>
    <w:rsid w:val="52BD6ACB"/>
    <w:rsid w:val="55537534"/>
    <w:rsid w:val="561A74F1"/>
    <w:rsid w:val="58173431"/>
    <w:rsid w:val="597244E8"/>
    <w:rsid w:val="5A2D30C7"/>
    <w:rsid w:val="5BD52EC0"/>
    <w:rsid w:val="5EB71C30"/>
    <w:rsid w:val="64967959"/>
    <w:rsid w:val="65D212C9"/>
    <w:rsid w:val="66AF0CE5"/>
    <w:rsid w:val="6AC537CF"/>
    <w:rsid w:val="6E5B14A6"/>
    <w:rsid w:val="711B255E"/>
    <w:rsid w:val="7BB51E06"/>
    <w:rsid w:val="7C387F7C"/>
    <w:rsid w:val="7E6E50E7"/>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96</Words>
  <Characters>550</Characters>
  <Lines>4</Lines>
  <Paragraphs>1</Paragraphs>
  <TotalTime>5</TotalTime>
  <ScaleCrop>false</ScaleCrop>
  <LinksUpToDate>false</LinksUpToDate>
  <CharactersWithSpaces>645</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2025-04-30T01:10:22Z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96934721B1514D3FBAA28020338CE855_12</vt:lpwstr>
  </property>
</Properties>
</file>