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olors1.xml" ContentType="application/vnd.ms-office.chartcolorstyle+xml"/>
  <Override PartName="/word/charts/colors10.xml" ContentType="application/vnd.ms-office.chartcolorstyle+xml"/>
  <Override PartName="/word/charts/colors11.xml" ContentType="application/vnd.ms-office.chartcolorstyle+xml"/>
  <Override PartName="/word/charts/colors12.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colors7.xml" ContentType="application/vnd.ms-office.chartcolorstyle+xml"/>
  <Override PartName="/word/charts/colors8.xml" ContentType="application/vnd.ms-office.chartcolorstyle+xml"/>
  <Override PartName="/word/charts/colors9.xml" ContentType="application/vnd.ms-office.chartcolorstyle+xml"/>
  <Override PartName="/word/charts/style1.xml" ContentType="application/vnd.ms-office.chartstyle+xml"/>
  <Override PartName="/word/charts/style10.xml" ContentType="application/vnd.ms-office.chartstyle+xml"/>
  <Override PartName="/word/charts/style11.xml" ContentType="application/vnd.ms-office.chartstyle+xml"/>
  <Override PartName="/word/charts/style12.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harts/style7.xml" ContentType="application/vnd.ms-office.chartstyle+xml"/>
  <Override PartName="/word/charts/style8.xml" ContentType="application/vnd.ms-office.chartstyle+xml"/>
  <Override PartName="/word/charts/style9.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bookmarkStart w:id="0" w:name="_GoBack"/>
      <w:bookmarkEnd w:id="0"/>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6"/>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7"/>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8"/>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0"/>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hint="eastAsia" w:ascii="思源黑体 CN Heavy" w:hAnsi="思源黑体 CN Heavy" w:eastAsia="思源黑体 CN Heavy"/>
                                <w:color w:val="A6A6A6" w:themeColor="background1" w:themeShade="A6"/>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hint="eastAsia" w:ascii="思源黑体 CN Heavy" w:hAnsi="思源黑体 CN Heavy" w:eastAsia="思源黑体 CN Heavy"/>
                          <w:color w:val="A6A6A6" w:themeColor="background1" w:themeShade="A6"/>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：822</w:t>
      </w:r>
      <w:r>
        <w:rPr>
          <w:rFonts w:hint="eastAsia" w:ascii="楷体_GB2312" w:hAnsi="楷体_GB2312" w:eastAsia="楷体_GB2312" w:cs="楷体_GB2312"/>
          <w:color w:val="000000"/>
          <w:sz w:val="40"/>
          <w:szCs w:val="40"/>
          <w:lang w:val="en-US" w:eastAsia="zh-CN"/>
        </w:rPr>
        <w:t>001</w:t>
      </w:r>
    </w:p>
    <w:p>
      <w:pPr>
        <w:spacing w:line="600" w:lineRule="auto"/>
        <w:jc w:val="left"/>
        <w:rPr>
          <w:rFonts w:hint="eastAsia" w:ascii="楷体_GB2312" w:hAnsi="楷体_GB2312" w:eastAsia="楷体_GB2312" w:cs="楷体_GB2312"/>
          <w:color w:val="000000"/>
          <w:sz w:val="40"/>
          <w:szCs w:val="40"/>
          <w:lang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：石家庄市鹿泉区大河镇人民政府</w:t>
      </w:r>
      <w:r>
        <w:rPr>
          <w:rFonts w:hint="eastAsia" w:ascii="楷体_GB2312" w:hAnsi="楷体_GB2312" w:eastAsia="楷体_GB2312" w:cs="楷体_GB2312"/>
          <w:color w:val="000000"/>
          <w:sz w:val="40"/>
          <w:szCs w:val="40"/>
          <w:lang w:eastAsia="zh-CN"/>
        </w:rPr>
        <w:t>（</w:t>
      </w:r>
      <w:r>
        <w:rPr>
          <w:rFonts w:hint="eastAsia" w:ascii="楷体_GB2312" w:hAnsi="楷体_GB2312" w:eastAsia="楷体_GB2312" w:cs="楷体_GB2312"/>
          <w:color w:val="000000"/>
          <w:sz w:val="40"/>
          <w:szCs w:val="40"/>
          <w:lang w:val="en-US" w:eastAsia="zh-CN"/>
        </w:rPr>
        <w:t>本级</w:t>
      </w:r>
      <w:r>
        <w:rPr>
          <w:rFonts w:hint="eastAsia" w:ascii="楷体_GB2312" w:hAnsi="楷体_GB2312" w:eastAsia="楷体_GB2312" w:cs="楷体_GB2312"/>
          <w:color w:val="000000"/>
          <w:sz w:val="40"/>
          <w:szCs w:val="40"/>
          <w:lang w:eastAsia="zh-CN"/>
        </w:rPr>
        <w:t>）</w:t>
      </w:r>
    </w:p>
    <w:p>
      <w:pPr>
        <w:spacing w:line="600" w:lineRule="auto"/>
        <w:jc w:val="left"/>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val="en-US" w:eastAsia="zh-CN"/>
        </w:rPr>
        <w:t>九</w:t>
      </w:r>
      <w:r>
        <w:rPr>
          <w:rFonts w:hint="eastAsia" w:ascii="楷体_GB2312" w:hAnsi="楷体_GB2312" w:eastAsia="楷体_GB2312" w:cs="楷体_GB2312"/>
          <w:color w:val="000000"/>
          <w:sz w:val="40"/>
          <w:szCs w:val="40"/>
        </w:rPr>
        <w:t>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tabs>
          <w:tab w:val="left" w:pos="2728"/>
        </w:tabs>
        <w:jc w:val="both"/>
        <w:rPr>
          <w:rFonts w:hint="eastAsia" w:ascii="黑体" w:hAnsi="Times New Roman" w:eastAsia="黑体" w:cs="Times New Roman"/>
          <w:sz w:val="44"/>
          <w:szCs w:val="44"/>
        </w:rPr>
      </w:pPr>
    </w:p>
    <w:p>
      <w:pPr>
        <w:tabs>
          <w:tab w:val="left" w:pos="2728"/>
        </w:tabs>
        <w:jc w:val="both"/>
        <w:rPr>
          <w:rFonts w:hint="eastAsia" w:ascii="黑体" w:hAnsi="Times New Roman" w:eastAsia="黑体" w:cs="Times New Roman"/>
          <w:sz w:val="44"/>
          <w:szCs w:val="44"/>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val="en-US" w:eastAsia="zh-CN"/>
        </w:rPr>
        <w:t>单位</w:t>
      </w:r>
      <w:r>
        <w:rPr>
          <w:rFonts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val="en-US" w:eastAsia="zh-CN"/>
        </w:rPr>
        <w:t>单位</w:t>
      </w:r>
      <w:r>
        <w:rPr>
          <w:rFonts w:ascii="Times New Roman" w:hAnsi="Times New Roman" w:eastAsia="黑体" w:cs="Times New Roman"/>
          <w:sz w:val="32"/>
          <w:szCs w:val="32"/>
        </w:rPr>
        <w:t>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hint="eastAsia" w:ascii="Times New Roman" w:hAnsi="Times New Roman" w:eastAsia="黑体" w:cs="Times New Roman"/>
          <w:sz w:val="32"/>
          <w:szCs w:val="32"/>
          <w:lang w:val="en-US" w:eastAsia="zh-CN"/>
        </w:rPr>
        <w:t>单位</w:t>
      </w:r>
      <w:r>
        <w:rPr>
          <w:rFonts w:ascii="Times New Roman" w:hAnsi="Times New Roman" w:eastAsia="黑体" w:cs="Times New Roman"/>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
      <w:r>
        <w:t> </w:t>
      </w:r>
    </w:p>
    <w:p/>
    <w:p>
      <w:pPr>
        <w:rPr>
          <w:rFonts w:hint="eastAsia"/>
        </w:rPr>
      </w:pPr>
    </w:p>
    <w:p>
      <w:pPr>
        <w:rPr>
          <w:rFonts w:hint="eastAsia"/>
        </w:rPr>
      </w:pPr>
    </w:p>
    <w:p>
      <w:pPr>
        <w:rPr>
          <w:rFonts w:hint="eastAsia"/>
        </w:rPr>
      </w:pPr>
    </w:p>
    <w:p>
      <w:pPr>
        <w:jc w:val="center"/>
        <w:rPr>
          <w:rFonts w:hint="eastAsia" w:ascii="黑体" w:hAnsi="黑体" w:eastAsia="黑体" w:cs="黑体"/>
          <w:sz w:val="72"/>
          <w:szCs w:val="72"/>
        </w:rPr>
      </w:pPr>
      <w:r>
        <w:rPr>
          <w:rFonts w:hint="eastAsia" w:ascii="黑体" w:hAnsi="黑体" w:eastAsia="黑体" w:cs="黑体"/>
          <w:sz w:val="72"/>
          <w:szCs w:val="72"/>
        </w:rPr>
        <w:t xml:space="preserve">第一部分  </w:t>
      </w:r>
      <w:r>
        <w:rPr>
          <w:rFonts w:hint="eastAsia" w:ascii="黑体" w:hAnsi="黑体" w:eastAsia="黑体" w:cs="黑体"/>
          <w:sz w:val="72"/>
          <w:szCs w:val="72"/>
          <w:lang w:val="en-US" w:eastAsia="zh-CN"/>
        </w:rPr>
        <w:t>单位</w:t>
      </w:r>
      <w:r>
        <w:rPr>
          <w:rFonts w:hint="eastAsia" w:ascii="黑体" w:hAnsi="黑体" w:eastAsia="黑体" w:cs="黑体"/>
          <w:sz w:val="72"/>
          <w:szCs w:val="72"/>
        </w:rPr>
        <w:t>概况</w:t>
      </w:r>
    </w:p>
    <w:p/>
    <w:p>
      <w:r>
        <w:t> </w:t>
      </w:r>
    </w:p>
    <w:p>
      <w:r>
        <w:t> </w:t>
      </w:r>
    </w:p>
    <w:p>
      <w:r>
        <w:t> </w:t>
      </w:r>
    </w:p>
    <w:p>
      <w:r>
        <w:t> </w:t>
      </w:r>
    </w:p>
    <w:p>
      <w:r>
        <w:t> </w:t>
      </w:r>
    </w:p>
    <w:p>
      <w:r>
        <w:t> </w:t>
      </w:r>
    </w:p>
    <w:p>
      <w:r>
        <w:t> </w:t>
      </w:r>
    </w:p>
    <w:p/>
    <w:p/>
    <w:p/>
    <w:p/>
    <w:p>
      <w:r>
        <w:t> </w:t>
      </w:r>
    </w:p>
    <w:p>
      <w:r>
        <w:t> </w:t>
      </w:r>
    </w:p>
    <w:p>
      <w:r>
        <w:t> </w:t>
      </w:r>
    </w:p>
    <w:p>
      <w:r>
        <w:t> </w:t>
      </w:r>
    </w:p>
    <w:p>
      <w:r>
        <w:t> </w:t>
      </w:r>
    </w:p>
    <w:p>
      <w:pPr>
        <w:rPr>
          <w:rFonts w:hint="eastAsia"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br w:type="page"/>
      </w:r>
    </w:p>
    <w:p>
      <w:pPr>
        <w:rPr>
          <w:rFonts w:hint="eastAsia" w:ascii="黑体" w:hAnsi="黑体" w:eastAsia="黑体" w:cs="黑体"/>
          <w:sz w:val="32"/>
          <w:szCs w:val="32"/>
        </w:rPr>
      </w:pPr>
      <w:r>
        <w:rPr>
          <w:rFonts w:hint="eastAsia" w:ascii="黑体" w:hAnsi="黑体" w:eastAsia="黑体" w:cs="黑体"/>
          <w:sz w:val="32"/>
          <w:szCs w:val="32"/>
        </w:rPr>
        <w:t>一、</w:t>
      </w:r>
      <w:r>
        <w:rPr>
          <w:rFonts w:hint="eastAsia" w:ascii="黑体" w:hAnsi="黑体" w:eastAsia="黑体" w:cs="黑体"/>
          <w:sz w:val="32"/>
          <w:szCs w:val="32"/>
          <w:lang w:val="en-US" w:eastAsia="zh-CN"/>
        </w:rPr>
        <w:t>单位</w:t>
      </w:r>
      <w:r>
        <w:rPr>
          <w:rFonts w:hint="eastAsia" w:ascii="黑体" w:hAnsi="黑体" w:eastAsia="黑体" w:cs="黑体"/>
          <w:sz w:val="32"/>
          <w:szCs w:val="32"/>
        </w:rPr>
        <w:t>职责</w:t>
      </w:r>
    </w:p>
    <w:p>
      <w:pPr>
        <w:rPr>
          <w:rFonts w:hint="eastAsia" w:ascii="黑体" w:hAnsi="黑体" w:eastAsia="黑体" w:cs="黑体"/>
          <w:sz w:val="32"/>
          <w:szCs w:val="32"/>
        </w:rPr>
      </w:pPr>
      <w:r>
        <w:rPr>
          <w:rFonts w:hint="eastAsia" w:ascii="黑体" w:hAnsi="黑体" w:eastAsia="黑体" w:cs="黑体"/>
          <w:sz w:val="32"/>
          <w:szCs w:val="32"/>
        </w:rPr>
        <w:t> </w:t>
      </w:r>
    </w:p>
    <w:p>
      <w:pPr>
        <w:ind w:firstLine="42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中共石家庄市鹿泉区委办公室石家庄市鹿泉区人民政府办公室关于印发《石家庄市鹿泉区大河镇党委、人大、政府职能配置、内设机构和人员编制规定》，石家庄市鹿泉区大河镇人民政府的主要职责是：石家庄市鹿泉区大河镇人民政府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 依法行使行政职权。</w:t>
      </w:r>
    </w:p>
    <w:p>
      <w:pPr>
        <w:ind w:firstLine="42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大河镇党委、人大、政府设 9 个工作机构。  </w:t>
      </w:r>
    </w:p>
    <w:p>
      <w:pPr>
        <w:ind w:firstLine="42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(一) 、内设机构 4 个：1、党政综合办公室。负责机关日常工作的综合协调和督促检查；负责机关文电、值班、会务、机要、保密、档案、党务政务公开、对外联络、后勤保障等日常运转工作；负责机关和所属单位财务及国有资产管理等工作。2、党建工作办公室(挂人大主席团办公室牌子)。负责基层党的政治建设、组织建设、思想建设、宣传工作、意识形态、精神文明建设、统战工作、民族宗教事务、党管武装、组织人事等工作，统筹推进区域化党建 工作，领导辖区内人大工作，以及工会、共青团、妇联等群团工作。3、应急管理办公室。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 自然灾害救助相关工作，护林和森林草原防火相关工作。负责指导基层自治和居民区建设工作，负责指导村 (居) 民委员会建立健全各项自治制度，指导村(居) 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 </w:t>
      </w:r>
    </w:p>
    <w:p>
      <w:pPr>
        <w:rPr>
          <w:rFonts w:hint="eastAsia" w:eastAsia="仿宋_GB2312"/>
          <w:lang w:eastAsia="zh-CN"/>
        </w:rPr>
        <w:sectPr>
          <w:pgSz w:w="11906" w:h="16839"/>
          <w:pgMar w:top="1531" w:right="1984" w:bottom="1531" w:left="2098" w:header="0" w:footer="0" w:gutter="0"/>
          <w:pgBorders>
            <w:top w:val="none" w:sz="0" w:space="0"/>
            <w:left w:val="none" w:sz="0" w:space="0"/>
            <w:bottom w:val="none" w:sz="0" w:space="0"/>
            <w:right w:val="none" w:sz="0" w:space="0"/>
          </w:pgBorders>
          <w:cols w:space="720" w:num="1"/>
        </w:sect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rPr>
        <w:t>(二) 所属事业单位 5 个，规格为股级，所属类别为公益一类，经费形式为财政性资金基本保障：</w:t>
      </w:r>
      <w:r>
        <w:rPr>
          <w:rFonts w:hint="eastAsia" w:ascii="仿宋_GB2312" w:hAnsi="仿宋_GB2312" w:eastAsia="仿宋_GB2312" w:cs="仿宋_GB2312"/>
          <w:sz w:val="32"/>
          <w:szCs w:val="32"/>
          <w:lang w:val="en-US" w:eastAsia="zh-CN"/>
        </w:rPr>
        <w:t xml:space="preserve"> 1</w:t>
      </w:r>
      <w:r>
        <w:rPr>
          <w:rFonts w:hint="eastAsia" w:ascii="仿宋_GB2312" w:hAnsi="仿宋_GB2312" w:eastAsia="仿宋_GB2312" w:cs="仿宋_GB2312"/>
          <w:sz w:val="32"/>
          <w:szCs w:val="32"/>
        </w:rPr>
        <w:t>、综合行政执法队。核定财政性资金基本保障事业编制 16 名，股级职数 1 正 2 副。根据有关法律法规和上级部门授权、委托，承担城乡建设、生态环境、文化市场、农业农村、安全生产、民族宗教等领域行 政执法工作。</w:t>
      </w:r>
      <w:r>
        <w:rPr>
          <w:rFonts w:hint="eastAsia" w:ascii="仿宋_GB2312" w:hAnsi="仿宋_GB2312" w:eastAsia="仿宋_GB2312" w:cs="仿宋_GB2312"/>
          <w:sz w:val="32"/>
          <w:szCs w:val="32"/>
          <w:lang w:val="en-US" w:eastAsia="zh-CN"/>
        </w:rPr>
        <w:t xml:space="preserve"> 2</w:t>
      </w:r>
      <w:r>
        <w:rPr>
          <w:rFonts w:hint="eastAsia" w:ascii="仿宋_GB2312" w:hAnsi="仿宋_GB2312" w:eastAsia="仿宋_GB2312" w:cs="仿宋_GB2312"/>
          <w:sz w:val="32"/>
          <w:szCs w:val="32"/>
        </w:rPr>
        <w:t>、行政综合服务中心(挂综合文化服务站、财政所 牌子)。核定财政性资金基本保障事业编制 8 名，股级职数 1 正2 副。负责行政审批服务事项的受理、办理工作，提供政策和业 务咨询；指导村 (社区) 便民服务点建设。负责开展群众文化艺 术娱乐、体育活动，负责文物普查、保护和开发利用工作，指导 村 (社区) 文化室建设、文体设施规划建设。负责编制镇财政预 决算，负责镇政府预算单位的财务管理和核算，负责村级资金核 拨和监督管理等相关工作。</w:t>
      </w:r>
      <w:r>
        <w:rPr>
          <w:rFonts w:hint="eastAsia" w:ascii="仿宋_GB2312" w:hAnsi="仿宋_GB2312" w:eastAsia="仿宋_GB2312" w:cs="仿宋_GB2312"/>
          <w:sz w:val="32"/>
          <w:szCs w:val="32"/>
          <w:lang w:val="en-US" w:eastAsia="zh-CN"/>
        </w:rPr>
        <w:t xml:space="preserve"> 3</w:t>
      </w:r>
      <w:r>
        <w:rPr>
          <w:rFonts w:hint="eastAsia" w:ascii="仿宋_GB2312" w:hAnsi="仿宋_GB2312" w:eastAsia="仿宋_GB2312" w:cs="仿宋_GB2312"/>
          <w:sz w:val="32"/>
          <w:szCs w:val="32"/>
        </w:rPr>
        <w:t>、农业综合服务中心 (挂经济发展 办公室牌子)。核定财政性资金基本保障事业编制 6 名，股级职 数 1 正 1 副。负责农业、畜牧、林业、水利、农机等技术推广和 服务工作，负责农产品质量安全监管工作，负责指导农业生产、技术培训和信息咨询服务；负责动植物病虫害及灾情的预报、防治、处置；负责指导新农村建设、乡村振兴、农村经济发展、农 村体制改革、农村土地承包、扶贫开发、水土保持和综合治理等 工作，负责农村环境卫生工作。</w:t>
      </w:r>
      <w:r>
        <w:rPr>
          <w:rFonts w:hint="eastAsia" w:ascii="仿宋_GB2312" w:hAnsi="仿宋_GB2312" w:eastAsia="仿宋_GB2312" w:cs="仿宋_GB2312"/>
          <w:sz w:val="32"/>
          <w:szCs w:val="32"/>
          <w:lang w:val="en-US" w:eastAsia="zh-CN"/>
        </w:rPr>
        <w:t xml:space="preserve"> 4</w:t>
      </w:r>
      <w:r>
        <w:rPr>
          <w:rFonts w:hint="eastAsia" w:ascii="仿宋_GB2312" w:hAnsi="仿宋_GB2312" w:eastAsia="仿宋_GB2312" w:cs="仿宋_GB2312"/>
          <w:sz w:val="32"/>
          <w:szCs w:val="32"/>
        </w:rPr>
        <w:t>、退役军人服务站。核定财政 性资金基本保障事业编制 3 名，股级职数 1 名。负责退役军人就 业创业扶持、拥军优属、优抚帮扶、走访慰问、信访接待、权益 保障等工作；配合武装部做好征兵、 民兵、预备役、 国防教育、 国民经济动员、人民防空、国防交通、国防设施保护等相关工作。</w:t>
      </w:r>
      <w:r>
        <w:rPr>
          <w:rFonts w:hint="eastAsia" w:ascii="仿宋_GB2312" w:hAnsi="仿宋_GB2312" w:eastAsia="仿宋_GB2312" w:cs="仿宋_GB2312"/>
          <w:sz w:val="32"/>
          <w:szCs w:val="32"/>
          <w:lang w:val="en-US" w:eastAsia="zh-CN"/>
        </w:rPr>
        <w:t xml:space="preserve"> 5</w:t>
      </w:r>
      <w:r>
        <w:rPr>
          <w:rFonts w:hint="eastAsia" w:ascii="仿宋_GB2312" w:hAnsi="仿宋_GB2312" w:eastAsia="仿宋_GB2312" w:cs="仿宋_GB2312"/>
          <w:sz w:val="32"/>
          <w:szCs w:val="32"/>
        </w:rPr>
        <w:t>、综合指挥和信息化网络中心(挂社会治理办公室牌子)，核定财政性资金基本保障事业编制 6 名，股级职数 1 正 1 副。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镇纪委 (监察办公室) 。核定行政编制 4 名 (含纪委书记、副书记) 。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发腐败工作；受理本镇 范围内对党的组织、党员违反党纪行为的检举以及党员的控告、申诉，维护党员的权利。督促落实全镇党务、政府、财务、村务 公开，监督规范农村资金、资产、资源管理，负责内部审计工作。人民武装部及工会、共青团、妇联等群团组织按有关章程和规定 设置，在镇党委统一领导下开展工作</w:t>
      </w:r>
      <w:r>
        <w:rPr>
          <w:rFonts w:hint="eastAsia" w:ascii="仿宋_GB2312" w:hAnsi="仿宋_GB2312" w:eastAsia="仿宋_GB2312" w:cs="仿宋_GB2312"/>
          <w:sz w:val="32"/>
          <w:szCs w:val="32"/>
          <w:lang w:eastAsia="zh-CN"/>
        </w:rPr>
        <w:t>。</w:t>
      </w:r>
    </w:p>
    <w:p>
      <w:pPr>
        <w:rPr>
          <w:rFonts w:hint="eastAsia" w:ascii="黑体" w:hAnsi="黑体" w:eastAsia="黑体" w:cs="黑体"/>
          <w:sz w:val="32"/>
          <w:szCs w:val="32"/>
        </w:rPr>
      </w:pPr>
      <w:r>
        <w:rPr>
          <w:rFonts w:hint="eastAsia" w:ascii="黑体" w:hAnsi="黑体" w:eastAsia="黑体" w:cs="黑体"/>
          <w:sz w:val="32"/>
          <w:szCs w:val="32"/>
        </w:rPr>
        <w:t>二、机构设置</w:t>
      </w:r>
    </w:p>
    <w:p>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w:t>
      </w:r>
      <w:r>
        <w:rPr>
          <w:rFonts w:hint="eastAsia" w:ascii="仿宋_GB2312" w:eastAsia="仿宋_GB2312" w:cs="仿宋_GB2312"/>
          <w:kern w:val="0"/>
          <w:sz w:val="32"/>
          <w:szCs w:val="32"/>
          <w:lang w:val="en-US" w:eastAsia="zh-CN"/>
        </w:rPr>
        <w:t>3</w:t>
      </w:r>
      <w:r>
        <w:rPr>
          <w:rFonts w:hint="eastAsia" w:ascii="仿宋_GB2312" w:eastAsia="仿宋_GB2312" w:cs="仿宋_GB2312"/>
          <w:kern w:val="0"/>
          <w:sz w:val="32"/>
          <w:szCs w:val="32"/>
        </w:rPr>
        <w:t>年度本部门决算汇编范围的独立核算单位（以下简称“单位”）共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个，具体情况如下：</w:t>
      </w:r>
    </w:p>
    <w:tbl>
      <w:tblPr>
        <w:tblStyle w:val="13"/>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hint="eastAsia" w:ascii="仿宋_GB2312" w:hAnsi="Calibri" w:eastAsia="仿宋_GB2312" w:cs="ArialUnicodeMS"/>
                <w:sz w:val="28"/>
                <w:szCs w:val="28"/>
              </w:rPr>
            </w:pPr>
          </w:p>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pPr>
              <w:spacing w:line="560" w:lineRule="exact"/>
              <w:rPr>
                <w:rFonts w:ascii="仿宋" w:hAnsi="仿宋" w:eastAsia="仿宋" w:cs="仿宋"/>
                <w:spacing w:val="20"/>
                <w:position w:val="20"/>
                <w:sz w:val="28"/>
                <w:szCs w:val="28"/>
              </w:rPr>
            </w:pPr>
          </w:p>
          <w:p>
            <w:pPr>
              <w:spacing w:line="560" w:lineRule="exact"/>
              <w:rPr>
                <w:rFonts w:ascii="仿宋_GB2312" w:hAnsi="Calibri" w:eastAsia="仿宋_GB2312" w:cs="ArialUnicodeMS"/>
                <w:sz w:val="28"/>
                <w:szCs w:val="28"/>
              </w:rPr>
            </w:pPr>
            <w:r>
              <w:rPr>
                <w:rFonts w:ascii="仿宋" w:hAnsi="仿宋" w:eastAsia="仿宋" w:cs="仿宋"/>
                <w:spacing w:val="20"/>
                <w:position w:val="20"/>
                <w:sz w:val="28"/>
                <w:szCs w:val="28"/>
              </w:rPr>
              <w:t>石</w:t>
            </w:r>
            <w:r>
              <w:rPr>
                <w:rFonts w:ascii="仿宋" w:hAnsi="仿宋" w:eastAsia="仿宋" w:cs="仿宋"/>
                <w:spacing w:val="15"/>
                <w:position w:val="20"/>
                <w:sz w:val="28"/>
                <w:szCs w:val="28"/>
              </w:rPr>
              <w:t>家庄市鹿泉区大河镇人</w:t>
            </w:r>
            <w:r>
              <w:rPr>
                <w:rFonts w:hint="eastAsia" w:ascii="仿宋" w:hAnsi="仿宋" w:eastAsia="仿宋" w:cs="仿宋"/>
                <w:spacing w:val="15"/>
                <w:position w:val="20"/>
                <w:sz w:val="28"/>
                <w:szCs w:val="28"/>
                <w:lang w:val="en-US" w:eastAsia="zh-CN"/>
              </w:rPr>
              <w:t>民政府（本级）</w:t>
            </w:r>
          </w:p>
        </w:tc>
        <w:tc>
          <w:tcPr>
            <w:tcW w:w="2445" w:type="dxa"/>
          </w:tcPr>
          <w:p>
            <w:pPr>
              <w:spacing w:line="560" w:lineRule="exact"/>
              <w:jc w:val="center"/>
              <w:rPr>
                <w:rFonts w:hint="eastAsia" w:ascii="仿宋_GB2312" w:hAnsi="Calibri" w:eastAsia="仿宋_GB2312" w:cs="ArialUnicodeMS"/>
                <w:sz w:val="28"/>
                <w:szCs w:val="28"/>
              </w:rPr>
            </w:pPr>
          </w:p>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行政单位</w:t>
            </w:r>
          </w:p>
        </w:tc>
        <w:tc>
          <w:tcPr>
            <w:tcW w:w="2665" w:type="dxa"/>
          </w:tcPr>
          <w:p>
            <w:pPr>
              <w:spacing w:line="560" w:lineRule="exact"/>
              <w:jc w:val="center"/>
              <w:rPr>
                <w:rFonts w:hint="eastAsia" w:ascii="仿宋_GB2312" w:hAnsi="Calibri" w:eastAsia="仿宋_GB2312" w:cs="ArialUnicodeMS"/>
                <w:sz w:val="28"/>
                <w:szCs w:val="28"/>
              </w:rPr>
            </w:pPr>
          </w:p>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sz w:val="28"/>
                <w:szCs w:val="28"/>
              </w:rPr>
            </w:pPr>
            <w:r>
              <w:rPr>
                <w:rFonts w:hint="eastAsia" w:ascii="仿宋_GB2312" w:hAnsi="Calibri" w:eastAsia="仿宋_GB2312" w:cs="ArialUnicodeMS"/>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sz w:val="28"/>
                <w:szCs w:val="28"/>
              </w:rPr>
            </w:pPr>
            <w:r>
              <w:rPr>
                <w:rFonts w:hint="eastAsia" w:ascii="仿宋_GB2312" w:hAnsi="Calibri" w:eastAsia="仿宋_GB2312" w:cs="ArialUnicodeMS"/>
                <w:sz w:val="28"/>
                <w:szCs w:val="28"/>
              </w:rPr>
              <w:t>2、经费形式分为财政拨款、财政性资金基本保证、财政性资金定额或定项补助、财政性资金零补助四类。</w:t>
            </w:r>
          </w:p>
        </w:tc>
      </w:tr>
    </w:tbl>
    <w:p>
      <w:r>
        <w:t> </w:t>
      </w:r>
    </w:p>
    <w:p>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ascii="Times New Roman" w:hAnsi="Times New Roman" w:eastAsia="黑体" w:cs="Times New Roman"/>
          <w:sz w:val="32"/>
          <w:szCs w:val="32"/>
          <w:highlight w:val="yellow"/>
        </w:rPr>
      </w:pPr>
    </w:p>
    <w:p/>
    <w:p>
      <w: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第二部分</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hint="eastAsia" w:ascii="黑体" w:hAnsi="宋体" w:eastAsia="黑体" w:cs="黑体"/>
          <w:color w:val="000000"/>
          <w:sz w:val="72"/>
          <w:szCs w:val="72"/>
          <w:shd w:val="clear" w:color="auto" w:fill="FFFFFF"/>
        </w:rPr>
      </w:pPr>
      <w:r>
        <w:rPr>
          <w:rFonts w:hint="eastAsia" w:ascii="黑体" w:hAnsi="宋体" w:eastAsia="黑体" w:cs="黑体"/>
          <w:color w:val="000000"/>
          <w:sz w:val="72"/>
          <w:szCs w:val="72"/>
          <w:shd w:val="clear" w:color="auto" w:fill="FFFFFF"/>
        </w:rPr>
        <w:t>2023年度</w:t>
      </w:r>
      <w:r>
        <w:rPr>
          <w:rFonts w:hint="eastAsia" w:ascii="黑体" w:hAnsi="宋体" w:eastAsia="黑体" w:cs="黑体"/>
          <w:color w:val="000000"/>
          <w:sz w:val="72"/>
          <w:szCs w:val="72"/>
          <w:shd w:val="clear" w:color="auto" w:fill="FFFFFF"/>
          <w:lang w:val="en-US" w:eastAsia="zh-CN"/>
        </w:rPr>
        <w:t>单位</w:t>
      </w:r>
      <w:r>
        <w:rPr>
          <w:rFonts w:hint="eastAsia" w:ascii="黑体" w:hAnsi="宋体" w:eastAsia="黑体" w:cs="黑体"/>
          <w:color w:val="000000"/>
          <w:sz w:val="72"/>
          <w:szCs w:val="72"/>
          <w:shd w:val="clear" w:color="auto" w:fill="FFFFFF"/>
        </w:rPr>
        <w:t>决算报表</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i w:val="0"/>
          <w:iCs w:val="0"/>
          <w:caps w:val="0"/>
          <w:color w:val="FF0000"/>
          <w:spacing w:val="0"/>
          <w:sz w:val="33"/>
          <w:szCs w:val="33"/>
          <w:highlight w:val="none"/>
          <w:shd w:val="clear" w:fill="FFFFFF"/>
          <w:lang w:val="en-US" w:eastAsia="zh-CN"/>
        </w:rPr>
        <w:sectPr>
          <w:headerReference r:id="rId3" w:type="default"/>
          <w:pgSz w:w="11906" w:h="16838"/>
          <w:pgMar w:top="1531" w:right="1984" w:bottom="1531" w:left="2098" w:header="851" w:footer="992" w:gutter="0"/>
          <w:cols w:space="720" w:num="1"/>
          <w:docGrid w:type="lines" w:linePitch="312" w:charSpace="0"/>
        </w:sectPr>
      </w:pPr>
      <w:r>
        <w:rPr>
          <w:rFonts w:hint="eastAsia" w:ascii="仿宋_GB2312" w:eastAsia="仿宋_GB2312" w:cs="仿宋_GB2312"/>
          <w:kern w:val="0"/>
          <w:sz w:val="32"/>
          <w:szCs w:val="32"/>
          <w:lang w:eastAsia="zh-CN"/>
        </w:rPr>
        <w:t>（</w:t>
      </w:r>
      <w:r>
        <w:rPr>
          <w:rFonts w:hint="eastAsia" w:ascii="仿宋_GB2312" w:eastAsia="仿宋_GB2312" w:cs="仿宋_GB2312"/>
          <w:kern w:val="0"/>
          <w:sz w:val="32"/>
          <w:szCs w:val="32"/>
        </w:rPr>
        <w:t>我部门无二级预算单位，因此，石家庄市鹿泉区大河镇人</w:t>
      </w:r>
      <w:r>
        <w:rPr>
          <w:rFonts w:hint="eastAsia" w:ascii="仿宋_GB2312" w:eastAsia="仿宋_GB2312" w:cs="仿宋_GB2312"/>
          <w:kern w:val="0"/>
          <w:sz w:val="32"/>
          <w:szCs w:val="32"/>
          <w:lang w:val="en-US" w:eastAsia="zh-CN"/>
        </w:rPr>
        <w:t>民政府</w:t>
      </w:r>
      <w:r>
        <w:rPr>
          <w:rFonts w:hint="eastAsia" w:ascii="仿宋_GB2312" w:eastAsia="仿宋_GB2312" w:cs="仿宋_GB2312"/>
          <w:kern w:val="0"/>
          <w:sz w:val="32"/>
          <w:szCs w:val="32"/>
        </w:rPr>
        <w:t>2023年度部门决算即石家庄市鹿泉区大河镇人</w:t>
      </w:r>
      <w:r>
        <w:rPr>
          <w:rFonts w:hint="eastAsia" w:ascii="仿宋_GB2312" w:eastAsia="仿宋_GB2312" w:cs="仿宋_GB2312"/>
          <w:kern w:val="0"/>
          <w:sz w:val="32"/>
          <w:szCs w:val="32"/>
          <w:lang w:val="en-US" w:eastAsia="zh-CN"/>
        </w:rPr>
        <w:t>民政府</w:t>
      </w:r>
      <w:r>
        <w:rPr>
          <w:rFonts w:hint="eastAsia" w:ascii="仿宋_GB2312" w:eastAsia="仿宋_GB2312" w:cs="仿宋_GB2312"/>
          <w:kern w:val="0"/>
          <w:sz w:val="32"/>
          <w:szCs w:val="32"/>
        </w:rPr>
        <w:t>本级2023年度决算</w:t>
      </w:r>
      <w:r>
        <w:rPr>
          <w:rFonts w:hint="eastAsia" w:ascii="仿宋_GB2312" w:eastAsia="仿宋_GB2312" w:cs="仿宋_GB2312"/>
          <w:kern w:val="0"/>
          <w:sz w:val="32"/>
          <w:szCs w:val="32"/>
          <w:lang w:val="en-US" w:eastAsia="zh-CN"/>
        </w:rPr>
        <w:t>)</w:t>
      </w:r>
    </w:p>
    <w:tbl>
      <w:tblPr>
        <w:tblStyle w:val="13"/>
        <w:tblW w:w="13992" w:type="dxa"/>
        <w:tblInd w:w="0" w:type="dxa"/>
        <w:tblLayout w:type="fixed"/>
        <w:tblCellMar>
          <w:top w:w="0" w:type="dxa"/>
          <w:left w:w="108" w:type="dxa"/>
          <w:bottom w:w="0" w:type="dxa"/>
          <w:right w:w="108" w:type="dxa"/>
        </w:tblCellMar>
      </w:tblPr>
      <w:tblGrid>
        <w:gridCol w:w="3456"/>
        <w:gridCol w:w="1495"/>
        <w:gridCol w:w="284"/>
        <w:gridCol w:w="2031"/>
        <w:gridCol w:w="2205"/>
        <w:gridCol w:w="749"/>
        <w:gridCol w:w="1713"/>
        <w:gridCol w:w="2059"/>
      </w:tblGrid>
      <w:tr>
        <w:tblPrEx>
          <w:tblLayout w:type="fixed"/>
          <w:tblCellMar>
            <w:top w:w="0" w:type="dxa"/>
            <w:left w:w="108" w:type="dxa"/>
            <w:bottom w:w="0" w:type="dxa"/>
            <w:right w:w="108" w:type="dxa"/>
          </w:tblCellMar>
        </w:tblPrEx>
        <w:trPr>
          <w:trHeight w:val="361" w:hRule="atLeast"/>
        </w:trPr>
        <w:tc>
          <w:tcPr>
            <w:tcW w:w="13992" w:type="dxa"/>
            <w:gridSpan w:val="8"/>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收入支出决算总表</w:t>
            </w:r>
          </w:p>
        </w:tc>
      </w:tr>
      <w:tr>
        <w:tblPrEx>
          <w:tblLayout w:type="fixed"/>
          <w:tblCellMar>
            <w:top w:w="0" w:type="dxa"/>
            <w:left w:w="108" w:type="dxa"/>
            <w:bottom w:w="0" w:type="dxa"/>
            <w:right w:w="108" w:type="dxa"/>
          </w:tblCellMar>
        </w:tblPrEx>
        <w:trPr>
          <w:trHeight w:val="90" w:hRule="atLeast"/>
        </w:trPr>
        <w:tc>
          <w:tcPr>
            <w:tcW w:w="13992" w:type="dxa"/>
            <w:gridSpan w:val="8"/>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01</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300" w:hRule="atLeast"/>
        </w:trPr>
        <w:tc>
          <w:tcPr>
            <w:tcW w:w="4951" w:type="dxa"/>
            <w:gridSpan w:val="2"/>
            <w:tcBorders>
              <w:top w:val="nil"/>
              <w:left w:val="nil"/>
              <w:bottom w:val="single" w:color="auto" w:sz="4" w:space="0"/>
              <w:right w:val="nil"/>
            </w:tcBorders>
            <w:vAlign w:val="bottom"/>
          </w:tcPr>
          <w:p>
            <w:pP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编制部门（单位）：石家庄市鹿泉区大河镇人民政府(本级)</w:t>
            </w:r>
          </w:p>
        </w:tc>
        <w:tc>
          <w:tcPr>
            <w:tcW w:w="4520" w:type="dxa"/>
            <w:gridSpan w:val="3"/>
            <w:tcBorders>
              <w:top w:val="nil"/>
              <w:left w:val="nil"/>
              <w:bottom w:val="single" w:color="auto" w:sz="4" w:space="0"/>
              <w:right w:val="nil"/>
            </w:tcBorders>
            <w:vAlign w:val="bottom"/>
          </w:tcPr>
          <w:p>
            <w:pPr>
              <w:jc w:val="center"/>
              <w:rPr>
                <w:rFonts w:hint="eastAsia" w:ascii="宋体" w:hAnsi="宋体" w:eastAsia="宋体"/>
                <w:color w:val="000000"/>
                <w:sz w:val="18"/>
                <w:szCs w:val="18"/>
                <w:lang w:bidi="ar"/>
              </w:rPr>
            </w:pPr>
            <w:r>
              <w:rPr>
                <w:rFonts w:hint="eastAsia" w:ascii="Times New Roman" w:hAnsi="Times New Roman" w:eastAsia="宋体" w:cs="Times New Roman"/>
                <w:color w:val="000000"/>
                <w:sz w:val="18"/>
                <w:szCs w:val="18"/>
              </w:rPr>
              <w:t>2023</w:t>
            </w:r>
            <w:r>
              <w:rPr>
                <w:rFonts w:hint="eastAsia" w:ascii="方正仿宋_GB2312" w:hAnsi="方正仿宋_GB2312" w:eastAsia="方正仿宋_GB2312" w:cs="方正仿宋_GB2312"/>
                <w:color w:val="000000"/>
                <w:sz w:val="18"/>
                <w:szCs w:val="18"/>
                <w:lang w:bidi="ar"/>
              </w:rPr>
              <w:t>年度</w:t>
            </w:r>
          </w:p>
        </w:tc>
        <w:tc>
          <w:tcPr>
            <w:tcW w:w="4521" w:type="dxa"/>
            <w:gridSpan w:val="3"/>
            <w:tcBorders>
              <w:top w:val="nil"/>
              <w:left w:val="nil"/>
              <w:bottom w:val="single" w:color="auto" w:sz="4" w:space="0"/>
              <w:right w:val="nil"/>
            </w:tcBorders>
            <w:vAlign w:val="bottom"/>
          </w:tcPr>
          <w:p>
            <w:pPr>
              <w:jc w:val="right"/>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308" w:hRule="atLeast"/>
        </w:trPr>
        <w:tc>
          <w:tcPr>
            <w:tcW w:w="7266" w:type="dxa"/>
            <w:gridSpan w:val="4"/>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收入</w:t>
            </w:r>
          </w:p>
        </w:tc>
        <w:tc>
          <w:tcPr>
            <w:tcW w:w="6726" w:type="dxa"/>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支出</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2031"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c>
          <w:tcPr>
            <w:tcW w:w="2954"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2059"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79" w:type="dxa"/>
            <w:gridSpan w:val="2"/>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2031"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1</w:t>
            </w:r>
          </w:p>
        </w:tc>
        <w:tc>
          <w:tcPr>
            <w:tcW w:w="2954"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13" w:type="dxa"/>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2059"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2</w:t>
            </w:r>
          </w:p>
        </w:tc>
      </w:tr>
      <w:tr>
        <w:tblPrEx>
          <w:tblLayout w:type="fixed"/>
          <w:tblCellMar>
            <w:top w:w="0" w:type="dxa"/>
            <w:left w:w="108" w:type="dxa"/>
            <w:bottom w:w="0" w:type="dxa"/>
            <w:right w:w="108" w:type="dxa"/>
          </w:tblCellMar>
        </w:tblPrEx>
        <w:trPr>
          <w:trHeight w:val="90"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一、一般公共预算财政拨款收入</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4,001.31</w:t>
            </w: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1,617.12</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二、政府性基金预算财政拨款收入</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21.60</w:t>
            </w: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三、国有资本经营预算财政拨款收入</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90"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四、上级补助收入</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五、事业收入</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261.91</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六、经营收入</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七、附属单位上缴收入</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40.00</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八、其他收入</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0.07</w:t>
            </w: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335.84</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128.51</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20.00</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1,022.15</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460.11</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auto"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2031"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auto"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1713" w:type="dxa"/>
            <w:tcBorders>
              <w:top w:val="nil"/>
              <w:left w:val="nil"/>
              <w:bottom w:val="single" w:color="auto"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2059"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7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2031"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171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2059"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7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2031"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171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2059"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7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2031"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171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2059"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7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2031"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171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2059"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7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2031"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171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50</w:t>
            </w:r>
          </w:p>
        </w:tc>
        <w:tc>
          <w:tcPr>
            <w:tcW w:w="2059"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112.32</w:t>
            </w:r>
          </w:p>
        </w:tc>
      </w:tr>
      <w:tr>
        <w:tblPrEx>
          <w:tblLayout w:type="fixed"/>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7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2031"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171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2059"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single" w:color="auto" w:sz="4" w:space="0"/>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2031"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single" w:color="auto" w:sz="4" w:space="0"/>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1713" w:type="dxa"/>
            <w:tcBorders>
              <w:top w:val="single" w:color="auto" w:sz="4" w:space="0"/>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2059"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25.00</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4,022.98</w:t>
            </w:r>
          </w:p>
        </w:tc>
        <w:tc>
          <w:tcPr>
            <w:tcW w:w="2954"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4,022.98</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使用非财政拨款结余（含专用结余）</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结余分配</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年初结转和结余</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817.83</w:t>
            </w:r>
          </w:p>
        </w:tc>
        <w:tc>
          <w:tcPr>
            <w:tcW w:w="2954"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年末结转和结余</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60</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817.83</w:t>
            </w: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30</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54"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61</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77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203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4,840.81</w:t>
            </w:r>
          </w:p>
        </w:tc>
        <w:tc>
          <w:tcPr>
            <w:tcW w:w="2954"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71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205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4,840.81</w:t>
            </w:r>
          </w:p>
        </w:tc>
      </w:tr>
      <w:tr>
        <w:tblPrEx>
          <w:tblLayout w:type="fixed"/>
          <w:tblCellMar>
            <w:top w:w="0" w:type="dxa"/>
            <w:left w:w="108" w:type="dxa"/>
            <w:bottom w:w="0" w:type="dxa"/>
            <w:right w:w="108" w:type="dxa"/>
          </w:tblCellMar>
        </w:tblPrEx>
        <w:trPr>
          <w:trHeight w:val="308" w:hRule="atLeast"/>
        </w:trPr>
        <w:tc>
          <w:tcPr>
            <w:tcW w:w="13992" w:type="dxa"/>
            <w:gridSpan w:val="8"/>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注：1.本表反映部门本年度的总收支和年末结转结余情况。2.本套报表金额转换时可能存在尾数误差。</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hint="eastAsia" w:ascii="黑体" w:hAnsi="黑体" w:eastAsia="黑体"/>
          <w:bCs/>
          <w:sz w:val="32"/>
          <w:szCs w:val="32"/>
        </w:rPr>
      </w:pPr>
    </w:p>
    <w:tbl>
      <w:tblPr>
        <w:tblStyle w:val="13"/>
        <w:tblW w:w="12320" w:type="dxa"/>
        <w:tblInd w:w="0" w:type="dxa"/>
        <w:tblLayout w:type="fixed"/>
        <w:tblCellMar>
          <w:top w:w="0" w:type="dxa"/>
          <w:left w:w="108" w:type="dxa"/>
          <w:bottom w:w="0" w:type="dxa"/>
          <w:right w:w="108" w:type="dxa"/>
        </w:tblCellMar>
      </w:tblPr>
      <w:tblGrid>
        <w:gridCol w:w="936"/>
        <w:gridCol w:w="3032"/>
        <w:gridCol w:w="1296"/>
        <w:gridCol w:w="648"/>
        <w:gridCol w:w="648"/>
        <w:gridCol w:w="1296"/>
        <w:gridCol w:w="936"/>
        <w:gridCol w:w="468"/>
        <w:gridCol w:w="468"/>
        <w:gridCol w:w="1656"/>
        <w:gridCol w:w="936"/>
      </w:tblGrid>
      <w:tr>
        <w:tblPrEx>
          <w:tblLayout w:type="fixed"/>
          <w:tblCellMar>
            <w:top w:w="0" w:type="dxa"/>
            <w:left w:w="108" w:type="dxa"/>
            <w:bottom w:w="0" w:type="dxa"/>
            <w:right w:w="108" w:type="dxa"/>
          </w:tblCellMar>
        </w:tblPrEx>
        <w:trPr>
          <w:trHeight w:val="550" w:hRule="atLeast"/>
        </w:trPr>
        <w:tc>
          <w:tcPr>
            <w:tcW w:w="12320" w:type="dxa"/>
            <w:gridSpan w:val="11"/>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收入决算表</w:t>
            </w:r>
          </w:p>
        </w:tc>
      </w:tr>
      <w:tr>
        <w:tblPrEx>
          <w:tblLayout w:type="fixed"/>
          <w:tblCellMar>
            <w:top w:w="0" w:type="dxa"/>
            <w:left w:w="108" w:type="dxa"/>
            <w:bottom w:w="0" w:type="dxa"/>
            <w:right w:w="108" w:type="dxa"/>
          </w:tblCellMar>
        </w:tblPrEx>
        <w:trPr>
          <w:trHeight w:val="300" w:hRule="atLeast"/>
        </w:trPr>
        <w:tc>
          <w:tcPr>
            <w:tcW w:w="12320" w:type="dxa"/>
            <w:gridSpan w:val="11"/>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02</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300" w:hRule="atLeast"/>
        </w:trPr>
        <w:tc>
          <w:tcPr>
            <w:tcW w:w="5912" w:type="dxa"/>
            <w:gridSpan w:val="4"/>
            <w:tcBorders>
              <w:top w:val="nil"/>
              <w:left w:val="nil"/>
              <w:bottom w:val="single" w:color="auto" w:sz="4" w:space="0"/>
              <w:right w:val="nil"/>
            </w:tcBorders>
            <w:vAlign w:val="bottom"/>
          </w:tcPr>
          <w:p>
            <w:pP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编制部门（单位）：石家庄市鹿泉区大河镇人民政府(本级)                                                                                                         </w:t>
            </w:r>
          </w:p>
        </w:tc>
        <w:tc>
          <w:tcPr>
            <w:tcW w:w="3348" w:type="dxa"/>
            <w:gridSpan w:val="4"/>
            <w:tcBorders>
              <w:top w:val="nil"/>
              <w:left w:val="nil"/>
              <w:bottom w:val="single" w:color="auto" w:sz="4" w:space="0"/>
              <w:right w:val="nil"/>
            </w:tcBorders>
            <w:vAlign w:val="bottom"/>
          </w:tcPr>
          <w:p>
            <w:pPr>
              <w:jc w:val="center"/>
              <w:rPr>
                <w:rFonts w:hint="eastAsia" w:ascii="方正仿宋_GB2312" w:hAnsi="方正仿宋_GB2312" w:eastAsia="方正仿宋_GB2312" w:cs="方正仿宋_GB2312"/>
                <w:color w:val="000000"/>
                <w:sz w:val="18"/>
                <w:szCs w:val="18"/>
                <w:lang w:bidi="ar"/>
              </w:rPr>
            </w:pPr>
            <w:r>
              <w:rPr>
                <w:rFonts w:ascii="Times New Roman" w:hAnsi="Times New Roman" w:eastAsia="方正仿宋_GB2312" w:cs="Times New Roman"/>
                <w:color w:val="000000"/>
                <w:sz w:val="18"/>
                <w:szCs w:val="18"/>
              </w:rPr>
              <w:t>2023</w:t>
            </w:r>
            <w:r>
              <w:rPr>
                <w:rFonts w:hint="eastAsia" w:ascii="方正仿宋_GB2312" w:hAnsi="方正仿宋_GB2312" w:eastAsia="方正仿宋_GB2312" w:cs="方正仿宋_GB2312"/>
                <w:color w:val="000000"/>
                <w:sz w:val="18"/>
                <w:szCs w:val="18"/>
                <w:lang w:bidi="ar"/>
              </w:rPr>
              <w:t>年度</w:t>
            </w:r>
          </w:p>
        </w:tc>
        <w:tc>
          <w:tcPr>
            <w:tcW w:w="3060" w:type="dxa"/>
            <w:gridSpan w:val="3"/>
            <w:tcBorders>
              <w:top w:val="nil"/>
              <w:left w:val="nil"/>
              <w:bottom w:val="single" w:color="auto" w:sz="4" w:space="0"/>
              <w:right w:val="nil"/>
            </w:tcBorders>
            <w:vAlign w:val="bottom"/>
          </w:tcPr>
          <w:p>
            <w:pPr>
              <w:jc w:val="right"/>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308" w:hRule="atLeast"/>
        </w:trPr>
        <w:tc>
          <w:tcPr>
            <w:tcW w:w="3968"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29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本年收入合计</w:t>
            </w:r>
          </w:p>
        </w:tc>
        <w:tc>
          <w:tcPr>
            <w:tcW w:w="1296"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财政拨款收入</w:t>
            </w:r>
          </w:p>
        </w:tc>
        <w:tc>
          <w:tcPr>
            <w:tcW w:w="129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上级补助收入</w:t>
            </w:r>
          </w:p>
        </w:tc>
        <w:tc>
          <w:tcPr>
            <w:tcW w:w="936" w:type="dxa"/>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事业收入</w:t>
            </w:r>
          </w:p>
        </w:tc>
        <w:tc>
          <w:tcPr>
            <w:tcW w:w="936"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经营收入</w:t>
            </w:r>
          </w:p>
        </w:tc>
        <w:tc>
          <w:tcPr>
            <w:tcW w:w="165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附属单位上缴收入</w:t>
            </w:r>
          </w:p>
        </w:tc>
        <w:tc>
          <w:tcPr>
            <w:tcW w:w="93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其他收入</w:t>
            </w:r>
          </w:p>
        </w:tc>
      </w:tr>
      <w:tr>
        <w:tblPrEx>
          <w:tblLayout w:type="fixed"/>
          <w:tblCellMar>
            <w:top w:w="0" w:type="dxa"/>
            <w:left w:w="108" w:type="dxa"/>
            <w:bottom w:w="0" w:type="dxa"/>
            <w:right w:w="108" w:type="dxa"/>
          </w:tblCellMar>
        </w:tblPrEx>
        <w:trPr>
          <w:trHeight w:val="312" w:hRule="atLeast"/>
        </w:trPr>
        <w:tc>
          <w:tcPr>
            <w:tcW w:w="936"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3032"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29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29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29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936" w:type="dxa"/>
            <w:vMerge w:val="continue"/>
            <w:tcBorders>
              <w:left w:val="nil"/>
              <w:right w:val="single" w:color="000000" w:sz="4" w:space="0"/>
            </w:tcBorders>
            <w:vAlign w:val="center"/>
          </w:tcPr>
          <w:p>
            <w:pPr>
              <w:widowControl/>
              <w:jc w:val="center"/>
              <w:textAlignment w:val="center"/>
              <w:rPr>
                <w:rFonts w:hint="eastAsia" w:ascii="宋体" w:hAnsi="宋体" w:eastAsia="宋体"/>
                <w:color w:val="000000"/>
                <w:sz w:val="18"/>
                <w:szCs w:val="18"/>
              </w:rPr>
            </w:pPr>
          </w:p>
        </w:tc>
        <w:tc>
          <w:tcPr>
            <w:tcW w:w="93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93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Layout w:type="fixed"/>
          <w:tblCellMar>
            <w:top w:w="0" w:type="dxa"/>
            <w:left w:w="108" w:type="dxa"/>
            <w:bottom w:w="0" w:type="dxa"/>
            <w:right w:w="108" w:type="dxa"/>
          </w:tblCellMar>
        </w:tblPrEx>
        <w:trPr>
          <w:trHeight w:val="312" w:hRule="atLeast"/>
        </w:trPr>
        <w:tc>
          <w:tcPr>
            <w:tcW w:w="936"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3032"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29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29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29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936" w:type="dxa"/>
            <w:vMerge w:val="continue"/>
            <w:tcBorders>
              <w:left w:val="nil"/>
              <w:right w:val="single" w:color="000000" w:sz="4" w:space="0"/>
            </w:tcBorders>
            <w:vAlign w:val="center"/>
          </w:tcPr>
          <w:p>
            <w:pPr>
              <w:jc w:val="center"/>
              <w:rPr>
                <w:rFonts w:hint="eastAsia" w:ascii="宋体" w:hAnsi="宋体" w:eastAsia="宋体"/>
                <w:color w:val="000000"/>
                <w:sz w:val="18"/>
                <w:szCs w:val="18"/>
              </w:rPr>
            </w:pPr>
          </w:p>
        </w:tc>
        <w:tc>
          <w:tcPr>
            <w:tcW w:w="93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93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Layout w:type="fixed"/>
          <w:tblCellMar>
            <w:top w:w="0" w:type="dxa"/>
            <w:left w:w="108" w:type="dxa"/>
            <w:bottom w:w="0" w:type="dxa"/>
            <w:right w:w="108" w:type="dxa"/>
          </w:tblCellMar>
        </w:tblPrEx>
        <w:trPr>
          <w:trHeight w:val="312" w:hRule="atLeast"/>
        </w:trPr>
        <w:tc>
          <w:tcPr>
            <w:tcW w:w="936"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3032"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29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29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29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936" w:type="dxa"/>
            <w:vMerge w:val="continue"/>
            <w:tcBorders>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93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93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Layout w:type="fixed"/>
          <w:tblCellMar>
            <w:top w:w="0" w:type="dxa"/>
            <w:left w:w="108" w:type="dxa"/>
            <w:bottom w:w="0" w:type="dxa"/>
            <w:right w:w="108" w:type="dxa"/>
          </w:tblCellMar>
        </w:tblPrEx>
        <w:trPr>
          <w:trHeight w:val="90" w:hRule="atLeast"/>
        </w:trPr>
        <w:tc>
          <w:tcPr>
            <w:tcW w:w="396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296"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1</w:t>
            </w:r>
          </w:p>
        </w:tc>
        <w:tc>
          <w:tcPr>
            <w:tcW w:w="1296"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2</w:t>
            </w:r>
          </w:p>
        </w:tc>
        <w:tc>
          <w:tcPr>
            <w:tcW w:w="1296"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3</w:t>
            </w:r>
          </w:p>
        </w:tc>
        <w:tc>
          <w:tcPr>
            <w:tcW w:w="936"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4</w:t>
            </w:r>
          </w:p>
        </w:tc>
        <w:tc>
          <w:tcPr>
            <w:tcW w:w="936"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5</w:t>
            </w:r>
          </w:p>
        </w:tc>
        <w:tc>
          <w:tcPr>
            <w:tcW w:w="1656"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6</w:t>
            </w:r>
          </w:p>
        </w:tc>
        <w:tc>
          <w:tcPr>
            <w:tcW w:w="936"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7</w:t>
            </w:r>
          </w:p>
        </w:tc>
      </w:tr>
      <w:tr>
        <w:tblPrEx>
          <w:tblLayout w:type="fixed"/>
          <w:tblCellMar>
            <w:top w:w="0" w:type="dxa"/>
            <w:left w:w="108" w:type="dxa"/>
            <w:bottom w:w="0" w:type="dxa"/>
            <w:right w:w="108" w:type="dxa"/>
          </w:tblCellMar>
        </w:tblPrEx>
        <w:trPr>
          <w:trHeight w:val="308" w:hRule="atLeast"/>
        </w:trPr>
        <w:tc>
          <w:tcPr>
            <w:tcW w:w="396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4,022.98</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4,022.91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0.07</w:t>
            </w: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一般公共服务支出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1,617.12</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1,617.05</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0.07</w:t>
            </w: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政府办公厅（室）及相关机构事务</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1,617.12</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1,617.05</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0.07</w:t>
            </w: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行政运行</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1,074.00</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1,073.93</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0.07</w:t>
            </w: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2010302</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一般行政管理事务</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543.12</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543.12</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205</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教育支出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261.91</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261.91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20502</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普通教育</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261.91</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261.91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2050202</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小学教育</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261.91</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261.91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207</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文化旅游体育与传媒支出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40.00</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40.00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20701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文化和旅游</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40.00</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40.00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2070109</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群众文化</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40.00</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40.00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社会保障和就业支出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335.84</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335.84</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行政事业单位养老支出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213.76</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213.76</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行政单位离退休</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103.49</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103.49</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2080505</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机关事业单位基本养老保险缴费支出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110.27</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110.27</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20809</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退役安置</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80.32</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80.32</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2080901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退役士兵安置</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80.32</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80.32</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20825</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其他生活救助</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41.76</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41.76</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2082502</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其他农村生活救助</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41.76</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41.76</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卫生健康支出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128.51</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128.51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卫生健康管理事务</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44.00</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2100102</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一般行政管理事务</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44.00</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21011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行政事业单位医疗</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84.51</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84.51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2101101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行政单位医疗</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84.51</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84.51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节能环保支出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21103</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污染防治</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2110301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大气</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城乡社区支出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1,022.15</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1,022.15</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21203</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城乡社区公共设施</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661.43</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661.43</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2120303</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小城镇基础设施建设</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190.66</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190.66</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2120399</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其他城乡社区公共设施支出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470.77</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470.77</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21205</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城乡社区环境卫生</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339.12</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339.12</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2120501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城乡社区环境卫生</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339.12</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339.12</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21208</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国有土地使用权出让收入安排的支出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2120804</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农村基础设施建设支出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213</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农林水支出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460.11</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460.11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21301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农业农村</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20.11</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20.11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2130199</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其他农业农村支出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20.11</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20.11</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21307</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农村综合改革</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440.00</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440.00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2130706</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对村集体经济组织的补助</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440.00</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440.00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住房保障支出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112.32</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112.32</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22102</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住房改革支出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112.32</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112.32</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2210201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住房公积金</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112.32</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112.32</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224</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灾害防治及应急管理支出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25.00</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22401</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应急管理事务</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25.00</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936"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2240199</w:t>
            </w:r>
          </w:p>
        </w:tc>
        <w:tc>
          <w:tcPr>
            <w:tcW w:w="303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其他应急管理支出</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25.00</w:t>
            </w:r>
          </w:p>
        </w:tc>
        <w:tc>
          <w:tcPr>
            <w:tcW w:w="129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25.00</w:t>
            </w:r>
          </w:p>
        </w:tc>
        <w:tc>
          <w:tcPr>
            <w:tcW w:w="129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93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2320" w:type="dxa"/>
            <w:gridSpan w:val="11"/>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注：本表反映部门本年度取得的各项收入情况。</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黑体" w:hAnsi="黑体" w:eastAsia="黑体"/>
          <w:bCs/>
          <w:sz w:val="32"/>
          <w:szCs w:val="32"/>
        </w:rPr>
      </w:pPr>
      <w:r>
        <w:rPr>
          <w:rFonts w:hint="eastAsia" w:ascii="仿宋_GB2312" w:hAnsi="宋体" w:eastAsia="仿宋_GB2312"/>
          <w:b/>
          <w:sz w:val="32"/>
          <w:szCs w:val="32"/>
        </w:rPr>
        <w:br w:type="page"/>
      </w:r>
    </w:p>
    <w:p>
      <w:pPr>
        <w:widowControl/>
        <w:jc w:val="center"/>
        <w:textAlignment w:val="bottom"/>
        <w:rPr>
          <w:rFonts w:hint="eastAsia" w:ascii="宋体" w:hAnsi="宋体" w:eastAsia="宋体"/>
          <w:spacing w:val="-2"/>
          <w:sz w:val="20"/>
        </w:rPr>
      </w:pPr>
    </w:p>
    <w:tbl>
      <w:tblPr>
        <w:tblStyle w:val="13"/>
        <w:tblW w:w="13992" w:type="dxa"/>
        <w:tblInd w:w="0" w:type="dxa"/>
        <w:tblLayout w:type="fixed"/>
        <w:tblCellMar>
          <w:top w:w="0" w:type="dxa"/>
          <w:left w:w="108" w:type="dxa"/>
          <w:bottom w:w="0" w:type="dxa"/>
          <w:right w:w="108" w:type="dxa"/>
        </w:tblCellMar>
      </w:tblPr>
      <w:tblGrid>
        <w:gridCol w:w="845"/>
        <w:gridCol w:w="3096"/>
        <w:gridCol w:w="2076"/>
        <w:gridCol w:w="728"/>
        <w:gridCol w:w="956"/>
        <w:gridCol w:w="1656"/>
        <w:gridCol w:w="1012"/>
        <w:gridCol w:w="296"/>
        <w:gridCol w:w="1656"/>
        <w:gridCol w:w="1671"/>
      </w:tblGrid>
      <w:tr>
        <w:tblPrEx>
          <w:tblLayout w:type="fixed"/>
          <w:tblCellMar>
            <w:top w:w="0" w:type="dxa"/>
            <w:left w:w="108" w:type="dxa"/>
            <w:bottom w:w="0" w:type="dxa"/>
            <w:right w:w="108" w:type="dxa"/>
          </w:tblCellMar>
        </w:tblPrEx>
        <w:trPr>
          <w:trHeight w:val="550" w:hRule="atLeast"/>
        </w:trPr>
        <w:tc>
          <w:tcPr>
            <w:tcW w:w="13992" w:type="dxa"/>
            <w:gridSpan w:val="10"/>
            <w:tcBorders>
              <w:top w:val="nil"/>
              <w:left w:val="nil"/>
              <w:bottom w:val="nil"/>
              <w:right w:val="nil"/>
            </w:tcBorders>
            <w:vAlign w:val="bottom"/>
          </w:tcPr>
          <w:p>
            <w:pPr>
              <w:jc w:val="center"/>
              <w:outlineLvl w:val="1"/>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tblPrEx>
          <w:tblLayout w:type="fixed"/>
          <w:tblCellMar>
            <w:top w:w="0" w:type="dxa"/>
            <w:left w:w="108" w:type="dxa"/>
            <w:bottom w:w="0" w:type="dxa"/>
            <w:right w:w="108" w:type="dxa"/>
          </w:tblCellMar>
        </w:tblPrEx>
        <w:trPr>
          <w:trHeight w:val="300" w:hRule="atLeast"/>
        </w:trPr>
        <w:tc>
          <w:tcPr>
            <w:tcW w:w="13992" w:type="dxa"/>
            <w:gridSpan w:val="10"/>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宋体" w:cs="Times New Roman"/>
                <w:color w:val="000000"/>
                <w:sz w:val="18"/>
                <w:szCs w:val="18"/>
                <w:lang w:bidi="ar"/>
              </w:rPr>
              <w:t>03</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300" w:hRule="atLeast"/>
        </w:trPr>
        <w:tc>
          <w:tcPr>
            <w:tcW w:w="6745" w:type="dxa"/>
            <w:gridSpan w:val="4"/>
            <w:tcBorders>
              <w:top w:val="nil"/>
              <w:left w:val="nil"/>
              <w:bottom w:val="single" w:color="auto" w:sz="4" w:space="0"/>
              <w:right w:val="nil"/>
            </w:tcBorders>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编制部门（单位）：石家庄市鹿泉区大河镇人民政府(本级) </w:t>
            </w:r>
            <w:r>
              <w:rPr>
                <w:rFonts w:hint="eastAsia" w:asciiTheme="minorEastAsia" w:hAnsiTheme="minorEastAsia" w:cstheme="minorEastAsia"/>
                <w:color w:val="000000"/>
                <w:sz w:val="18"/>
                <w:szCs w:val="18"/>
                <w:lang w:bidi="ar"/>
              </w:rPr>
              <w:t xml:space="preserve">                                                                                                         </w:t>
            </w:r>
          </w:p>
        </w:tc>
        <w:tc>
          <w:tcPr>
            <w:tcW w:w="3624" w:type="dxa"/>
            <w:gridSpan w:val="3"/>
            <w:tcBorders>
              <w:top w:val="nil"/>
              <w:left w:val="nil"/>
              <w:bottom w:val="single" w:color="auto" w:sz="4" w:space="0"/>
              <w:right w:val="nil"/>
            </w:tcBorders>
            <w:vAlign w:val="bottom"/>
          </w:tcPr>
          <w:p>
            <w:pPr>
              <w:widowControl/>
              <w:jc w:val="center"/>
              <w:textAlignment w:val="bottom"/>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3623" w:type="dxa"/>
            <w:gridSpan w:val="3"/>
            <w:tcBorders>
              <w:top w:val="nil"/>
              <w:left w:val="nil"/>
              <w:bottom w:val="single" w:color="auto" w:sz="4" w:space="0"/>
              <w:right w:val="nil"/>
            </w:tcBorders>
            <w:vAlign w:val="bottom"/>
          </w:tcPr>
          <w:p>
            <w:pPr>
              <w:widowControl/>
              <w:jc w:val="right"/>
              <w:textAlignment w:val="bottom"/>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 xml:space="preserve"> 金额单位：万元</w:t>
            </w:r>
          </w:p>
        </w:tc>
      </w:tr>
      <w:tr>
        <w:tblPrEx>
          <w:tblLayout w:type="fixed"/>
          <w:tblCellMar>
            <w:top w:w="0" w:type="dxa"/>
            <w:left w:w="108" w:type="dxa"/>
            <w:bottom w:w="0" w:type="dxa"/>
            <w:right w:w="108" w:type="dxa"/>
          </w:tblCellMar>
        </w:tblPrEx>
        <w:trPr>
          <w:trHeight w:val="308" w:hRule="atLeast"/>
        </w:trPr>
        <w:tc>
          <w:tcPr>
            <w:tcW w:w="3941"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207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本年支出合计</w:t>
            </w:r>
          </w:p>
        </w:tc>
        <w:tc>
          <w:tcPr>
            <w:tcW w:w="1684"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165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c>
          <w:tcPr>
            <w:tcW w:w="1308"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上缴上级支出</w:t>
            </w:r>
          </w:p>
        </w:tc>
        <w:tc>
          <w:tcPr>
            <w:tcW w:w="165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经营支出</w:t>
            </w:r>
          </w:p>
        </w:tc>
        <w:tc>
          <w:tcPr>
            <w:tcW w:w="1671"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对附属单位补助支出</w:t>
            </w:r>
          </w:p>
        </w:tc>
      </w:tr>
      <w:tr>
        <w:tblPrEx>
          <w:tblLayout w:type="fixed"/>
          <w:tblCellMar>
            <w:top w:w="0" w:type="dxa"/>
            <w:left w:w="108" w:type="dxa"/>
            <w:bottom w:w="0" w:type="dxa"/>
            <w:right w:w="108" w:type="dxa"/>
          </w:tblCellMar>
        </w:tblPrEx>
        <w:trPr>
          <w:trHeight w:val="312" w:hRule="atLeast"/>
        </w:trPr>
        <w:tc>
          <w:tcPr>
            <w:tcW w:w="845"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3096"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207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8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308"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7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Layout w:type="fixed"/>
          <w:tblCellMar>
            <w:top w:w="0" w:type="dxa"/>
            <w:left w:w="108" w:type="dxa"/>
            <w:bottom w:w="0" w:type="dxa"/>
            <w:right w:w="108" w:type="dxa"/>
          </w:tblCellMar>
        </w:tblPrEx>
        <w:trPr>
          <w:trHeight w:val="312" w:hRule="atLeast"/>
        </w:trPr>
        <w:tc>
          <w:tcPr>
            <w:tcW w:w="845"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3096"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207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8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308"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7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Layout w:type="fixed"/>
          <w:tblCellMar>
            <w:top w:w="0" w:type="dxa"/>
            <w:left w:w="108" w:type="dxa"/>
            <w:bottom w:w="0" w:type="dxa"/>
            <w:right w:w="108" w:type="dxa"/>
          </w:tblCellMar>
        </w:tblPrEx>
        <w:trPr>
          <w:trHeight w:val="312" w:hRule="atLeast"/>
        </w:trPr>
        <w:tc>
          <w:tcPr>
            <w:tcW w:w="845"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3096"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207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8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308"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5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67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Layout w:type="fixed"/>
          <w:tblCellMar>
            <w:top w:w="0" w:type="dxa"/>
            <w:left w:w="108" w:type="dxa"/>
            <w:bottom w:w="0" w:type="dxa"/>
            <w:right w:w="108" w:type="dxa"/>
          </w:tblCellMar>
        </w:tblPrEx>
        <w:trPr>
          <w:trHeight w:val="308" w:hRule="atLeast"/>
        </w:trPr>
        <w:tc>
          <w:tcPr>
            <w:tcW w:w="394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2076"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1684"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1656"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1308"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1656"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1671"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r>
      <w:tr>
        <w:tblPrEx>
          <w:tblLayout w:type="fixed"/>
          <w:tblCellMar>
            <w:top w:w="0" w:type="dxa"/>
            <w:left w:w="108" w:type="dxa"/>
            <w:bottom w:w="0" w:type="dxa"/>
            <w:right w:w="108" w:type="dxa"/>
          </w:tblCellMar>
        </w:tblPrEx>
        <w:trPr>
          <w:trHeight w:val="308" w:hRule="atLeast"/>
        </w:trPr>
        <w:tc>
          <w:tcPr>
            <w:tcW w:w="394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4,022.98</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1,484.60</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2,538.38</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一般公共服务支出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1,617.12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1,074.00</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543.12</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政府办公厅（室）及相关机构事务</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1,617.12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1,074.00</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543.12</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行政运行</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1,074.00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1,074.00</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2010302</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543.12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543.12</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教育支出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20502</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普通教育</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2050202</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小学教育</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文化旅游体育与传媒支出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文化和旅游</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2070109</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群众文化</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社会保障和就业支出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335.84</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213.76</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122.08</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行政事业单位养老支出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213.76</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213.76</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行政单位离退休</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103.49</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103.49</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2080505</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110.27</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110.27</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20809</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退役安置</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80.32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80.32</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2080901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退役士兵安置</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80.32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80.32</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20825</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其他生活救助</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41.76</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41.76</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2082502</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其他农村生活救助</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41.76</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41.76</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128.51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卫生健康管理事务</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2100102</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行政事业单位医疗</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行政单位医疗</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节能环保支出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21103</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污染防治</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2110301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大气</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1,022.15</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1,022.15</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21203</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城乡社区公共设施</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661.43</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661.43</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2120303</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小城镇基础设施建设</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190.66</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190.66</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2120399</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其他城乡社区公共设施支出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470.77</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470.77</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21205</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城乡社区环境卫生</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339.12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339.12</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2120501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城乡社区环境卫生</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339.12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339.12</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21208</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国有土地使用权出让收入安排的支出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21.60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21.60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2120804</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农村基础设施建设支出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21.60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21.60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农林水支出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460.11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460.11</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农业农村</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20.11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20.11</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2130199</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其他农业农村支出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20.11</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20.11</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21307</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农村综合改革</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2130706</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对村集体经济组织的补助</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住房保障支出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住房改革支出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224</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灾害防治及应急管理支出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22401</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应急管理事务</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2240199</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其他应急管理支出</w:t>
            </w:r>
          </w:p>
        </w:tc>
        <w:tc>
          <w:tcPr>
            <w:tcW w:w="207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16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1308"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5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7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3992" w:type="dxa"/>
            <w:gridSpan w:val="10"/>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注：本表反映部门本年度各项支出情况。</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3"/>
        <w:tblW w:w="13989" w:type="dxa"/>
        <w:tblInd w:w="0" w:type="dxa"/>
        <w:tblLayout w:type="fixed"/>
        <w:tblCellMar>
          <w:top w:w="0" w:type="dxa"/>
          <w:left w:w="108" w:type="dxa"/>
          <w:bottom w:w="0" w:type="dxa"/>
          <w:right w:w="108" w:type="dxa"/>
        </w:tblCellMar>
      </w:tblPr>
      <w:tblGrid>
        <w:gridCol w:w="2466"/>
        <w:gridCol w:w="464"/>
        <w:gridCol w:w="1544"/>
        <w:gridCol w:w="2202"/>
        <w:gridCol w:w="425"/>
        <w:gridCol w:w="464"/>
        <w:gridCol w:w="1542"/>
        <w:gridCol w:w="215"/>
        <w:gridCol w:w="1407"/>
        <w:gridCol w:w="1623"/>
        <w:gridCol w:w="1637"/>
      </w:tblGrid>
      <w:tr>
        <w:tblPrEx>
          <w:tblLayout w:type="fixed"/>
          <w:tblCellMar>
            <w:top w:w="0" w:type="dxa"/>
            <w:left w:w="108" w:type="dxa"/>
            <w:bottom w:w="0" w:type="dxa"/>
            <w:right w:w="108" w:type="dxa"/>
          </w:tblCellMar>
        </w:tblPrEx>
        <w:trPr>
          <w:trHeight w:val="550" w:hRule="atLeast"/>
        </w:trPr>
        <w:tc>
          <w:tcPr>
            <w:tcW w:w="13989" w:type="dxa"/>
            <w:gridSpan w:val="11"/>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财政拨款收入支出决算总表</w:t>
            </w:r>
          </w:p>
        </w:tc>
      </w:tr>
      <w:tr>
        <w:tblPrEx>
          <w:tblLayout w:type="fixed"/>
          <w:tblCellMar>
            <w:top w:w="0" w:type="dxa"/>
            <w:left w:w="108" w:type="dxa"/>
            <w:bottom w:w="0" w:type="dxa"/>
            <w:right w:w="108" w:type="dxa"/>
          </w:tblCellMar>
        </w:tblPrEx>
        <w:trPr>
          <w:trHeight w:val="300" w:hRule="atLeast"/>
        </w:trPr>
        <w:tc>
          <w:tcPr>
            <w:tcW w:w="13989" w:type="dxa"/>
            <w:gridSpan w:val="11"/>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公开04表</w:t>
            </w:r>
          </w:p>
        </w:tc>
      </w:tr>
      <w:tr>
        <w:tblPrEx>
          <w:tblLayout w:type="fixed"/>
          <w:tblCellMar>
            <w:top w:w="0" w:type="dxa"/>
            <w:left w:w="108" w:type="dxa"/>
            <w:bottom w:w="0" w:type="dxa"/>
            <w:right w:w="108" w:type="dxa"/>
          </w:tblCellMar>
        </w:tblPrEx>
        <w:trPr>
          <w:trHeight w:val="300" w:hRule="atLeast"/>
        </w:trPr>
        <w:tc>
          <w:tcPr>
            <w:tcW w:w="6676" w:type="dxa"/>
            <w:gridSpan w:val="4"/>
            <w:tcBorders>
              <w:top w:val="nil"/>
              <w:left w:val="nil"/>
              <w:bottom w:val="single" w:color="auto" w:sz="4" w:space="0"/>
              <w:right w:val="nil"/>
            </w:tcBorders>
            <w:vAlign w:val="bottom"/>
          </w:tcPr>
          <w:p>
            <w:pPr>
              <w:rPr>
                <w:rFonts w:hint="eastAsia" w:ascii="仿宋" w:hAnsi="仿宋" w:eastAsia="仿宋" w:cs="仿宋"/>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编制部门（单位）：石家庄市鹿泉区大河镇人民政府(本级) </w:t>
            </w:r>
            <w:r>
              <w:rPr>
                <w:rFonts w:hint="eastAsia" w:asciiTheme="minorEastAsia" w:hAnsiTheme="minorEastAsia" w:cstheme="minorEastAsia"/>
                <w:color w:val="000000"/>
                <w:sz w:val="18"/>
                <w:szCs w:val="18"/>
                <w:lang w:bidi="ar"/>
              </w:rPr>
              <w:t xml:space="preserve">                                                                                                   </w:t>
            </w:r>
          </w:p>
        </w:tc>
        <w:tc>
          <w:tcPr>
            <w:tcW w:w="2646" w:type="dxa"/>
            <w:gridSpan w:val="4"/>
            <w:tcBorders>
              <w:top w:val="nil"/>
              <w:left w:val="nil"/>
              <w:bottom w:val="single" w:color="auto" w:sz="4" w:space="0"/>
              <w:right w:val="nil"/>
            </w:tcBorders>
            <w:vAlign w:val="bottom"/>
          </w:tcPr>
          <w:p>
            <w:pPr>
              <w:jc w:val="center"/>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67" w:type="dxa"/>
            <w:gridSpan w:val="3"/>
            <w:tcBorders>
              <w:top w:val="nil"/>
              <w:left w:val="nil"/>
              <w:bottom w:val="single" w:color="auto" w:sz="4" w:space="0"/>
              <w:right w:val="nil"/>
            </w:tcBorders>
            <w:vAlign w:val="bottom"/>
          </w:tcPr>
          <w:p>
            <w:pPr>
              <w:jc w:val="right"/>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308" w:hRule="atLeast"/>
        </w:trPr>
        <w:tc>
          <w:tcPr>
            <w:tcW w:w="4474" w:type="dxa"/>
            <w:gridSpan w:val="3"/>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收     入</w:t>
            </w:r>
          </w:p>
        </w:tc>
        <w:tc>
          <w:tcPr>
            <w:tcW w:w="9515" w:type="dxa"/>
            <w:gridSpan w:val="8"/>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支     出</w:t>
            </w:r>
          </w:p>
        </w:tc>
      </w:tr>
      <w:tr>
        <w:tblPrEx>
          <w:tblLayout w:type="fixed"/>
          <w:tblCellMar>
            <w:top w:w="0" w:type="dxa"/>
            <w:left w:w="108" w:type="dxa"/>
            <w:bottom w:w="0" w:type="dxa"/>
            <w:right w:w="108" w:type="dxa"/>
          </w:tblCellMar>
        </w:tblPrEx>
        <w:trPr>
          <w:trHeight w:val="312" w:hRule="atLeast"/>
        </w:trPr>
        <w:tc>
          <w:tcPr>
            <w:tcW w:w="2466"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    目</w:t>
            </w:r>
          </w:p>
        </w:tc>
        <w:tc>
          <w:tcPr>
            <w:tcW w:w="46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154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2627"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46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1542" w:type="dxa"/>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1622" w:type="dxa"/>
            <w:gridSpan w:val="2"/>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一般公共预算财政拨款</w:t>
            </w:r>
          </w:p>
        </w:tc>
        <w:tc>
          <w:tcPr>
            <w:tcW w:w="1623" w:type="dxa"/>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政府性基金预算财政拨款</w:t>
            </w:r>
          </w:p>
        </w:tc>
        <w:tc>
          <w:tcPr>
            <w:tcW w:w="1637" w:type="dxa"/>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国有资本经营预算财政拨款</w:t>
            </w:r>
          </w:p>
        </w:tc>
      </w:tr>
      <w:tr>
        <w:tblPrEx>
          <w:tblLayout w:type="fixed"/>
          <w:tblCellMar>
            <w:top w:w="0" w:type="dxa"/>
            <w:left w:w="108" w:type="dxa"/>
            <w:bottom w:w="0" w:type="dxa"/>
            <w:right w:w="108" w:type="dxa"/>
          </w:tblCellMar>
        </w:tblPrEx>
        <w:trPr>
          <w:trHeight w:val="312" w:hRule="atLeast"/>
        </w:trPr>
        <w:tc>
          <w:tcPr>
            <w:tcW w:w="2466"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46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4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627"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46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42"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1622" w:type="dxa"/>
            <w:gridSpan w:val="2"/>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1623"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1637"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    次</w:t>
            </w:r>
          </w:p>
        </w:tc>
        <w:tc>
          <w:tcPr>
            <w:tcW w:w="464" w:type="dxa"/>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544"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1</w:t>
            </w:r>
          </w:p>
        </w:tc>
        <w:tc>
          <w:tcPr>
            <w:tcW w:w="262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    次</w:t>
            </w:r>
          </w:p>
        </w:tc>
        <w:tc>
          <w:tcPr>
            <w:tcW w:w="464" w:type="dxa"/>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542"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2</w:t>
            </w:r>
          </w:p>
        </w:tc>
        <w:tc>
          <w:tcPr>
            <w:tcW w:w="1622"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3</w:t>
            </w:r>
          </w:p>
        </w:tc>
        <w:tc>
          <w:tcPr>
            <w:tcW w:w="1623"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4</w:t>
            </w:r>
          </w:p>
        </w:tc>
        <w:tc>
          <w:tcPr>
            <w:tcW w:w="1637" w:type="dxa"/>
            <w:tcBorders>
              <w:top w:val="nil"/>
              <w:left w:val="nil"/>
              <w:bottom w:val="single" w:color="000000" w:sz="4" w:space="0"/>
              <w:right w:val="single" w:color="000000" w:sz="8"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5</w:t>
            </w: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4,001.31</w:t>
            </w: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1,617.05</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1,617.05</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21.60</w:t>
            </w: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261.91</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261.91</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40.00</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40.00</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40</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335.84</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335.84</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128.51</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128.51</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20.00</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20.00</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1,022.15</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1,000.55</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21.60</w:t>
            </w: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auto"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1544"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auto"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464" w:type="dxa"/>
            <w:tcBorders>
              <w:top w:val="nil"/>
              <w:left w:val="nil"/>
              <w:bottom w:val="single" w:color="auto"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1542"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460.11</w:t>
            </w:r>
          </w:p>
        </w:tc>
        <w:tc>
          <w:tcPr>
            <w:tcW w:w="1622" w:type="dxa"/>
            <w:gridSpan w:val="2"/>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460.11</w:t>
            </w:r>
          </w:p>
        </w:tc>
        <w:tc>
          <w:tcPr>
            <w:tcW w:w="1623"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auto"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50</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112.32</w:t>
            </w: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112.32</w:t>
            </w: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25.00</w:t>
            </w: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25.00</w:t>
            </w: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1544"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464" w:type="dxa"/>
            <w:tcBorders>
              <w:top w:val="single" w:color="auto" w:sz="4" w:space="0"/>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1542"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b/>
                <w:bCs/>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4,022.91</w:t>
            </w:r>
          </w:p>
        </w:tc>
        <w:tc>
          <w:tcPr>
            <w:tcW w:w="262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4,022.91</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4,001.31</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21.60</w:t>
            </w: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年初财政拨款结转和结余</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817.83</w:t>
            </w: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年末财政拨款结转和结余</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60</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817.83</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817.83</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817.83</w:t>
            </w:r>
          </w:p>
        </w:tc>
        <w:tc>
          <w:tcPr>
            <w:tcW w:w="2627"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61</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lef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30</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lef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63</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lef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8"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464" w:type="dxa"/>
            <w:tcBorders>
              <w:top w:val="nil"/>
              <w:left w:val="nil"/>
              <w:bottom w:val="single" w:color="000000" w:sz="8"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1544" w:type="dxa"/>
            <w:tcBorders>
              <w:top w:val="nil"/>
              <w:left w:val="nil"/>
              <w:bottom w:val="single" w:color="000000" w:sz="8"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4,840.74</w:t>
            </w:r>
          </w:p>
        </w:tc>
        <w:tc>
          <w:tcPr>
            <w:tcW w:w="2627" w:type="dxa"/>
            <w:gridSpan w:val="2"/>
            <w:tcBorders>
              <w:top w:val="nil"/>
              <w:left w:val="nil"/>
              <w:bottom w:val="single" w:color="000000" w:sz="8"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464" w:type="dxa"/>
            <w:tcBorders>
              <w:top w:val="nil"/>
              <w:left w:val="nil"/>
              <w:bottom w:val="single" w:color="000000" w:sz="8"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64</w:t>
            </w:r>
          </w:p>
        </w:tc>
        <w:tc>
          <w:tcPr>
            <w:tcW w:w="1542" w:type="dxa"/>
            <w:tcBorders>
              <w:top w:val="nil"/>
              <w:left w:val="nil"/>
              <w:bottom w:val="single" w:color="000000" w:sz="8"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4,840.74</w:t>
            </w:r>
          </w:p>
        </w:tc>
        <w:tc>
          <w:tcPr>
            <w:tcW w:w="1622" w:type="dxa"/>
            <w:gridSpan w:val="2"/>
            <w:tcBorders>
              <w:top w:val="nil"/>
              <w:left w:val="nil"/>
              <w:bottom w:val="single" w:color="000000" w:sz="8" w:space="0"/>
              <w:right w:val="single" w:color="000000" w:sz="4" w:space="0"/>
            </w:tcBorders>
            <w:vAlign w:val="center"/>
          </w:tcPr>
          <w:p>
            <w:pPr>
              <w:jc w:val="right"/>
              <w:rPr>
                <w:rFonts w:ascii="Times New Roman" w:hAnsi="Times New Roman" w:cs="Times New Roman"/>
                <w:sz w:val="18"/>
                <w:szCs w:val="18"/>
              </w:rPr>
            </w:pPr>
            <w:r>
              <w:rPr>
                <w:rFonts w:ascii="Times New Roman" w:hAnsi="Times New Roman" w:cs="Times New Roman"/>
                <w:sz w:val="18"/>
                <w:szCs w:val="18"/>
              </w:rPr>
              <w:t>4,819.14</w:t>
            </w:r>
          </w:p>
          <w:p>
            <w:pPr>
              <w:jc w:val="right"/>
              <w:rPr>
                <w:rFonts w:ascii="Times New Roman" w:hAnsi="Times New Roman" w:eastAsia="宋体" w:cs="Times New Roman"/>
                <w:color w:val="000000"/>
                <w:sz w:val="18"/>
                <w:szCs w:val="18"/>
              </w:rPr>
            </w:pPr>
          </w:p>
        </w:tc>
        <w:tc>
          <w:tcPr>
            <w:tcW w:w="1623" w:type="dxa"/>
            <w:tcBorders>
              <w:top w:val="nil"/>
              <w:left w:val="nil"/>
              <w:bottom w:val="single" w:color="000000" w:sz="8"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21.60</w:t>
            </w:r>
          </w:p>
        </w:tc>
        <w:tc>
          <w:tcPr>
            <w:tcW w:w="1637" w:type="dxa"/>
            <w:tcBorders>
              <w:top w:val="nil"/>
              <w:left w:val="nil"/>
              <w:bottom w:val="single" w:color="000000" w:sz="8"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3989" w:type="dxa"/>
            <w:gridSpan w:val="11"/>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注：本表反映部门本年度一般公共预算财政拨款、政府性基金预算财政拨款和国有资本经营预算财政拨款的总收支和年末结转结余情况。</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jc w:val="center"/>
        <w:rPr>
          <w:rFonts w:hint="eastAsia" w:ascii="宋体" w:hAnsi="宋体" w:eastAsia="宋体"/>
          <w:spacing w:val="-2"/>
          <w:sz w:val="20"/>
        </w:rPr>
      </w:pPr>
    </w:p>
    <w:tbl>
      <w:tblPr>
        <w:tblStyle w:val="13"/>
        <w:tblW w:w="13992" w:type="dxa"/>
        <w:tblInd w:w="0" w:type="dxa"/>
        <w:tblLayout w:type="fixed"/>
        <w:tblCellMar>
          <w:top w:w="0" w:type="dxa"/>
          <w:left w:w="108" w:type="dxa"/>
          <w:bottom w:w="0" w:type="dxa"/>
          <w:right w:w="108" w:type="dxa"/>
        </w:tblCellMar>
      </w:tblPr>
      <w:tblGrid>
        <w:gridCol w:w="1403"/>
        <w:gridCol w:w="3096"/>
        <w:gridCol w:w="1273"/>
        <w:gridCol w:w="2005"/>
        <w:gridCol w:w="2098"/>
        <w:gridCol w:w="861"/>
        <w:gridCol w:w="3256"/>
      </w:tblGrid>
      <w:tr>
        <w:tblPrEx>
          <w:tblLayout w:type="fixed"/>
          <w:tblCellMar>
            <w:top w:w="0" w:type="dxa"/>
            <w:left w:w="108" w:type="dxa"/>
            <w:bottom w:w="0" w:type="dxa"/>
            <w:right w:w="108" w:type="dxa"/>
          </w:tblCellMar>
        </w:tblPrEx>
        <w:trPr>
          <w:trHeight w:val="550" w:hRule="atLeast"/>
        </w:trPr>
        <w:tc>
          <w:tcPr>
            <w:tcW w:w="13992" w:type="dxa"/>
            <w:gridSpan w:val="7"/>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一般公共预算财政拨款支出决算表</w:t>
            </w:r>
          </w:p>
        </w:tc>
      </w:tr>
      <w:tr>
        <w:tblPrEx>
          <w:tblLayout w:type="fixed"/>
          <w:tblCellMar>
            <w:top w:w="0" w:type="dxa"/>
            <w:left w:w="108" w:type="dxa"/>
            <w:bottom w:w="0" w:type="dxa"/>
            <w:right w:w="108" w:type="dxa"/>
          </w:tblCellMar>
        </w:tblPrEx>
        <w:trPr>
          <w:trHeight w:val="300" w:hRule="atLeast"/>
        </w:trPr>
        <w:tc>
          <w:tcPr>
            <w:tcW w:w="13992" w:type="dxa"/>
            <w:gridSpan w:val="7"/>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05</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300" w:hRule="atLeast"/>
        </w:trPr>
        <w:tc>
          <w:tcPr>
            <w:tcW w:w="5772" w:type="dxa"/>
            <w:gridSpan w:val="3"/>
            <w:tcBorders>
              <w:top w:val="nil"/>
              <w:left w:val="nil"/>
              <w:bottom w:val="single" w:color="auto" w:sz="4" w:space="0"/>
              <w:right w:val="nil"/>
            </w:tcBorders>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编制部门（单位）：石家庄市鹿泉区大河镇人民政府(本级)</w:t>
            </w:r>
          </w:p>
        </w:tc>
        <w:tc>
          <w:tcPr>
            <w:tcW w:w="4103" w:type="dxa"/>
            <w:gridSpan w:val="2"/>
            <w:tcBorders>
              <w:top w:val="nil"/>
              <w:left w:val="nil"/>
              <w:bottom w:val="single" w:color="auto" w:sz="4" w:space="0"/>
              <w:right w:val="nil"/>
            </w:tcBorders>
            <w:vAlign w:val="bottom"/>
          </w:tcPr>
          <w:p>
            <w:pPr>
              <w:widowControl/>
              <w:jc w:val="center"/>
              <w:textAlignment w:val="bottom"/>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117" w:type="dxa"/>
            <w:gridSpan w:val="2"/>
            <w:tcBorders>
              <w:top w:val="nil"/>
              <w:left w:val="nil"/>
              <w:bottom w:val="single" w:color="auto" w:sz="4" w:space="0"/>
              <w:right w:val="nil"/>
            </w:tcBorders>
            <w:vAlign w:val="bottom"/>
          </w:tcPr>
          <w:p>
            <w:pPr>
              <w:widowControl/>
              <w:jc w:val="right"/>
              <w:textAlignment w:val="bottom"/>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445" w:hRule="atLeast"/>
        </w:trPr>
        <w:tc>
          <w:tcPr>
            <w:tcW w:w="449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9493"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w:t>
            </w:r>
          </w:p>
        </w:tc>
      </w:tr>
      <w:tr>
        <w:tblPrEx>
          <w:tblLayout w:type="fixed"/>
          <w:tblCellMar>
            <w:top w:w="0" w:type="dxa"/>
            <w:left w:w="108" w:type="dxa"/>
            <w:bottom w:w="0" w:type="dxa"/>
            <w:right w:w="108" w:type="dxa"/>
          </w:tblCellMar>
        </w:tblPrEx>
        <w:trPr>
          <w:trHeight w:val="312" w:hRule="atLeast"/>
        </w:trPr>
        <w:tc>
          <w:tcPr>
            <w:tcW w:w="1403"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3096"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327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2959"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3256"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r>
      <w:tr>
        <w:tblPrEx>
          <w:tblLayout w:type="fixed"/>
          <w:tblCellMar>
            <w:top w:w="0" w:type="dxa"/>
            <w:left w:w="108" w:type="dxa"/>
            <w:bottom w:w="0" w:type="dxa"/>
            <w:right w:w="108" w:type="dxa"/>
          </w:tblCellMar>
        </w:tblPrEx>
        <w:trPr>
          <w:trHeight w:val="312" w:hRule="atLeast"/>
        </w:trPr>
        <w:tc>
          <w:tcPr>
            <w:tcW w:w="1403"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09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278"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2959"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25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r>
      <w:tr>
        <w:tblPrEx>
          <w:tblLayout w:type="fixed"/>
          <w:tblCellMar>
            <w:top w:w="0" w:type="dxa"/>
            <w:left w:w="108" w:type="dxa"/>
            <w:bottom w:w="0" w:type="dxa"/>
            <w:right w:w="108" w:type="dxa"/>
          </w:tblCellMar>
        </w:tblPrEx>
        <w:trPr>
          <w:trHeight w:val="312" w:hRule="atLeast"/>
        </w:trPr>
        <w:tc>
          <w:tcPr>
            <w:tcW w:w="1403"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09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278"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2959"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25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r>
      <w:tr>
        <w:tblPrEx>
          <w:tblLayout w:type="fixed"/>
          <w:tblCellMar>
            <w:top w:w="0" w:type="dxa"/>
            <w:left w:w="108" w:type="dxa"/>
            <w:bottom w:w="0" w:type="dxa"/>
            <w:right w:w="108" w:type="dxa"/>
          </w:tblCellMar>
        </w:tblPrEx>
        <w:trPr>
          <w:trHeight w:val="308" w:hRule="atLeast"/>
        </w:trPr>
        <w:tc>
          <w:tcPr>
            <w:tcW w:w="449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2</w:t>
            </w:r>
          </w:p>
        </w:tc>
        <w:tc>
          <w:tcPr>
            <w:tcW w:w="325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3</w:t>
            </w:r>
          </w:p>
        </w:tc>
      </w:tr>
      <w:tr>
        <w:tblPrEx>
          <w:tblLayout w:type="fixed"/>
          <w:tblCellMar>
            <w:top w:w="0" w:type="dxa"/>
            <w:left w:w="108" w:type="dxa"/>
            <w:bottom w:w="0" w:type="dxa"/>
            <w:right w:w="108" w:type="dxa"/>
          </w:tblCellMar>
        </w:tblPrEx>
        <w:trPr>
          <w:trHeight w:val="308" w:hRule="atLeast"/>
        </w:trPr>
        <w:tc>
          <w:tcPr>
            <w:tcW w:w="449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4,001.31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1,484.53</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2,516.78</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一般公共服务支出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1,617.05</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1,073.93</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543.12</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政府办公厅（室）及相关机构事务</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1,617.05</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1,073.93</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543.12</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行政运行</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1,073.93</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1,073.93</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2010302</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543.12</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543.12</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教育支出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20502</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普通教育</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2050202</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小学教育</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261.91</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文化旅游体育与传媒支出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文化和旅游</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2070109</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群众文化</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社会保障和就业支出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335.84</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213.76</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122.08</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行政事业单位养老支出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213.76</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213.76</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行政单位离退休</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103.49</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103.49</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2080505</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110.27</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110.27</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20809</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退役安置</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80.32</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80.32</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2080901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退役士兵安置</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80.32</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80.32</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20825</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其他生活救助</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41.76</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41.76</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2082502</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其他农村生活救助</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41.76</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41.76</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128.51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卫生健康管理事务</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2100102</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行政事业单位医疗</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行政单位医疗</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84.51</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节能环保支出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21103</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污染防治</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2110301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大气</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1,000.55</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1,000.55</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21203</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城乡社区公共设施</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661.43</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661.43</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2120303</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小城镇基础设施建设</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190.66</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190.66</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2120399</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其他城乡社区公共设施支出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470.77</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470.77</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21205</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城乡社区环境卫生</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339.12</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339.12</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2120501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城乡社区环境卫生</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339.12</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339.12</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农林水支出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460.11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460.11</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农业农村</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20.11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20.11</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2130199</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其他农业农村支出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20.11</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20.11</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21307</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农村综合改革</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2130706</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对村集体经济组织的补助</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440.00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住房保障支出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住房改革支出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112.32</w:t>
            </w: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224</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灾害防治及应急管理支出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22401</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应急管理事务</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r>
      <w:tr>
        <w:tblPrEx>
          <w:tblLayout w:type="fixed"/>
          <w:tblCellMar>
            <w:top w:w="0" w:type="dxa"/>
            <w:left w:w="108" w:type="dxa"/>
            <w:bottom w:w="0" w:type="dxa"/>
            <w:right w:w="108" w:type="dxa"/>
          </w:tblCellMar>
        </w:tblPrEx>
        <w:trPr>
          <w:trHeight w:val="308" w:hRule="atLeast"/>
        </w:trPr>
        <w:tc>
          <w:tcPr>
            <w:tcW w:w="1403"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2240199</w:t>
            </w:r>
          </w:p>
        </w:tc>
        <w:tc>
          <w:tcPr>
            <w:tcW w:w="309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其他应急管理支出</w:t>
            </w:r>
          </w:p>
        </w:tc>
        <w:tc>
          <w:tcPr>
            <w:tcW w:w="3278"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c>
          <w:tcPr>
            <w:tcW w:w="2959"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25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25.00</w:t>
            </w:r>
          </w:p>
        </w:tc>
      </w:tr>
      <w:tr>
        <w:tblPrEx>
          <w:tblLayout w:type="fixed"/>
          <w:tblCellMar>
            <w:top w:w="0" w:type="dxa"/>
            <w:left w:w="108" w:type="dxa"/>
            <w:bottom w:w="0" w:type="dxa"/>
            <w:right w:w="108" w:type="dxa"/>
          </w:tblCellMar>
        </w:tblPrEx>
        <w:trPr>
          <w:trHeight w:val="308" w:hRule="atLeast"/>
        </w:trPr>
        <w:tc>
          <w:tcPr>
            <w:tcW w:w="13992" w:type="dxa"/>
            <w:gridSpan w:val="7"/>
            <w:tcBorders>
              <w:top w:val="single" w:color="auto" w:sz="4" w:space="0"/>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注：本表反映部门本年度一般公共预算财政拨款支出情况。</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3"/>
        <w:tblW w:w="14009" w:type="dxa"/>
        <w:tblInd w:w="0" w:type="dxa"/>
        <w:tblLayout w:type="fixed"/>
        <w:tblCellMar>
          <w:top w:w="0" w:type="dxa"/>
          <w:left w:w="108" w:type="dxa"/>
          <w:bottom w:w="0" w:type="dxa"/>
          <w:right w:w="108" w:type="dxa"/>
        </w:tblCellMar>
      </w:tblPr>
      <w:tblGrid>
        <w:gridCol w:w="738"/>
        <w:gridCol w:w="2324"/>
        <w:gridCol w:w="1648"/>
        <w:gridCol w:w="1203"/>
        <w:gridCol w:w="325"/>
        <w:gridCol w:w="1364"/>
        <w:gridCol w:w="1067"/>
        <w:gridCol w:w="981"/>
        <w:gridCol w:w="2401"/>
        <w:gridCol w:w="1936"/>
        <w:gridCol w:w="22"/>
      </w:tblGrid>
      <w:tr>
        <w:tblPrEx>
          <w:tblLayout w:type="fixed"/>
          <w:tblCellMar>
            <w:top w:w="0" w:type="dxa"/>
            <w:left w:w="108" w:type="dxa"/>
            <w:bottom w:w="0" w:type="dxa"/>
            <w:right w:w="108" w:type="dxa"/>
          </w:tblCellMar>
        </w:tblPrEx>
        <w:trPr>
          <w:gridAfter w:val="1"/>
          <w:wAfter w:w="22" w:type="dxa"/>
          <w:trHeight w:val="624" w:hRule="atLeast"/>
        </w:trPr>
        <w:tc>
          <w:tcPr>
            <w:tcW w:w="13987" w:type="dxa"/>
            <w:gridSpan w:val="10"/>
            <w:tcBorders>
              <w:top w:val="nil"/>
              <w:left w:val="nil"/>
              <w:bottom w:val="nil"/>
              <w:right w:val="nil"/>
            </w:tcBorders>
            <w:vAlign w:val="bottom"/>
          </w:tcPr>
          <w:p>
            <w:pPr>
              <w:widowControl/>
              <w:jc w:val="center"/>
              <w:textAlignment w:val="bottom"/>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一般公共预算财政拨款基本支出决算表</w:t>
            </w:r>
          </w:p>
        </w:tc>
      </w:tr>
      <w:tr>
        <w:tblPrEx>
          <w:tblLayout w:type="fixed"/>
          <w:tblCellMar>
            <w:top w:w="0" w:type="dxa"/>
            <w:left w:w="108" w:type="dxa"/>
            <w:bottom w:w="0" w:type="dxa"/>
            <w:right w:w="108" w:type="dxa"/>
          </w:tblCellMar>
        </w:tblPrEx>
        <w:trPr>
          <w:gridAfter w:val="1"/>
          <w:wAfter w:w="22" w:type="dxa"/>
          <w:trHeight w:val="300" w:hRule="atLeast"/>
        </w:trPr>
        <w:tc>
          <w:tcPr>
            <w:tcW w:w="13987" w:type="dxa"/>
            <w:gridSpan w:val="10"/>
            <w:tcBorders>
              <w:top w:val="nil"/>
              <w:left w:val="nil"/>
              <w:bottom w:val="nil"/>
              <w:right w:val="nil"/>
            </w:tcBorders>
            <w:vAlign w:val="bottom"/>
          </w:tcPr>
          <w:p>
            <w:pPr>
              <w:widowControl/>
              <w:jc w:val="right"/>
              <w:textAlignment w:val="bottom"/>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90" w:hRule="atLeast"/>
        </w:trPr>
        <w:tc>
          <w:tcPr>
            <w:tcW w:w="6238" w:type="dxa"/>
            <w:gridSpan w:val="5"/>
            <w:tcBorders>
              <w:top w:val="nil"/>
              <w:left w:val="nil"/>
              <w:bottom w:val="single" w:color="auto" w:sz="4" w:space="0"/>
              <w:right w:val="nil"/>
            </w:tcBorders>
            <w:vAlign w:val="bottom"/>
          </w:tcPr>
          <w:p>
            <w:pP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编制部门（单位）：石家庄市鹿泉区大河镇人民政府(本级) </w:t>
            </w:r>
            <w:r>
              <w:rPr>
                <w:rFonts w:hint="eastAsia" w:asciiTheme="minorEastAsia" w:hAnsiTheme="minorEastAsia" w:cstheme="minorEastAsia"/>
                <w:color w:val="000000"/>
                <w:sz w:val="18"/>
                <w:szCs w:val="18"/>
                <w:lang w:bidi="ar"/>
              </w:rPr>
              <w:t xml:space="preserve">                                                                   </w:t>
            </w:r>
          </w:p>
        </w:tc>
        <w:tc>
          <w:tcPr>
            <w:tcW w:w="3412" w:type="dxa"/>
            <w:gridSpan w:val="3"/>
            <w:tcBorders>
              <w:top w:val="nil"/>
              <w:left w:val="nil"/>
              <w:bottom w:val="single" w:color="auto" w:sz="4" w:space="0"/>
              <w:right w:val="nil"/>
            </w:tcBorders>
            <w:vAlign w:val="bottom"/>
          </w:tcPr>
          <w:p>
            <w:pPr>
              <w:jc w:val="center"/>
              <w:rPr>
                <w:rFonts w:hint="eastAsia"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359" w:type="dxa"/>
            <w:gridSpan w:val="3"/>
            <w:tcBorders>
              <w:top w:val="nil"/>
              <w:left w:val="nil"/>
              <w:bottom w:val="single" w:color="auto" w:sz="4" w:space="0"/>
              <w:right w:val="nil"/>
            </w:tcBorders>
            <w:vAlign w:val="bottom"/>
          </w:tcPr>
          <w:p>
            <w:pPr>
              <w:jc w:val="right"/>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gridAfter w:val="1"/>
          <w:wAfter w:w="22" w:type="dxa"/>
          <w:trHeight w:val="510" w:hRule="atLeast"/>
        </w:trPr>
        <w:tc>
          <w:tcPr>
            <w:tcW w:w="5913" w:type="dxa"/>
            <w:gridSpan w:val="4"/>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8074"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64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06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93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1,174.46</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128.52</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273.10</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20.43</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205.34</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384.61</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110.27</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23.54</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81.19</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20.68</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4.30</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115.64</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181.56</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19.96</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107.25</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54.35</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5.43</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6.23</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5.07</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39.03</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6.88</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1.23</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Layout w:type="fixed"/>
          <w:tblCellMar>
            <w:top w:w="0" w:type="dxa"/>
            <w:left w:w="108" w:type="dxa"/>
            <w:bottom w:w="0" w:type="dxa"/>
            <w:right w:w="108" w:type="dxa"/>
          </w:tblCellMar>
        </w:tblPrEx>
        <w:trPr>
          <w:gridAfter w:val="1"/>
          <w:wAfter w:w="22" w:type="dxa"/>
          <w:trHeight w:val="510" w:hRule="atLeast"/>
        </w:trPr>
        <w:tc>
          <w:tcPr>
            <w:tcW w:w="306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r>
              <w:rPr>
                <w:rFonts w:ascii="Times New Roman" w:hAnsi="Times New Roman" w:cs="Times New Roman"/>
                <w:sz w:val="18"/>
                <w:szCs w:val="18"/>
              </w:rPr>
              <w:t>1,356.02</w:t>
            </w:r>
          </w:p>
        </w:tc>
        <w:tc>
          <w:tcPr>
            <w:tcW w:w="7341" w:type="dxa"/>
            <w:gridSpan w:val="6"/>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ascii="Times New Roman" w:hAnsi="Times New Roman" w:cs="Times New Roman"/>
                <w:sz w:val="18"/>
                <w:szCs w:val="18"/>
              </w:rPr>
              <w:t>128.52</w:t>
            </w:r>
          </w:p>
        </w:tc>
      </w:tr>
      <w:tr>
        <w:tblPrEx>
          <w:tblLayout w:type="fixed"/>
          <w:tblCellMar>
            <w:top w:w="0" w:type="dxa"/>
            <w:left w:w="108" w:type="dxa"/>
            <w:bottom w:w="0" w:type="dxa"/>
            <w:right w:w="108" w:type="dxa"/>
          </w:tblCellMar>
        </w:tblPrEx>
        <w:trPr>
          <w:gridAfter w:val="1"/>
          <w:wAfter w:w="22" w:type="dxa"/>
          <w:trHeight w:val="510" w:hRule="atLeast"/>
        </w:trPr>
        <w:tc>
          <w:tcPr>
            <w:tcW w:w="13987" w:type="dxa"/>
            <w:gridSpan w:val="10"/>
            <w:tcBorders>
              <w:top w:val="single" w:color="auto" w:sz="4" w:space="0"/>
              <w:left w:val="nil"/>
              <w:bottom w:val="nil"/>
              <w:right w:val="nil"/>
            </w:tcBorders>
            <w:vAlign w:val="center"/>
          </w:tcPr>
          <w:p>
            <w:pPr>
              <w:widowControl/>
              <w:jc w:val="left"/>
              <w:textAlignment w:val="cente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注：本表反映部门本年度一般公共预算财政拨款基本支出明细情况。</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jc w:val="center"/>
        <w:rPr>
          <w:rFonts w:hint="eastAsia" w:ascii="仿宋_GB2312" w:hAnsi="宋体" w:eastAsia="仿宋_GB2312"/>
          <w:b/>
          <w:sz w:val="32"/>
          <w:szCs w:val="32"/>
        </w:rPr>
      </w:pPr>
    </w:p>
    <w:tbl>
      <w:tblPr>
        <w:tblStyle w:val="13"/>
        <w:tblW w:w="13992" w:type="dxa"/>
        <w:tblInd w:w="0" w:type="dxa"/>
        <w:tblLayout w:type="fixed"/>
        <w:tblCellMar>
          <w:top w:w="0" w:type="dxa"/>
          <w:left w:w="108" w:type="dxa"/>
          <w:bottom w:w="0" w:type="dxa"/>
          <w:right w:w="108" w:type="dxa"/>
        </w:tblCellMar>
      </w:tblPr>
      <w:tblGrid>
        <w:gridCol w:w="845"/>
        <w:gridCol w:w="3096"/>
        <w:gridCol w:w="1751"/>
        <w:gridCol w:w="470"/>
        <w:gridCol w:w="1037"/>
        <w:gridCol w:w="1752"/>
        <w:gridCol w:w="1100"/>
        <w:gridCol w:w="455"/>
        <w:gridCol w:w="1717"/>
        <w:gridCol w:w="1769"/>
      </w:tblGrid>
      <w:tr>
        <w:tblPrEx>
          <w:tblLayout w:type="fixed"/>
          <w:tblCellMar>
            <w:top w:w="0" w:type="dxa"/>
            <w:left w:w="108" w:type="dxa"/>
            <w:bottom w:w="0" w:type="dxa"/>
            <w:right w:w="108" w:type="dxa"/>
          </w:tblCellMar>
        </w:tblPrEx>
        <w:trPr>
          <w:trHeight w:val="550" w:hRule="atLeast"/>
        </w:trPr>
        <w:tc>
          <w:tcPr>
            <w:tcW w:w="13992" w:type="dxa"/>
            <w:gridSpan w:val="10"/>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政府性基金预算财政拨款收入支出决算表</w:t>
            </w:r>
          </w:p>
        </w:tc>
      </w:tr>
      <w:tr>
        <w:tblPrEx>
          <w:tblLayout w:type="fixed"/>
          <w:tblCellMar>
            <w:top w:w="0" w:type="dxa"/>
            <w:left w:w="108" w:type="dxa"/>
            <w:bottom w:w="0" w:type="dxa"/>
            <w:right w:w="108" w:type="dxa"/>
          </w:tblCellMar>
        </w:tblPrEx>
        <w:trPr>
          <w:trHeight w:val="90" w:hRule="atLeast"/>
        </w:trPr>
        <w:tc>
          <w:tcPr>
            <w:tcW w:w="13992" w:type="dxa"/>
            <w:gridSpan w:val="10"/>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宋体" w:cs="Times New Roman"/>
                <w:color w:val="000000"/>
                <w:sz w:val="18"/>
                <w:szCs w:val="18"/>
                <w:lang w:bidi="ar"/>
              </w:rPr>
              <w:t>07</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300" w:hRule="atLeast"/>
        </w:trPr>
        <w:tc>
          <w:tcPr>
            <w:tcW w:w="6162" w:type="dxa"/>
            <w:gridSpan w:val="4"/>
            <w:tcBorders>
              <w:top w:val="nil"/>
              <w:left w:val="nil"/>
              <w:bottom w:val="single" w:color="auto" w:sz="4" w:space="0"/>
              <w:right w:val="nil"/>
            </w:tcBorders>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编制部门（单位）：石家庄市鹿泉区大河镇人民政府(本级) </w:t>
            </w:r>
            <w:r>
              <w:rPr>
                <w:rFonts w:hint="eastAsia" w:ascii="宋体" w:hAnsi="宋体" w:eastAsia="宋体"/>
                <w:color w:val="000000"/>
                <w:sz w:val="18"/>
                <w:szCs w:val="18"/>
                <w:lang w:bidi="ar"/>
              </w:rPr>
              <w:t xml:space="preserve">                                                                                     </w:t>
            </w:r>
          </w:p>
        </w:tc>
        <w:tc>
          <w:tcPr>
            <w:tcW w:w="3889" w:type="dxa"/>
            <w:gridSpan w:val="3"/>
            <w:tcBorders>
              <w:top w:val="nil"/>
              <w:left w:val="nil"/>
              <w:bottom w:val="single" w:color="auto" w:sz="4" w:space="0"/>
              <w:right w:val="nil"/>
            </w:tcBorders>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3941" w:type="dxa"/>
            <w:gridSpan w:val="3"/>
            <w:tcBorders>
              <w:top w:val="nil"/>
              <w:left w:val="nil"/>
              <w:bottom w:val="single" w:color="auto" w:sz="4" w:space="0"/>
              <w:right w:val="nil"/>
            </w:tcBorders>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308" w:hRule="atLeast"/>
        </w:trPr>
        <w:tc>
          <w:tcPr>
            <w:tcW w:w="3941"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51"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年初结转和结余</w:t>
            </w:r>
          </w:p>
        </w:tc>
        <w:tc>
          <w:tcPr>
            <w:tcW w:w="1507"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本年收入</w:t>
            </w:r>
          </w:p>
        </w:tc>
        <w:tc>
          <w:tcPr>
            <w:tcW w:w="5024" w:type="dxa"/>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w:t>
            </w:r>
          </w:p>
        </w:tc>
        <w:tc>
          <w:tcPr>
            <w:tcW w:w="1769" w:type="dxa"/>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年末结转和结余</w:t>
            </w:r>
          </w:p>
        </w:tc>
      </w:tr>
      <w:tr>
        <w:tblPrEx>
          <w:tblLayout w:type="fixed"/>
          <w:tblCellMar>
            <w:top w:w="0" w:type="dxa"/>
            <w:left w:w="108" w:type="dxa"/>
            <w:bottom w:w="0" w:type="dxa"/>
            <w:right w:w="108" w:type="dxa"/>
          </w:tblCellMar>
        </w:tblPrEx>
        <w:trPr>
          <w:trHeight w:val="312" w:hRule="atLeast"/>
        </w:trPr>
        <w:tc>
          <w:tcPr>
            <w:tcW w:w="845"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3096"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75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07"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52"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1555"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1717"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c>
          <w:tcPr>
            <w:tcW w:w="1769" w:type="dxa"/>
            <w:vMerge w:val="continue"/>
            <w:tcBorders>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结转</w:t>
            </w:r>
          </w:p>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结余</w:t>
            </w:r>
          </w:p>
        </w:tc>
      </w:tr>
      <w:tr>
        <w:tblPrEx>
          <w:tblLayout w:type="fixed"/>
          <w:tblCellMar>
            <w:top w:w="0" w:type="dxa"/>
            <w:left w:w="108" w:type="dxa"/>
            <w:bottom w:w="0" w:type="dxa"/>
            <w:right w:w="108" w:type="dxa"/>
          </w:tblCellMar>
        </w:tblPrEx>
        <w:trPr>
          <w:trHeight w:val="312" w:hRule="atLeast"/>
        </w:trPr>
        <w:tc>
          <w:tcPr>
            <w:tcW w:w="845"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309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5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07"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52"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55"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1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69" w:type="dxa"/>
            <w:vMerge w:val="continue"/>
            <w:tcBorders>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Layout w:type="fixed"/>
          <w:tblCellMar>
            <w:top w:w="0" w:type="dxa"/>
            <w:left w:w="108" w:type="dxa"/>
            <w:bottom w:w="0" w:type="dxa"/>
            <w:right w:w="108" w:type="dxa"/>
          </w:tblCellMar>
        </w:tblPrEx>
        <w:trPr>
          <w:trHeight w:val="312" w:hRule="atLeast"/>
        </w:trPr>
        <w:tc>
          <w:tcPr>
            <w:tcW w:w="845" w:type="dxa"/>
            <w:vMerge w:val="continue"/>
            <w:tcBorders>
              <w:top w:val="nil"/>
              <w:left w:val="single" w:color="000000"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3096" w:type="dxa"/>
            <w:vMerge w:val="continue"/>
            <w:tcBorders>
              <w:top w:val="nil"/>
              <w:left w:val="nil"/>
              <w:bottom w:val="single" w:color="auto"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5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07"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52"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55"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1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69"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Layout w:type="fixed"/>
          <w:tblCellMar>
            <w:top w:w="0" w:type="dxa"/>
            <w:left w:w="108" w:type="dxa"/>
            <w:bottom w:w="0" w:type="dxa"/>
            <w:right w:w="108" w:type="dxa"/>
          </w:tblCellMar>
        </w:tblPrEx>
        <w:trPr>
          <w:trHeight w:val="308" w:hRule="atLeast"/>
        </w:trPr>
        <w:tc>
          <w:tcPr>
            <w:tcW w:w="3941"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51" w:type="dxa"/>
            <w:tcBorders>
              <w:top w:val="nil"/>
              <w:left w:val="single" w:color="auto" w:sz="4" w:space="0"/>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1507"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175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1555"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1717"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1769"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r>
      <w:tr>
        <w:tblPrEx>
          <w:tblLayout w:type="fixed"/>
          <w:tblCellMar>
            <w:top w:w="0" w:type="dxa"/>
            <w:left w:w="108" w:type="dxa"/>
            <w:bottom w:w="0" w:type="dxa"/>
            <w:right w:w="108" w:type="dxa"/>
          </w:tblCellMar>
        </w:tblPrEx>
        <w:trPr>
          <w:trHeight w:val="869" w:hRule="atLeast"/>
        </w:trPr>
        <w:tc>
          <w:tcPr>
            <w:tcW w:w="3941"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751" w:type="dxa"/>
            <w:tcBorders>
              <w:top w:val="nil"/>
              <w:left w:val="single" w:color="auto" w:sz="4" w:space="0"/>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507"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21.60</w:t>
            </w:r>
          </w:p>
        </w:tc>
        <w:tc>
          <w:tcPr>
            <w:tcW w:w="175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21.60</w:t>
            </w:r>
          </w:p>
        </w:tc>
        <w:tc>
          <w:tcPr>
            <w:tcW w:w="1555"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1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21.60</w:t>
            </w:r>
          </w:p>
        </w:tc>
        <w:tc>
          <w:tcPr>
            <w:tcW w:w="176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城乡社区支出</w:t>
            </w:r>
          </w:p>
        </w:tc>
        <w:tc>
          <w:tcPr>
            <w:tcW w:w="175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507"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75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555"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1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76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21208</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国有土地使用权出让收入安排的支出</w:t>
            </w:r>
          </w:p>
        </w:tc>
        <w:tc>
          <w:tcPr>
            <w:tcW w:w="175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507"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75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555"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1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76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84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2120804</w:t>
            </w:r>
          </w:p>
        </w:tc>
        <w:tc>
          <w:tcPr>
            <w:tcW w:w="3096"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农村基础设施建设支出</w:t>
            </w:r>
          </w:p>
        </w:tc>
        <w:tc>
          <w:tcPr>
            <w:tcW w:w="1751"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507"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75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555"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1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21.60</w:t>
            </w:r>
          </w:p>
        </w:tc>
        <w:tc>
          <w:tcPr>
            <w:tcW w:w="1769"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3992" w:type="dxa"/>
            <w:gridSpan w:val="10"/>
            <w:tcBorders>
              <w:top w:val="nil"/>
              <w:left w:val="nil"/>
              <w:bottom w:val="nil"/>
              <w:right w:val="nil"/>
            </w:tcBorders>
            <w:vAlign w:val="center"/>
          </w:tcPr>
          <w:p>
            <w:pP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18"/>
                <w:szCs w:val="18"/>
                <w:lang w:bidi="ar"/>
              </w:rPr>
              <w:br w:type="page"/>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hint="eastAsia" w:ascii="宋体" w:hAnsi="宋体" w:eastAsia="宋体"/>
          <w:spacing w:val="-2"/>
          <w:sz w:val="20"/>
        </w:rPr>
      </w:pPr>
    </w:p>
    <w:tbl>
      <w:tblPr>
        <w:tblStyle w:val="13"/>
        <w:tblW w:w="13992" w:type="dxa"/>
        <w:tblInd w:w="0" w:type="dxa"/>
        <w:tblLayout w:type="fixed"/>
        <w:tblCellMar>
          <w:top w:w="0" w:type="dxa"/>
          <w:left w:w="108" w:type="dxa"/>
          <w:bottom w:w="0" w:type="dxa"/>
          <w:right w:w="108" w:type="dxa"/>
        </w:tblCellMar>
      </w:tblPr>
      <w:tblGrid>
        <w:gridCol w:w="3510"/>
        <w:gridCol w:w="1271"/>
        <w:gridCol w:w="2258"/>
        <w:gridCol w:w="2317"/>
        <w:gridCol w:w="8"/>
        <w:gridCol w:w="78"/>
        <w:gridCol w:w="2230"/>
        <w:gridCol w:w="17"/>
        <w:gridCol w:w="2303"/>
      </w:tblGrid>
      <w:tr>
        <w:tblPrEx>
          <w:tblLayout w:type="fixed"/>
          <w:tblCellMar>
            <w:top w:w="0" w:type="dxa"/>
            <w:left w:w="108" w:type="dxa"/>
            <w:bottom w:w="0" w:type="dxa"/>
            <w:right w:w="108" w:type="dxa"/>
          </w:tblCellMar>
        </w:tblPrEx>
        <w:trPr>
          <w:trHeight w:val="550" w:hRule="atLeast"/>
        </w:trPr>
        <w:tc>
          <w:tcPr>
            <w:tcW w:w="13992" w:type="dxa"/>
            <w:gridSpan w:val="9"/>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国有资本经营预算财政拨款支出决算表</w:t>
            </w:r>
          </w:p>
        </w:tc>
      </w:tr>
      <w:tr>
        <w:tblPrEx>
          <w:tblLayout w:type="fixed"/>
          <w:tblCellMar>
            <w:top w:w="0" w:type="dxa"/>
            <w:left w:w="108" w:type="dxa"/>
            <w:bottom w:w="0" w:type="dxa"/>
            <w:right w:w="108" w:type="dxa"/>
          </w:tblCellMar>
        </w:tblPrEx>
        <w:trPr>
          <w:trHeight w:val="300" w:hRule="atLeast"/>
        </w:trPr>
        <w:tc>
          <w:tcPr>
            <w:tcW w:w="13992" w:type="dxa"/>
            <w:gridSpan w:val="9"/>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08</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300" w:hRule="atLeast"/>
        </w:trPr>
        <w:tc>
          <w:tcPr>
            <w:tcW w:w="4781" w:type="dxa"/>
            <w:gridSpan w:val="2"/>
            <w:tcBorders>
              <w:top w:val="nil"/>
              <w:left w:val="nil"/>
              <w:bottom w:val="single" w:color="auto" w:sz="4" w:space="0"/>
              <w:right w:val="nil"/>
            </w:tcBorders>
            <w:vAlign w:val="bottom"/>
          </w:tcPr>
          <w:p>
            <w:pPr>
              <w:widowControl/>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编制部门（单位）：石家庄市鹿泉区大河镇人民政府(本级)</w:t>
            </w:r>
          </w:p>
        </w:tc>
        <w:tc>
          <w:tcPr>
            <w:tcW w:w="4661" w:type="dxa"/>
            <w:gridSpan w:val="4"/>
            <w:tcBorders>
              <w:top w:val="nil"/>
              <w:left w:val="nil"/>
              <w:bottom w:val="single" w:color="auto" w:sz="4" w:space="0"/>
              <w:right w:val="nil"/>
            </w:tcBorders>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550" w:type="dxa"/>
            <w:gridSpan w:val="3"/>
            <w:tcBorders>
              <w:top w:val="nil"/>
              <w:left w:val="nil"/>
              <w:bottom w:val="single" w:color="auto" w:sz="4" w:space="0"/>
              <w:right w:val="nil"/>
            </w:tcBorders>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312" w:hRule="atLeast"/>
        </w:trPr>
        <w:tc>
          <w:tcPr>
            <w:tcW w:w="7039" w:type="dxa"/>
            <w:gridSpan w:val="3"/>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项目</w:t>
            </w:r>
          </w:p>
        </w:tc>
        <w:tc>
          <w:tcPr>
            <w:tcW w:w="6953" w:type="dxa"/>
            <w:gridSpan w:val="6"/>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本年支出</w:t>
            </w:r>
          </w:p>
        </w:tc>
      </w:tr>
      <w:tr>
        <w:tblPrEx>
          <w:tblLayout w:type="fixed"/>
          <w:tblCellMar>
            <w:top w:w="0" w:type="dxa"/>
            <w:left w:w="108" w:type="dxa"/>
            <w:bottom w:w="0" w:type="dxa"/>
            <w:right w:w="108" w:type="dxa"/>
          </w:tblCellMar>
        </w:tblPrEx>
        <w:trPr>
          <w:trHeight w:val="312" w:hRule="atLeast"/>
        </w:trPr>
        <w:tc>
          <w:tcPr>
            <w:tcW w:w="7039" w:type="dxa"/>
            <w:gridSpan w:val="3"/>
            <w:vMerge w:val="continue"/>
            <w:tcBorders>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6953" w:type="dxa"/>
            <w:gridSpan w:val="6"/>
            <w:vMerge w:val="continue"/>
            <w:tcBorders>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r>
      <w:tr>
        <w:tblPrEx>
          <w:tblLayout w:type="fixed"/>
          <w:tblCellMar>
            <w:top w:w="0" w:type="dxa"/>
            <w:left w:w="108" w:type="dxa"/>
            <w:bottom w:w="0" w:type="dxa"/>
            <w:right w:w="108" w:type="dxa"/>
          </w:tblCellMar>
        </w:tblPrEx>
        <w:trPr>
          <w:trHeight w:val="312" w:hRule="atLeast"/>
        </w:trPr>
        <w:tc>
          <w:tcPr>
            <w:tcW w:w="3510" w:type="dxa"/>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3529" w:type="dxa"/>
            <w:gridSpan w:val="2"/>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2325" w:type="dxa"/>
            <w:gridSpan w:val="2"/>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2325" w:type="dxa"/>
            <w:gridSpan w:val="3"/>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基本支出</w:t>
            </w:r>
          </w:p>
        </w:tc>
        <w:tc>
          <w:tcPr>
            <w:tcW w:w="2303" w:type="dxa"/>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项目支出</w:t>
            </w:r>
          </w:p>
        </w:tc>
      </w:tr>
      <w:tr>
        <w:tblPrEx>
          <w:tblLayout w:type="fixed"/>
          <w:tblCellMar>
            <w:top w:w="0" w:type="dxa"/>
            <w:left w:w="108" w:type="dxa"/>
            <w:bottom w:w="0" w:type="dxa"/>
            <w:right w:w="108" w:type="dxa"/>
          </w:tblCellMar>
        </w:tblPrEx>
        <w:trPr>
          <w:trHeight w:val="312" w:hRule="atLeast"/>
        </w:trPr>
        <w:tc>
          <w:tcPr>
            <w:tcW w:w="3510"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3529" w:type="dxa"/>
            <w:gridSpan w:val="2"/>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325" w:type="dxa"/>
            <w:gridSpan w:val="2"/>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325" w:type="dxa"/>
            <w:gridSpan w:val="3"/>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303"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Layout w:type="fixed"/>
          <w:tblCellMar>
            <w:top w:w="0" w:type="dxa"/>
            <w:left w:w="108" w:type="dxa"/>
            <w:bottom w:w="0" w:type="dxa"/>
            <w:right w:w="108" w:type="dxa"/>
          </w:tblCellMar>
        </w:tblPrEx>
        <w:trPr>
          <w:trHeight w:val="308" w:hRule="atLeast"/>
        </w:trPr>
        <w:tc>
          <w:tcPr>
            <w:tcW w:w="7039" w:type="dxa"/>
            <w:gridSpan w:val="3"/>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栏次</w:t>
            </w:r>
          </w:p>
        </w:tc>
        <w:tc>
          <w:tcPr>
            <w:tcW w:w="2317"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1</w:t>
            </w:r>
          </w:p>
        </w:tc>
        <w:tc>
          <w:tcPr>
            <w:tcW w:w="2316" w:type="dxa"/>
            <w:gridSpan w:val="3"/>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2</w:t>
            </w:r>
          </w:p>
        </w:tc>
        <w:tc>
          <w:tcPr>
            <w:tcW w:w="2320"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3</w:t>
            </w:r>
          </w:p>
        </w:tc>
      </w:tr>
      <w:tr>
        <w:tblPrEx>
          <w:tblLayout w:type="fixed"/>
          <w:tblCellMar>
            <w:top w:w="0" w:type="dxa"/>
            <w:left w:w="108" w:type="dxa"/>
            <w:bottom w:w="0" w:type="dxa"/>
            <w:right w:w="108" w:type="dxa"/>
          </w:tblCellMar>
        </w:tblPrEx>
        <w:trPr>
          <w:trHeight w:val="308" w:hRule="atLeast"/>
        </w:trPr>
        <w:tc>
          <w:tcPr>
            <w:tcW w:w="7039" w:type="dxa"/>
            <w:gridSpan w:val="3"/>
            <w:tcBorders>
              <w:top w:val="nil"/>
              <w:left w:val="nil"/>
              <w:bottom w:val="single" w:color="000000" w:sz="4" w:space="0"/>
              <w:right w:val="single" w:color="000000" w:sz="4" w:space="0"/>
            </w:tcBorders>
            <w:vAlign w:val="center"/>
          </w:tcPr>
          <w:p>
            <w:pPr>
              <w:jc w:val="center"/>
              <w:rPr>
                <w:rFonts w:ascii="Times New Roman" w:hAnsi="Times New Roman" w:eastAsia="宋体" w:cs="Times New Roman"/>
                <w:color w:val="000000"/>
                <w:sz w:val="18"/>
                <w:szCs w:val="18"/>
              </w:rPr>
            </w:pPr>
            <w:r>
              <w:rPr>
                <w:rFonts w:hint="eastAsia" w:ascii="Times New Roman" w:hAnsi="Times New Roman" w:eastAsia="方正仿宋_GB2312" w:cs="Times New Roman"/>
                <w:color w:val="000000"/>
                <w:sz w:val="18"/>
                <w:szCs w:val="18"/>
              </w:rPr>
              <w:t>合计</w:t>
            </w:r>
          </w:p>
        </w:tc>
        <w:tc>
          <w:tcPr>
            <w:tcW w:w="231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316" w:type="dxa"/>
            <w:gridSpan w:val="3"/>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320"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Layout w:type="fixed"/>
          <w:tblCellMar>
            <w:top w:w="0" w:type="dxa"/>
            <w:left w:w="108" w:type="dxa"/>
            <w:bottom w:w="0" w:type="dxa"/>
            <w:right w:w="108" w:type="dxa"/>
          </w:tblCellMar>
        </w:tblPrEx>
        <w:trPr>
          <w:trHeight w:val="308" w:hRule="atLeast"/>
        </w:trPr>
        <w:tc>
          <w:tcPr>
            <w:tcW w:w="13992" w:type="dxa"/>
            <w:gridSpan w:val="9"/>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注：本表反映部门本年度国有资本经营预算财政拨款收入、支出及结转和结余情况。（如无相关数据，则需注明空表列示）</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3"/>
        <w:tblpPr w:leftFromText="180" w:rightFromText="180" w:vertAnchor="text" w:horzAnchor="page" w:tblpX="1586" w:tblpY="39"/>
        <w:tblOverlap w:val="never"/>
        <w:tblW w:w="13986" w:type="dxa"/>
        <w:tblInd w:w="0" w:type="dxa"/>
        <w:tblLayout w:type="fixed"/>
        <w:tblCellMar>
          <w:top w:w="0" w:type="dxa"/>
          <w:left w:w="108" w:type="dxa"/>
          <w:bottom w:w="0" w:type="dxa"/>
          <w:right w:w="108" w:type="dxa"/>
        </w:tblCellMar>
      </w:tblPr>
      <w:tblGrid>
        <w:gridCol w:w="1150"/>
        <w:gridCol w:w="1150"/>
        <w:gridCol w:w="1150"/>
        <w:gridCol w:w="1152"/>
        <w:gridCol w:w="945"/>
        <w:gridCol w:w="210"/>
        <w:gridCol w:w="1155"/>
        <w:gridCol w:w="1152"/>
        <w:gridCol w:w="1152"/>
        <w:gridCol w:w="101"/>
        <w:gridCol w:w="1049"/>
        <w:gridCol w:w="1203"/>
        <w:gridCol w:w="1206"/>
        <w:gridCol w:w="1211"/>
      </w:tblGrid>
      <w:tr>
        <w:tblPrEx>
          <w:tblLayout w:type="fixed"/>
          <w:tblCellMar>
            <w:top w:w="0" w:type="dxa"/>
            <w:left w:w="108" w:type="dxa"/>
            <w:bottom w:w="0" w:type="dxa"/>
            <w:right w:w="108" w:type="dxa"/>
          </w:tblCellMar>
        </w:tblPrEx>
        <w:trPr>
          <w:trHeight w:val="550" w:hRule="atLeast"/>
        </w:trPr>
        <w:tc>
          <w:tcPr>
            <w:tcW w:w="13986" w:type="dxa"/>
            <w:gridSpan w:val="14"/>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tblPrEx>
          <w:tblLayout w:type="fixed"/>
          <w:tblCellMar>
            <w:top w:w="0" w:type="dxa"/>
            <w:left w:w="108" w:type="dxa"/>
            <w:bottom w:w="0" w:type="dxa"/>
            <w:right w:w="108" w:type="dxa"/>
          </w:tblCellMar>
        </w:tblPrEx>
        <w:trPr>
          <w:trHeight w:val="260" w:hRule="atLeast"/>
        </w:trPr>
        <w:tc>
          <w:tcPr>
            <w:tcW w:w="13986" w:type="dxa"/>
            <w:gridSpan w:val="14"/>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tblPrEx>
          <w:tblLayout w:type="fixed"/>
          <w:tblCellMar>
            <w:top w:w="0" w:type="dxa"/>
            <w:left w:w="108" w:type="dxa"/>
            <w:bottom w:w="0" w:type="dxa"/>
            <w:right w:w="108" w:type="dxa"/>
          </w:tblCellMar>
        </w:tblPrEx>
        <w:trPr>
          <w:trHeight w:val="260" w:hRule="atLeast"/>
        </w:trPr>
        <w:tc>
          <w:tcPr>
            <w:tcW w:w="5547" w:type="dxa"/>
            <w:gridSpan w:val="5"/>
            <w:tcBorders>
              <w:top w:val="nil"/>
              <w:left w:val="nil"/>
              <w:bottom w:val="single" w:color="auto" w:sz="4" w:space="0"/>
              <w:right w:val="nil"/>
            </w:tcBorders>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编制部门（单位）：石家庄市鹿泉区大河镇人民政府(本级)</w:t>
            </w:r>
          </w:p>
        </w:tc>
        <w:tc>
          <w:tcPr>
            <w:tcW w:w="3770" w:type="dxa"/>
            <w:gridSpan w:val="5"/>
            <w:tcBorders>
              <w:top w:val="nil"/>
              <w:left w:val="nil"/>
              <w:bottom w:val="single" w:color="auto" w:sz="4" w:space="0"/>
              <w:right w:val="nil"/>
            </w:tcBorders>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69" w:type="dxa"/>
            <w:gridSpan w:val="4"/>
            <w:tcBorders>
              <w:top w:val="nil"/>
              <w:left w:val="nil"/>
              <w:bottom w:val="single" w:color="auto" w:sz="4" w:space="0"/>
              <w:right w:val="nil"/>
            </w:tcBorders>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Layout w:type="fixed"/>
          <w:tblCellMar>
            <w:top w:w="0" w:type="dxa"/>
            <w:left w:w="108" w:type="dxa"/>
            <w:bottom w:w="0" w:type="dxa"/>
            <w:right w:w="108" w:type="dxa"/>
          </w:tblCellMar>
        </w:tblPrEx>
        <w:trPr>
          <w:trHeight w:val="431" w:hRule="atLeast"/>
        </w:trPr>
        <w:tc>
          <w:tcPr>
            <w:tcW w:w="6912" w:type="dxa"/>
            <w:gridSpan w:val="7"/>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7074" w:type="dxa"/>
            <w:gridSpan w:val="7"/>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Layout w:type="fixed"/>
          <w:tblCellMar>
            <w:top w:w="0" w:type="dxa"/>
            <w:left w:w="108" w:type="dxa"/>
            <w:bottom w:w="0" w:type="dxa"/>
            <w:right w:w="108" w:type="dxa"/>
          </w:tblCellMar>
        </w:tblPrEx>
        <w:trPr>
          <w:trHeight w:val="431" w:hRule="atLeast"/>
        </w:trPr>
        <w:tc>
          <w:tcPr>
            <w:tcW w:w="115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150"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3457" w:type="dxa"/>
            <w:gridSpan w:val="4"/>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1155"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1152"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152"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3559" w:type="dxa"/>
            <w:gridSpan w:val="4"/>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1211"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tblPrEx>
          <w:tblLayout w:type="fixed"/>
          <w:tblCellMar>
            <w:top w:w="0" w:type="dxa"/>
            <w:left w:w="108" w:type="dxa"/>
            <w:bottom w:w="0" w:type="dxa"/>
            <w:right w:w="108" w:type="dxa"/>
          </w:tblCellMar>
        </w:tblPrEx>
        <w:trPr>
          <w:trHeight w:val="431" w:hRule="atLeast"/>
        </w:trPr>
        <w:tc>
          <w:tcPr>
            <w:tcW w:w="115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0"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1152"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1155"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155"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2"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2"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0"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1203"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1206"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211"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Layout w:type="fixed"/>
          <w:tblCellMar>
            <w:top w:w="0" w:type="dxa"/>
            <w:left w:w="108" w:type="dxa"/>
            <w:bottom w:w="0" w:type="dxa"/>
            <w:right w:w="108" w:type="dxa"/>
          </w:tblCellMar>
        </w:tblPrEx>
        <w:trPr>
          <w:trHeight w:val="431" w:hRule="atLeast"/>
        </w:trPr>
        <w:tc>
          <w:tcPr>
            <w:tcW w:w="1150"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1150"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1150"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115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1155"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1155"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115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115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1150"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120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1206"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1211"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tblPrEx>
          <w:tblLayout w:type="fixed"/>
          <w:tblCellMar>
            <w:top w:w="0" w:type="dxa"/>
            <w:left w:w="108" w:type="dxa"/>
            <w:bottom w:w="0" w:type="dxa"/>
            <w:right w:w="108" w:type="dxa"/>
          </w:tblCellMar>
        </w:tblPrEx>
        <w:trPr>
          <w:trHeight w:val="431" w:hRule="atLeast"/>
        </w:trPr>
        <w:tc>
          <w:tcPr>
            <w:tcW w:w="1150" w:type="dxa"/>
            <w:tcBorders>
              <w:top w:val="nil"/>
              <w:left w:val="single" w:color="000000" w:sz="4" w:space="0"/>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11.10</w:t>
            </w:r>
          </w:p>
        </w:tc>
        <w:tc>
          <w:tcPr>
            <w:tcW w:w="1150"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150"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8.10</w:t>
            </w:r>
          </w:p>
        </w:tc>
        <w:tc>
          <w:tcPr>
            <w:tcW w:w="1152"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155" w:type="dxa"/>
            <w:gridSpan w:val="2"/>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8.10</w:t>
            </w:r>
          </w:p>
        </w:tc>
        <w:tc>
          <w:tcPr>
            <w:tcW w:w="1155"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3.00</w:t>
            </w:r>
          </w:p>
        </w:tc>
        <w:tc>
          <w:tcPr>
            <w:tcW w:w="1152"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5.07</w:t>
            </w:r>
          </w:p>
        </w:tc>
        <w:tc>
          <w:tcPr>
            <w:tcW w:w="1152"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150" w:type="dxa"/>
            <w:gridSpan w:val="2"/>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5.07</w:t>
            </w:r>
          </w:p>
        </w:tc>
        <w:tc>
          <w:tcPr>
            <w:tcW w:w="1203"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206"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5.07</w:t>
            </w:r>
          </w:p>
        </w:tc>
        <w:tc>
          <w:tcPr>
            <w:tcW w:w="1211"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r>
      <w:tr>
        <w:tblPrEx>
          <w:tblLayout w:type="fixed"/>
          <w:tblCellMar>
            <w:top w:w="0" w:type="dxa"/>
            <w:left w:w="108" w:type="dxa"/>
            <w:bottom w:w="0" w:type="dxa"/>
            <w:right w:w="108" w:type="dxa"/>
          </w:tblCellMar>
        </w:tblPrEx>
        <w:trPr>
          <w:trHeight w:val="431" w:hRule="atLeast"/>
        </w:trPr>
        <w:tc>
          <w:tcPr>
            <w:tcW w:w="13986" w:type="dxa"/>
            <w:gridSpan w:val="14"/>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rPr>
          <w:rFonts w:hint="eastAsia" w:ascii="仿宋_GB2312" w:hAnsi="宋体" w:eastAsia="仿宋_GB2312"/>
          <w:b/>
          <w:sz w:val="32"/>
          <w:szCs w:val="32"/>
        </w:rPr>
        <w:sectPr>
          <w:headerReference r:id="rId4" w:type="default"/>
          <w:pgSz w:w="16838" w:h="11906" w:orient="landscape"/>
          <w:pgMar w:top="2098" w:right="1531" w:bottom="1984" w:left="1531" w:header="851" w:footer="992" w:gutter="0"/>
          <w:cols w:space="720" w:num="1"/>
          <w:docGrid w:type="lines" w:linePitch="312" w:charSpace="0"/>
        </w:sectPr>
      </w:pPr>
    </w:p>
    <w:p>
      <w:pPr>
        <w:pStyle w:val="10"/>
        <w:widowControl/>
        <w:spacing w:beforeAutospacing="0" w:afterAutospacing="0"/>
        <w:jc w:val="both"/>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第三部分</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w:t>
      </w:r>
      <w:r>
        <w:rPr>
          <w:rFonts w:hint="eastAsia" w:ascii="黑体" w:hAnsi="宋体" w:eastAsia="黑体" w:cs="黑体"/>
          <w:color w:val="000000"/>
          <w:sz w:val="72"/>
          <w:szCs w:val="72"/>
          <w:shd w:val="clear" w:color="auto" w:fill="FFFFFF"/>
          <w:lang w:val="en-US" w:eastAsia="zh-CN"/>
        </w:rPr>
        <w:t>单位</w:t>
      </w:r>
      <w:r>
        <w:rPr>
          <w:rFonts w:hint="eastAsia" w:ascii="黑体" w:hAnsi="宋体" w:eastAsia="黑体" w:cs="黑体"/>
          <w:color w:val="000000"/>
          <w:sz w:val="72"/>
          <w:szCs w:val="72"/>
          <w:shd w:val="clear" w:color="auto" w:fill="FFFFFF"/>
        </w:rPr>
        <w:t>决算情况说明</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pP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pPr>
        <w:pStyle w:val="10"/>
        <w:widowControl/>
        <w:spacing w:beforeAutospacing="0" w:afterAutospacing="0"/>
        <w:jc w:val="center"/>
        <w:rPr>
          <w:rFonts w:ascii="Arial" w:hAnsi="Arial" w:eastAsia="Arial" w:cs="Arial"/>
          <w:color w:val="000000"/>
          <w:sz w:val="18"/>
          <w:szCs w:val="18"/>
          <w:shd w:val="clear" w:color="auto" w:fill="FFFFFF"/>
        </w:rPr>
      </w:pP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both"/>
        <w:outlineLvl w:val="1"/>
        <w:rPr>
          <w:rFonts w:ascii="黑体" w:hAnsi="Calibri" w:eastAsia="黑体"/>
          <w:kern w:val="2"/>
          <w:sz w:val="32"/>
          <w:szCs w:val="32"/>
        </w:rPr>
      </w:pPr>
      <w:r>
        <w:rPr>
          <w:rFonts w:hint="eastAsia" w:ascii="黑体" w:hAnsi="Calibri" w:eastAsia="黑体"/>
          <w:kern w:val="2"/>
          <w:sz w:val="32"/>
          <w:szCs w:val="32"/>
        </w:rPr>
        <w:t>一、收入支出决算总体情况说明</w:t>
      </w:r>
    </w:p>
    <w:p>
      <w:pPr>
        <w:autoSpaceDE w:val="0"/>
        <w:autoSpaceDN w:val="0"/>
        <w:adjustRightInd w:val="0"/>
        <w:spacing w:line="580" w:lineRule="exact"/>
        <w:ind w:firstLine="640" w:firstLineChars="200"/>
        <w:jc w:val="left"/>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2"/>
          <w:sz w:val="32"/>
          <w:szCs w:val="32"/>
          <w:lang w:eastAsia="zh-CN"/>
        </w:rPr>
        <w:t>本部门</w:t>
      </w:r>
      <w:r>
        <w:rPr>
          <w:rFonts w:hint="eastAsia" w:ascii="仿宋_GB2312" w:hAnsi="仿宋_GB2312" w:eastAsia="仿宋_GB2312" w:cs="仿宋_GB2312"/>
          <w:kern w:val="2"/>
          <w:sz w:val="32"/>
          <w:szCs w:val="32"/>
          <w:lang w:val="zh-CN"/>
        </w:rPr>
        <w:t>2023年度收、</w:t>
      </w:r>
      <w:r>
        <w:rPr>
          <w:rFonts w:hint="eastAsia" w:ascii="仿宋_GB2312" w:hAnsi="仿宋_GB2312" w:eastAsia="仿宋_GB2312" w:cs="仿宋_GB2312"/>
          <w:kern w:val="2"/>
          <w:sz w:val="32"/>
          <w:szCs w:val="32"/>
          <w:lang w:val="en-US" w:eastAsia="zh-CN"/>
        </w:rPr>
        <w:t>支</w:t>
      </w:r>
      <w:r>
        <w:rPr>
          <w:rFonts w:hint="eastAsia" w:ascii="仿宋_GB2312" w:hAnsi="仿宋_GB2312" w:eastAsia="仿宋_GB2312" w:cs="仿宋_GB2312"/>
          <w:kern w:val="2"/>
          <w:sz w:val="32"/>
          <w:szCs w:val="32"/>
          <w:lang w:val="zh-CN"/>
        </w:rPr>
        <w:t>总计(含结转和结余)</w:t>
      </w:r>
      <w:r>
        <w:rPr>
          <w:rFonts w:hint="eastAsia" w:ascii="仿宋_GB2312" w:hAnsi="仿宋_GB2312" w:eastAsia="仿宋_GB2312" w:cs="仿宋_GB2312"/>
          <w:kern w:val="2"/>
          <w:sz w:val="32"/>
          <w:szCs w:val="32"/>
          <w:lang w:val="en-US" w:eastAsia="zh-CN"/>
        </w:rPr>
        <w:t>9681.62万</w:t>
      </w:r>
      <w:r>
        <w:rPr>
          <w:rFonts w:hint="eastAsia" w:ascii="仿宋_GB2312" w:hAnsi="仿宋_GB2312" w:eastAsia="仿宋_GB2312" w:cs="仿宋_GB2312"/>
          <w:kern w:val="2"/>
          <w:sz w:val="32"/>
          <w:szCs w:val="32"/>
        </w:rPr>
        <w:t>元，与2022年度决算相比</w:t>
      </w:r>
      <w:r>
        <w:rPr>
          <w:rFonts w:hint="eastAsia" w:ascii="仿宋_GB2312" w:hAnsi="仿宋_GB2312" w:eastAsia="仿宋_GB2312" w:cs="仿宋_GB2312"/>
          <w:kern w:val="2"/>
          <w:sz w:val="32"/>
          <w:szCs w:val="32"/>
          <w:lang w:eastAsia="zh-CN"/>
        </w:rPr>
        <w:t>，</w:t>
      </w:r>
      <w:r>
        <w:rPr>
          <w:rFonts w:hint="eastAsia" w:ascii="仿宋_GB2312" w:hAnsi="仿宋_GB2312" w:eastAsia="仿宋_GB2312" w:cs="仿宋_GB2312"/>
          <w:kern w:val="2"/>
          <w:sz w:val="32"/>
          <w:szCs w:val="32"/>
        </w:rPr>
        <w:t>收支各</w:t>
      </w:r>
      <w:r>
        <w:rPr>
          <w:rFonts w:hint="eastAsia" w:ascii="仿宋_GB2312" w:hAnsi="仿宋_GB2312" w:eastAsia="仿宋_GB2312" w:cs="仿宋_GB2312"/>
          <w:kern w:val="2"/>
          <w:sz w:val="32"/>
          <w:szCs w:val="32"/>
          <w:lang w:val="en-US" w:eastAsia="zh-CN"/>
        </w:rPr>
        <w:t>减少</w:t>
      </w:r>
      <w:r>
        <w:rPr>
          <w:rFonts w:hint="eastAsia" w:ascii="仿宋_GB2312" w:hAnsi="仿宋_GB2312" w:eastAsia="仿宋_GB2312" w:cs="仿宋_GB2312"/>
          <w:sz w:val="32"/>
          <w:szCs w:val="32"/>
          <w:highlight w:val="none"/>
          <w:lang w:val="en-US" w:eastAsia="zh-CN"/>
        </w:rPr>
        <w:t>799.43</w:t>
      </w:r>
      <w:r>
        <w:rPr>
          <w:rFonts w:hint="eastAsia" w:ascii="仿宋_GB2312" w:hAnsi="仿宋_GB2312" w:eastAsia="仿宋_GB2312" w:cs="仿宋_GB2312"/>
          <w:sz w:val="32"/>
          <w:szCs w:val="32"/>
          <w:highlight w:val="none"/>
          <w:lang w:val="zh-CN"/>
        </w:rPr>
        <w:t>万元</w:t>
      </w:r>
      <w:r>
        <w:rPr>
          <w:rFonts w:hint="eastAsia" w:ascii="仿宋_GB2312" w:hAnsi="仿宋_GB2312" w:eastAsia="仿宋_GB2312" w:cs="仿宋_GB2312"/>
          <w:sz w:val="32"/>
          <w:szCs w:val="32"/>
          <w:highlight w:val="none"/>
          <w:lang w:val="en-US" w:eastAsia="zh-CN"/>
        </w:rPr>
        <w:t>,降幅14.17</w:t>
      </w:r>
      <w:r>
        <w:rPr>
          <w:rFonts w:hint="eastAsia" w:ascii="仿宋_GB2312" w:hAnsi="仿宋_GB2312" w:eastAsia="仿宋_GB2312" w:cs="仿宋_GB2312"/>
          <w:sz w:val="32"/>
          <w:szCs w:val="32"/>
          <w:highlight w:val="none"/>
          <w:lang w:val="zh-CN"/>
        </w:rPr>
        <w:t>%，</w:t>
      </w:r>
      <w:r>
        <w:rPr>
          <w:rFonts w:hint="eastAsia" w:ascii="仿宋_GB2312" w:hAnsi="仿宋_GB2312" w:eastAsia="仿宋_GB2312" w:cs="仿宋_GB2312"/>
          <w:kern w:val="2"/>
          <w:sz w:val="32"/>
          <w:szCs w:val="32"/>
        </w:rPr>
        <w:t>主要是</w:t>
      </w:r>
      <w:r>
        <w:rPr>
          <w:rFonts w:hint="eastAsia" w:ascii="仿宋_GB2312" w:hAnsi="仿宋_GB2312" w:eastAsia="仿宋_GB2312" w:cs="仿宋_GB2312"/>
          <w:kern w:val="2"/>
          <w:sz w:val="32"/>
          <w:szCs w:val="32"/>
          <w:lang w:val="en-US" w:eastAsia="zh-CN"/>
        </w:rPr>
        <w:t>由于较2022年减少追加绿化租地相关税费项目。</w:t>
      </w:r>
    </w:p>
    <w:p>
      <w:pPr>
        <w:pStyle w:val="10"/>
        <w:widowControl/>
        <w:spacing w:beforeAutospacing="0" w:afterAutospacing="0"/>
        <w:jc w:val="both"/>
        <w:rPr>
          <w:rFonts w:ascii="Times New Roman" w:hAnsi="Times New Roman" w:eastAsia="宋体"/>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pStyle w:val="10"/>
        <w:widowControl/>
        <w:spacing w:beforeAutospacing="0" w:afterAutospacing="0"/>
        <w:jc w:val="both"/>
        <w:outlineLvl w:val="1"/>
        <w:rPr>
          <w:rFonts w:ascii="Times New Roman" w:hAnsi="Times New Roman" w:eastAsia="黑体"/>
          <w:kern w:val="2"/>
          <w:sz w:val="32"/>
          <w:szCs w:val="32"/>
        </w:rPr>
      </w:pPr>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二、收入决算情况说明</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本单位2023</w:t>
      </w:r>
      <w:r>
        <w:rPr>
          <w:rFonts w:ascii="Times New Roman" w:hAnsi="Times New Roman" w:eastAsia="仿宋_GB2312" w:cs="Times New Roman"/>
          <w:kern w:val="2"/>
          <w:sz w:val="32"/>
          <w:szCs w:val="32"/>
          <w:lang w:val="zh-CN"/>
        </w:rPr>
        <w:t>年度本年收入合计</w:t>
      </w:r>
      <w:r>
        <w:rPr>
          <w:rFonts w:ascii="Times New Roman" w:hAnsi="Times New Roman" w:eastAsia="仿宋_GB2312" w:cs="Times New Roman"/>
          <w:sz w:val="30"/>
          <w:szCs w:val="30"/>
        </w:rPr>
        <w:t>4,022.98</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其中</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财政拨款收入</w:t>
      </w:r>
      <w:r>
        <w:rPr>
          <w:rFonts w:ascii="Times New Roman" w:hAnsi="Times New Roman" w:eastAsia="仿宋_GB2312" w:cs="Times New Roman"/>
          <w:kern w:val="2"/>
          <w:sz w:val="32"/>
          <w:szCs w:val="32"/>
        </w:rPr>
        <w:t>4,022.91</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100%；</w:t>
      </w:r>
      <w:r>
        <w:rPr>
          <w:rFonts w:ascii="Times New Roman" w:hAnsi="Times New Roman" w:eastAsia="仿宋_GB2312" w:cs="Times New Roman"/>
          <w:kern w:val="2"/>
          <w:sz w:val="32"/>
          <w:szCs w:val="32"/>
          <w:lang w:val="zh-CN"/>
        </w:rPr>
        <w:t>上级补助收入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事业收入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经营收入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附属单位上缴收入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其他收入</w:t>
      </w:r>
      <w:r>
        <w:rPr>
          <w:rFonts w:ascii="Times New Roman" w:hAnsi="Times New Roman" w:eastAsia="仿宋_GB2312" w:cs="Times New Roman"/>
          <w:kern w:val="2"/>
          <w:sz w:val="32"/>
          <w:szCs w:val="32"/>
        </w:rPr>
        <w:t>0.07</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hint="eastAsia" w:ascii="Times New Roman" w:hAnsi="Times New Roman" w:eastAsia="仿宋_GB2312" w:cs="Times New Roman"/>
          <w:kern w:val="2"/>
          <w:sz w:val="32"/>
          <w:szCs w:val="32"/>
          <w:lang w:val="zh-CN"/>
        </w:rPr>
        <w:t>。</w:t>
      </w:r>
    </w:p>
    <w:p>
      <w:pPr>
        <w:pStyle w:val="10"/>
        <w:widowControl/>
        <w:spacing w:beforeAutospacing="0" w:afterAutospacing="0"/>
        <w:jc w:val="both"/>
        <w:outlineLvl w:val="1"/>
        <w:rPr>
          <w:rFonts w:ascii="Times New Roman" w:hAnsi="Times New Roman" w:eastAsia="黑体"/>
          <w:kern w:val="2"/>
          <w:sz w:val="32"/>
          <w:szCs w:val="32"/>
        </w:rPr>
      </w:pPr>
    </w:p>
    <w:p>
      <w:pPr>
        <w:pStyle w:val="10"/>
        <w:widowControl/>
        <w:spacing w:beforeAutospacing="0" w:afterAutospacing="0"/>
        <w:jc w:val="both"/>
        <w:outlineLvl w:val="1"/>
        <w:rPr>
          <w:rFonts w:ascii="Times New Roman" w:hAnsi="Times New Roman" w:eastAsia="黑体"/>
          <w:kern w:val="2"/>
          <w:sz w:val="32"/>
          <w:szCs w:val="32"/>
        </w:rPr>
      </w:pPr>
    </w:p>
    <w:p>
      <w:pPr>
        <w:pStyle w:val="10"/>
        <w:widowControl/>
        <w:spacing w:beforeAutospacing="0" w:afterAutospacing="0"/>
        <w:jc w:val="both"/>
        <w:outlineLvl w:val="1"/>
        <w:rPr>
          <w:rFonts w:ascii="Times New Roman" w:hAnsi="Times New Roman" w:eastAsia="黑体"/>
          <w:kern w:val="2"/>
          <w:sz w:val="32"/>
          <w:szCs w:val="32"/>
        </w:rPr>
      </w:pPr>
    </w:p>
    <w:p>
      <w:pPr>
        <w:autoSpaceDE w:val="0"/>
        <w:autoSpaceDN w:val="0"/>
        <w:adjustRightInd w:val="0"/>
        <w:jc w:val="center"/>
        <w:rPr>
          <w:rFonts w:hint="eastAsia"/>
          <w:lang w:eastAsia="zh-CN"/>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120650</wp:posOffset>
            </wp:positionH>
            <wp:positionV relativeFrom="paragraph">
              <wp:posOffset>81280</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pStyle w:val="10"/>
        <w:widowControl/>
        <w:spacing w:beforeAutospacing="0" w:afterAutospacing="0"/>
        <w:jc w:val="both"/>
        <w:outlineLvl w:val="1"/>
        <w:rPr>
          <w:rFonts w:ascii="Times New Roman" w:hAnsi="Times New Roman" w:eastAsia="黑体"/>
          <w:kern w:val="2"/>
          <w:sz w:val="32"/>
          <w:szCs w:val="32"/>
        </w:rPr>
      </w:pPr>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三、支出决算情况说明</w:t>
      </w:r>
    </w:p>
    <w:p>
      <w:pPr>
        <w:autoSpaceDE w:val="0"/>
        <w:autoSpaceDN w:val="0"/>
        <w:adjustRightInd w:val="0"/>
        <w:spacing w:line="580" w:lineRule="exact"/>
        <w:ind w:firstLine="600"/>
        <w:jc w:val="left"/>
        <w:rPr>
          <w:rFonts w:hint="eastAsia"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本单位2023年度本年支出合计4,022.98万元，其中：基本支出1,484.6万元，占36.9%；项目支出2,538.38万元，占63.1%；上缴上级支出0万元，占0%；经营支出0万元，占0%</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对附属单位补助支出0万元，占0%</w:t>
      </w:r>
      <w:r>
        <w:rPr>
          <w:rFonts w:hint="eastAsia" w:ascii="Times New Roman" w:hAnsi="Times New Roman" w:eastAsia="仿宋_GB2312" w:cs="Times New Roman"/>
          <w:kern w:val="2"/>
          <w:sz w:val="32"/>
          <w:szCs w:val="32"/>
          <w:lang w:val="zh-CN"/>
        </w:rPr>
        <w:t>。</w:t>
      </w:r>
    </w:p>
    <w:p>
      <w:pPr>
        <w:autoSpaceDE w:val="0"/>
        <w:autoSpaceDN w:val="0"/>
        <w:adjustRightInd w:val="0"/>
        <w:spacing w:line="580" w:lineRule="exact"/>
        <w:ind w:firstLine="600"/>
        <w:jc w:val="left"/>
        <w:rPr>
          <w:rFonts w:hint="eastAsia" w:ascii="Times New Roman" w:hAnsi="Times New Roman" w:eastAsia="仿宋_GB2312" w:cs="Times New Roman"/>
          <w:kern w:val="2"/>
          <w:sz w:val="32"/>
          <w:szCs w:val="32"/>
          <w:lang w:val="zh-CN"/>
        </w:rPr>
      </w:pPr>
    </w:p>
    <w:p>
      <w:pPr>
        <w:autoSpaceDE w:val="0"/>
        <w:autoSpaceDN w:val="0"/>
        <w:adjustRightInd w:val="0"/>
        <w:jc w:val="left"/>
        <w:rPr>
          <w:rFonts w:ascii="Times New Roman" w:hAnsi="Times New Roman" w:eastAsia="仿宋_GB2312" w:cs="Times New Roman"/>
          <w:sz w:val="32"/>
          <w:szCs w:val="32"/>
          <w:highlight w:val="yellow"/>
        </w:rPr>
      </w:pPr>
      <w:r>
        <w:rPr>
          <w:rFonts w:ascii="Times New Roman" w:hAnsi="Times New Roman" w:eastAsia="仿宋_GB2312" w:cs="Times New Roman"/>
          <w:sz w:val="32"/>
          <w:szCs w:val="32"/>
          <w:highlight w:val="yellow"/>
        </w:rPr>
        <w:drawing>
          <wp:inline distT="0" distB="0" distL="114300" distR="114300">
            <wp:extent cx="5332095" cy="3329305"/>
            <wp:effectExtent l="4445" t="4445" r="16510" b="1905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autoSpaceDE w:val="0"/>
        <w:autoSpaceDN w:val="0"/>
        <w:adjustRightInd w:val="0"/>
        <w:jc w:val="left"/>
        <w:rPr>
          <w:rFonts w:ascii="Times New Roman" w:hAnsi="Times New Roman" w:eastAsia="仿宋_GB2312" w:cs="Times New Roman"/>
          <w:sz w:val="32"/>
          <w:szCs w:val="32"/>
          <w:highlight w:val="yellow"/>
        </w:rPr>
      </w:pPr>
    </w:p>
    <w:p>
      <w:pPr>
        <w:pStyle w:val="10"/>
        <w:widowControl/>
        <w:spacing w:beforeAutospacing="0" w:afterAutospacing="0"/>
        <w:jc w:val="both"/>
        <w:outlineLvl w:val="1"/>
        <w:rPr>
          <w:rFonts w:ascii="Times New Roman" w:hAnsi="Times New Roman" w:eastAsia="Arial"/>
        </w:rPr>
      </w:pPr>
      <w:r>
        <w:rPr>
          <w:rFonts w:ascii="Times New Roman" w:hAnsi="Times New Roman" w:eastAsia="黑体"/>
          <w:kern w:val="2"/>
          <w:sz w:val="32"/>
          <w:szCs w:val="32"/>
        </w:rPr>
        <w:t>四、财政拨款收入支出决算总体情况说明</w:t>
      </w:r>
    </w:p>
    <w:p>
      <w:pPr>
        <w:pStyle w:val="10"/>
        <w:widowControl/>
        <w:spacing w:beforeAutospacing="0" w:afterAutospacing="0"/>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（一）财政拨款收支与2022年度决算对比情况</w:t>
      </w:r>
    </w:p>
    <w:p>
      <w:pPr>
        <w:autoSpaceDE w:val="0"/>
        <w:autoSpaceDN w:val="0"/>
        <w:adjustRightInd w:val="0"/>
        <w:spacing w:line="580" w:lineRule="exact"/>
        <w:ind w:firstLine="480" w:firstLineChars="200"/>
        <w:jc w:val="left"/>
        <w:rPr>
          <w:rFonts w:hint="default" w:ascii="Times New Roman" w:hAnsi="Times New Roman" w:eastAsia="仿宋_GB2312" w:cs="Times New Roman"/>
          <w:color w:val="auto"/>
          <w:kern w:val="2"/>
          <w:sz w:val="32"/>
          <w:szCs w:val="32"/>
          <w:lang w:val="zh-CN" w:eastAsia="zh-CN" w:bidi="ar-SA"/>
        </w:rPr>
      </w:pPr>
      <w:r>
        <w:drawing>
          <wp:anchor distT="0" distB="0" distL="114300" distR="114300" simplePos="0" relativeHeight="251668480" behindDoc="0" locked="0" layoutInCell="1" allowOverlap="1">
            <wp:simplePos x="0" y="0"/>
            <wp:positionH relativeFrom="column">
              <wp:posOffset>281305</wp:posOffset>
            </wp:positionH>
            <wp:positionV relativeFrom="paragraph">
              <wp:posOffset>2279650</wp:posOffset>
            </wp:positionV>
            <wp:extent cx="4826000" cy="2743200"/>
            <wp:effectExtent l="4445" t="4445" r="8255" b="14605"/>
            <wp:wrapTopAndBottom/>
            <wp:docPr id="1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年度财政拨款本年收入4,022.91</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en-US" w:eastAsia="zh-CN"/>
        </w:rPr>
        <w:t>减少739.04</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en-US" w:eastAsia="zh-CN"/>
        </w:rPr>
        <w:t>降幅为15.52</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rPr>
        <w:t>一般公共预算财政拨款收入</w:t>
      </w:r>
      <w:r>
        <w:rPr>
          <w:rFonts w:hint="eastAsia" w:ascii="仿宋_GB2312" w:hAnsi="Times New Roman" w:eastAsia="仿宋_GB2312" w:cs="仿宋_GB2312"/>
          <w:sz w:val="32"/>
          <w:szCs w:val="32"/>
          <w:lang w:val="en-US" w:eastAsia="zh-CN"/>
        </w:rPr>
        <w:t>及政府性基金预算财政拨款收入减少</w:t>
      </w:r>
      <w:r>
        <w:rPr>
          <w:rFonts w:hint="default" w:ascii="Times New Roman" w:hAnsi="Times New Roman" w:eastAsia="仿宋_GB2312" w:cs="Times New Roman"/>
          <w:color w:val="auto"/>
          <w:kern w:val="2"/>
          <w:sz w:val="32"/>
          <w:szCs w:val="32"/>
          <w:lang w:val="zh-CN" w:eastAsia="zh-CN" w:bidi="ar-SA"/>
        </w:rPr>
        <w:t>；本年支出 4,022.91元，比上年</w:t>
      </w:r>
      <w:r>
        <w:rPr>
          <w:rFonts w:hint="eastAsia" w:ascii="Times New Roman" w:hAnsi="Times New Roman" w:eastAsia="仿宋_GB2312" w:cs="Times New Roman"/>
          <w:sz w:val="30"/>
          <w:szCs w:val="30"/>
          <w:highlight w:val="none"/>
          <w:lang w:val="zh-CN"/>
        </w:rPr>
        <w:t>增加</w:t>
      </w:r>
      <w:r>
        <w:rPr>
          <w:rFonts w:hint="eastAsia" w:ascii="Times New Roman" w:hAnsi="Times New Roman" w:eastAsia="仿宋_GB2312" w:cs="Times New Roman"/>
          <w:sz w:val="30"/>
          <w:szCs w:val="30"/>
          <w:highlight w:val="none"/>
          <w:lang w:val="en-US" w:eastAsia="zh-CN"/>
        </w:rPr>
        <w:t>772.74</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en-US" w:eastAsia="zh-CN"/>
        </w:rPr>
        <w:t>降幅为16.11</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仿宋_GB2312" w:eastAsia="仿宋_GB2312" w:cs="仿宋_GB2312"/>
          <w:kern w:val="2"/>
          <w:sz w:val="32"/>
          <w:szCs w:val="32"/>
          <w:lang w:val="en-US" w:eastAsia="zh-CN"/>
        </w:rPr>
        <w:t>由于较2022年减少追加绿化租地相关税费项目</w:t>
      </w:r>
      <w:r>
        <w:rPr>
          <w:rFonts w:hint="default" w:ascii="Times New Roman" w:hAnsi="Times New Roman" w:eastAsia="仿宋_GB2312" w:cs="Times New Roman"/>
          <w:color w:val="auto"/>
          <w:kern w:val="2"/>
          <w:sz w:val="32"/>
          <w:szCs w:val="32"/>
          <w:lang w:val="zh-CN" w:eastAsia="zh-CN" w:bidi="ar-SA"/>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color w:val="auto"/>
          <w:kern w:val="2"/>
          <w:sz w:val="32"/>
          <w:szCs w:val="32"/>
          <w:lang w:val="zh-CN" w:eastAsia="zh-CN" w:bidi="ar-SA"/>
        </w:rPr>
      </w:pPr>
    </w:p>
    <w:p>
      <w:pPr>
        <w:numPr>
          <w:ilvl w:val="0"/>
          <w:numId w:val="2"/>
        </w:num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 xml:space="preserve"> </w:t>
      </w:r>
      <w:r>
        <w:rPr>
          <w:rFonts w:hint="default" w:ascii="Times New Roman" w:hAnsi="Times New Roman" w:eastAsia="仿宋_GB2312" w:cs="Times New Roman"/>
          <w:kern w:val="2"/>
          <w:sz w:val="32"/>
          <w:szCs w:val="32"/>
          <w:lang w:val="zh-CN"/>
        </w:rPr>
        <w:t>一般公共预算财政拨款本年收入4,001.31</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en-US" w:eastAsia="zh-CN"/>
        </w:rPr>
        <w:t>减少674.54</w:t>
      </w:r>
      <w:r>
        <w:rPr>
          <w:rFonts w:hint="eastAsia" w:ascii="Times New Roman" w:hAnsi="Times New Roman" w:eastAsia="仿宋_GB2312" w:cs="Times New Roman"/>
          <w:sz w:val="30"/>
          <w:szCs w:val="30"/>
          <w:highlight w:val="none"/>
          <w:lang w:val="zh-CN"/>
        </w:rPr>
        <w:t>万元，</w:t>
      </w:r>
      <w:r>
        <w:rPr>
          <w:rFonts w:hint="eastAsia" w:ascii="Times New Roman" w:hAnsi="Times New Roman" w:eastAsia="仿宋_GB2312" w:cs="Times New Roman"/>
          <w:sz w:val="30"/>
          <w:szCs w:val="30"/>
          <w:highlight w:val="none"/>
          <w:lang w:val="en-US" w:eastAsia="zh-CN"/>
        </w:rPr>
        <w:t>降幅为14.43</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kern w:val="2"/>
          <w:sz w:val="32"/>
          <w:szCs w:val="32"/>
          <w:lang w:val="zh-CN"/>
        </w:rPr>
        <w:t>主要是</w:t>
      </w:r>
      <w:r>
        <w:rPr>
          <w:rFonts w:hint="eastAsia" w:ascii="仿宋_GB2312" w:hAnsi="仿宋_GB2312" w:eastAsia="仿宋_GB2312" w:cs="仿宋_GB2312"/>
          <w:kern w:val="2"/>
          <w:sz w:val="32"/>
          <w:szCs w:val="32"/>
          <w:lang w:val="en-US" w:eastAsia="zh-CN"/>
        </w:rPr>
        <w:t>较2022年减少追加绿化租地相关税费项目</w:t>
      </w:r>
      <w:r>
        <w:rPr>
          <w:rFonts w:hint="default" w:ascii="Times New Roman" w:hAnsi="Times New Roman" w:eastAsia="仿宋_GB2312" w:cs="Times New Roman"/>
          <w:kern w:val="2"/>
          <w:sz w:val="32"/>
          <w:szCs w:val="32"/>
          <w:lang w:val="zh-CN"/>
        </w:rPr>
        <w:t>；本年支出 4,001.31</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en-US" w:eastAsia="zh-CN"/>
        </w:rPr>
        <w:t>减少708.24</w:t>
      </w:r>
      <w:r>
        <w:rPr>
          <w:rFonts w:hint="eastAsia" w:ascii="Times New Roman" w:hAnsi="Times New Roman" w:eastAsia="仿宋_GB2312" w:cs="Times New Roman"/>
          <w:sz w:val="30"/>
          <w:szCs w:val="30"/>
          <w:highlight w:val="none"/>
          <w:lang w:val="zh-CN"/>
        </w:rPr>
        <w:t>万元，</w:t>
      </w:r>
      <w:r>
        <w:rPr>
          <w:rFonts w:hint="eastAsia" w:ascii="Times New Roman" w:hAnsi="Times New Roman" w:eastAsia="仿宋_GB2312" w:cs="Times New Roman"/>
          <w:sz w:val="30"/>
          <w:szCs w:val="30"/>
          <w:highlight w:val="none"/>
          <w:lang w:val="en-US" w:eastAsia="zh-CN"/>
        </w:rPr>
        <w:t>降幅为15.04</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kern w:val="2"/>
          <w:sz w:val="32"/>
          <w:szCs w:val="32"/>
          <w:lang w:val="zh-CN"/>
        </w:rPr>
        <w:t>主要是</w:t>
      </w:r>
      <w:r>
        <w:rPr>
          <w:rFonts w:hint="eastAsia" w:ascii="仿宋_GB2312" w:hAnsi="仿宋_GB2312" w:eastAsia="仿宋_GB2312" w:cs="仿宋_GB2312"/>
          <w:kern w:val="2"/>
          <w:sz w:val="32"/>
          <w:szCs w:val="32"/>
          <w:lang w:val="en-US" w:eastAsia="zh-CN"/>
        </w:rPr>
        <w:t>较2022年减少追加绿化租地相关税费项目</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480" w:firstLineChars="200"/>
        <w:jc w:val="left"/>
        <w:rPr>
          <w:rFonts w:ascii="Times New Roman" w:hAnsi="Times New Roman" w:eastAsia="仿宋_GB2312" w:cs="Times New Roman"/>
          <w:kern w:val="2"/>
          <w:sz w:val="32"/>
          <w:szCs w:val="32"/>
          <w:lang w:val="zh-CN"/>
        </w:rPr>
      </w:pPr>
      <w:r>
        <w:drawing>
          <wp:anchor distT="0" distB="0" distL="114300" distR="114300" simplePos="0" relativeHeight="251669504" behindDoc="0" locked="0" layoutInCell="1" allowOverlap="1">
            <wp:simplePos x="0" y="0"/>
            <wp:positionH relativeFrom="column">
              <wp:posOffset>454025</wp:posOffset>
            </wp:positionH>
            <wp:positionV relativeFrom="paragraph">
              <wp:posOffset>153670</wp:posOffset>
            </wp:positionV>
            <wp:extent cx="4826000" cy="3000375"/>
            <wp:effectExtent l="4445" t="4445" r="8255" b="5080"/>
            <wp:wrapTopAndBottom/>
            <wp:docPr id="1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numPr>
          <w:ilvl w:val="0"/>
          <w:numId w:val="2"/>
        </w:numPr>
        <w:autoSpaceDE w:val="0"/>
        <w:autoSpaceDN w:val="0"/>
        <w:adjustRightInd w:val="0"/>
        <w:spacing w:line="580" w:lineRule="exact"/>
        <w:ind w:left="0" w:leftChars="0"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政府性基金预算财政拨款本年收入21.6</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en-US" w:eastAsia="zh-CN"/>
        </w:rPr>
        <w:t>减少64.5</w:t>
      </w:r>
      <w:r>
        <w:rPr>
          <w:rFonts w:hint="eastAsia" w:ascii="Times New Roman" w:hAnsi="Times New Roman" w:eastAsia="仿宋_GB2312" w:cs="Times New Roman"/>
          <w:sz w:val="30"/>
          <w:szCs w:val="30"/>
          <w:highlight w:val="none"/>
          <w:lang w:val="zh-CN"/>
        </w:rPr>
        <w:t>万元，</w:t>
      </w:r>
      <w:r>
        <w:rPr>
          <w:rFonts w:hint="eastAsia" w:ascii="Times New Roman" w:hAnsi="Times New Roman" w:eastAsia="仿宋_GB2312" w:cs="Times New Roman"/>
          <w:sz w:val="30"/>
          <w:szCs w:val="30"/>
          <w:highlight w:val="none"/>
          <w:lang w:val="en-US" w:eastAsia="zh-CN"/>
        </w:rPr>
        <w:t>降幅为74.91</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kern w:val="2"/>
          <w:sz w:val="32"/>
          <w:szCs w:val="32"/>
          <w:lang w:val="zh-CN"/>
        </w:rPr>
        <w:t>主要原因是治理国、省干道沿线区域私搭乱建、违建专项经费</w:t>
      </w:r>
      <w:r>
        <w:rPr>
          <w:rFonts w:hint="eastAsia" w:ascii="Times New Roman" w:hAnsi="Times New Roman" w:eastAsia="仿宋_GB2312" w:cs="Times New Roman"/>
          <w:kern w:val="2"/>
          <w:sz w:val="32"/>
          <w:szCs w:val="32"/>
          <w:lang w:val="en-US" w:eastAsia="zh-CN"/>
        </w:rPr>
        <w:t>等政府性基金项目减少</w:t>
      </w:r>
      <w:r>
        <w:rPr>
          <w:rFonts w:hint="default" w:ascii="Times New Roman" w:hAnsi="Times New Roman" w:eastAsia="仿宋_GB2312" w:cs="Times New Roman"/>
          <w:kern w:val="2"/>
          <w:sz w:val="32"/>
          <w:szCs w:val="32"/>
          <w:lang w:val="zh-CN"/>
        </w:rPr>
        <w:t>；本年支出 21.6</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en-US" w:eastAsia="zh-CN"/>
        </w:rPr>
        <w:t>减少64.5</w:t>
      </w:r>
      <w:r>
        <w:rPr>
          <w:rFonts w:hint="eastAsia" w:ascii="Times New Roman" w:hAnsi="Times New Roman" w:eastAsia="仿宋_GB2312" w:cs="Times New Roman"/>
          <w:sz w:val="30"/>
          <w:szCs w:val="30"/>
          <w:highlight w:val="none"/>
          <w:lang w:val="zh-CN"/>
        </w:rPr>
        <w:t>万元，</w:t>
      </w:r>
      <w:r>
        <w:rPr>
          <w:rFonts w:hint="eastAsia" w:ascii="Times New Roman" w:hAnsi="Times New Roman" w:eastAsia="仿宋_GB2312" w:cs="Times New Roman"/>
          <w:sz w:val="30"/>
          <w:szCs w:val="30"/>
          <w:highlight w:val="none"/>
          <w:lang w:val="en-US" w:eastAsia="zh-CN"/>
        </w:rPr>
        <w:t>降幅为74.91</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kern w:val="2"/>
          <w:sz w:val="32"/>
          <w:szCs w:val="32"/>
          <w:lang w:val="zh-CN"/>
        </w:rPr>
        <w:t>主要是治理国、省干道沿线区域私搭乱建、违建专项经费</w:t>
      </w:r>
      <w:r>
        <w:rPr>
          <w:rFonts w:hint="eastAsia" w:ascii="Times New Roman" w:hAnsi="Times New Roman" w:eastAsia="仿宋_GB2312" w:cs="Times New Roman"/>
          <w:kern w:val="2"/>
          <w:sz w:val="32"/>
          <w:szCs w:val="32"/>
          <w:lang w:val="en-US" w:eastAsia="zh-CN"/>
        </w:rPr>
        <w:t>等政府性基金项目减少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480" w:firstLineChars="200"/>
        <w:jc w:val="left"/>
        <w:rPr>
          <w:rFonts w:hint="default" w:ascii="Times New Roman" w:hAnsi="Times New Roman" w:eastAsia="仿宋_GB2312" w:cs="Times New Roman"/>
          <w:kern w:val="2"/>
          <w:sz w:val="32"/>
          <w:szCs w:val="32"/>
          <w:lang w:val="zh-CN"/>
        </w:rPr>
      </w:pPr>
      <w:r>
        <w:drawing>
          <wp:anchor distT="0" distB="0" distL="114300" distR="114300" simplePos="0" relativeHeight="251670528" behindDoc="0" locked="0" layoutInCell="1" allowOverlap="1">
            <wp:simplePos x="0" y="0"/>
            <wp:positionH relativeFrom="column">
              <wp:posOffset>416560</wp:posOffset>
            </wp:positionH>
            <wp:positionV relativeFrom="page">
              <wp:posOffset>642620</wp:posOffset>
            </wp:positionV>
            <wp:extent cx="4826000" cy="2885440"/>
            <wp:effectExtent l="4445" t="4445" r="8255" b="5715"/>
            <wp:wrapTopAndBottom/>
            <wp:docPr id="19"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ascii="Times New Roman" w:hAnsi="Times New Roman" w:eastAsia="仿宋_GB2312" w:cs="Times New Roman"/>
          <w:kern w:val="2"/>
          <w:sz w:val="32"/>
          <w:szCs w:val="32"/>
        </w:rPr>
        <w:t xml:space="preserve">3. </w:t>
      </w:r>
      <w:r>
        <w:rPr>
          <w:rFonts w:hint="default" w:ascii="Times New Roman" w:hAnsi="Times New Roman" w:eastAsia="仿宋_GB2312" w:cs="Times New Roman"/>
          <w:kern w:val="2"/>
          <w:sz w:val="32"/>
          <w:szCs w:val="32"/>
          <w:lang w:val="zh-CN"/>
        </w:rPr>
        <w:t>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仿宋_GB2312" w:hAnsi="Times New Roman" w:eastAsia="仿宋_GB2312" w:cs="仿宋_GB2312"/>
          <w:sz w:val="32"/>
          <w:szCs w:val="32"/>
          <w:lang w:val="en-US" w:eastAsia="zh-CN"/>
        </w:rPr>
        <w:t>与</w:t>
      </w:r>
      <w:r>
        <w:rPr>
          <w:rFonts w:hint="eastAsia" w:ascii="仿宋_GB2312" w:hAnsi="Times New Roman" w:eastAsia="仿宋_GB2312" w:cs="仿宋_GB2312"/>
          <w:sz w:val="32"/>
          <w:szCs w:val="32"/>
        </w:rPr>
        <w:t>上年</w:t>
      </w:r>
      <w:r>
        <w:rPr>
          <w:rFonts w:hint="eastAsia" w:ascii="仿宋_GB2312" w:hAnsi="Times New Roman" w:eastAsia="仿宋_GB2312" w:cs="仿宋_GB2312"/>
          <w:sz w:val="32"/>
          <w:szCs w:val="32"/>
          <w:lang w:val="en-US" w:eastAsia="zh-CN"/>
        </w:rPr>
        <w:t>相比无变化</w:t>
      </w:r>
      <w:r>
        <w:rPr>
          <w:rFonts w:hint="eastAsia" w:ascii="仿宋_GB2312" w:hAnsi="Times New Roman" w:eastAsia="仿宋_GB2312" w:cs="仿宋_GB2312"/>
          <w:sz w:val="32"/>
          <w:szCs w:val="32"/>
        </w:rPr>
        <w:t>，主要原因是</w:t>
      </w:r>
      <w:r>
        <w:rPr>
          <w:rFonts w:ascii="仿宋" w:hAnsi="仿宋" w:eastAsia="仿宋" w:cs="仿宋"/>
          <w:spacing w:val="-4"/>
          <w:sz w:val="31"/>
          <w:szCs w:val="31"/>
        </w:rPr>
        <w:t>202</w:t>
      </w:r>
      <w:r>
        <w:rPr>
          <w:rFonts w:hint="eastAsia" w:ascii="仿宋" w:hAnsi="仿宋" w:eastAsia="仿宋" w:cs="仿宋"/>
          <w:spacing w:val="-4"/>
          <w:sz w:val="31"/>
          <w:szCs w:val="31"/>
          <w:lang w:val="en-US" w:eastAsia="zh-CN"/>
        </w:rPr>
        <w:t>1</w:t>
      </w:r>
      <w:r>
        <w:rPr>
          <w:rFonts w:ascii="仿宋" w:hAnsi="仿宋" w:eastAsia="仿宋" w:cs="仿宋"/>
          <w:spacing w:val="-4"/>
          <w:sz w:val="31"/>
          <w:szCs w:val="31"/>
        </w:rPr>
        <w:t>年</w:t>
      </w:r>
      <w:r>
        <w:rPr>
          <w:rFonts w:hint="eastAsia" w:ascii="仿宋" w:hAnsi="仿宋" w:eastAsia="仿宋" w:cs="仿宋"/>
          <w:spacing w:val="-4"/>
          <w:sz w:val="31"/>
          <w:szCs w:val="31"/>
          <w:lang w:val="en-US" w:eastAsia="zh-CN"/>
        </w:rPr>
        <w:t>度</w:t>
      </w:r>
      <w:r>
        <w:rPr>
          <w:rFonts w:ascii="仿宋" w:hAnsi="仿宋" w:eastAsia="仿宋" w:cs="仿宋"/>
          <w:spacing w:val="-4"/>
          <w:sz w:val="31"/>
          <w:szCs w:val="31"/>
        </w:rPr>
        <w:t>、202</w:t>
      </w:r>
      <w:r>
        <w:rPr>
          <w:rFonts w:hint="eastAsia" w:ascii="仿宋" w:hAnsi="仿宋" w:eastAsia="仿宋" w:cs="仿宋"/>
          <w:spacing w:val="-4"/>
          <w:sz w:val="31"/>
          <w:szCs w:val="31"/>
          <w:lang w:val="en-US" w:eastAsia="zh-CN"/>
        </w:rPr>
        <w:t>2</w:t>
      </w:r>
      <w:r>
        <w:rPr>
          <w:rFonts w:ascii="仿宋" w:hAnsi="仿宋" w:eastAsia="仿宋" w:cs="仿宋"/>
          <w:spacing w:val="-4"/>
          <w:sz w:val="31"/>
          <w:szCs w:val="31"/>
        </w:rPr>
        <w:t>年</w:t>
      </w:r>
      <w:r>
        <w:rPr>
          <w:rFonts w:hint="eastAsia" w:ascii="仿宋" w:hAnsi="仿宋" w:eastAsia="仿宋" w:cs="仿宋"/>
          <w:spacing w:val="-4"/>
          <w:sz w:val="31"/>
          <w:szCs w:val="31"/>
          <w:lang w:val="en-US" w:eastAsia="zh-CN"/>
        </w:rPr>
        <w:t>度</w:t>
      </w:r>
      <w:r>
        <w:rPr>
          <w:rFonts w:ascii="仿宋" w:hAnsi="仿宋" w:eastAsia="仿宋" w:cs="仿宋"/>
          <w:spacing w:val="-4"/>
          <w:sz w:val="31"/>
          <w:szCs w:val="31"/>
        </w:rPr>
        <w:t>均无国有资</w:t>
      </w:r>
      <w:r>
        <w:rPr>
          <w:rFonts w:ascii="仿宋" w:hAnsi="仿宋" w:eastAsia="仿宋" w:cs="仿宋"/>
          <w:spacing w:val="-1"/>
          <w:sz w:val="31"/>
          <w:szCs w:val="31"/>
        </w:rPr>
        <w:t>本经营预算财</w:t>
      </w:r>
      <w:r>
        <w:rPr>
          <w:rFonts w:ascii="仿宋" w:hAnsi="仿宋" w:eastAsia="仿宋" w:cs="仿宋"/>
          <w:sz w:val="31"/>
          <w:szCs w:val="31"/>
        </w:rPr>
        <w:t>政拨款收入</w:t>
      </w:r>
      <w:r>
        <w:rPr>
          <w:rFonts w:hint="eastAsia" w:ascii="仿宋_GB2312" w:hAnsi="Times New Roman" w:eastAsia="仿宋_GB2312" w:cs="仿宋_GB2312"/>
          <w:sz w:val="32"/>
          <w:szCs w:val="32"/>
        </w:rPr>
        <w:t>；</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仿宋_GB2312" w:hAnsi="Times New Roman" w:eastAsia="仿宋_GB2312" w:cs="仿宋_GB2312"/>
          <w:sz w:val="32"/>
          <w:szCs w:val="32"/>
          <w:lang w:val="en-US" w:eastAsia="zh-CN"/>
        </w:rPr>
        <w:t>与</w:t>
      </w:r>
      <w:r>
        <w:rPr>
          <w:rFonts w:hint="eastAsia" w:ascii="仿宋_GB2312" w:hAnsi="Times New Roman" w:eastAsia="仿宋_GB2312" w:cs="仿宋_GB2312"/>
          <w:sz w:val="32"/>
          <w:szCs w:val="32"/>
        </w:rPr>
        <w:t>上年</w:t>
      </w:r>
      <w:r>
        <w:rPr>
          <w:rFonts w:hint="eastAsia" w:ascii="仿宋_GB2312" w:hAnsi="Times New Roman" w:eastAsia="仿宋_GB2312" w:cs="仿宋_GB2312"/>
          <w:sz w:val="32"/>
          <w:szCs w:val="32"/>
          <w:lang w:val="en-US" w:eastAsia="zh-CN"/>
        </w:rPr>
        <w:t>相比无变化</w:t>
      </w:r>
      <w:r>
        <w:rPr>
          <w:rFonts w:hint="eastAsia" w:ascii="仿宋_GB2312" w:hAnsi="Times New Roman" w:eastAsia="仿宋_GB2312" w:cs="仿宋_GB2312"/>
          <w:sz w:val="32"/>
          <w:szCs w:val="32"/>
        </w:rPr>
        <w:t>，主要原因是</w:t>
      </w:r>
      <w:r>
        <w:rPr>
          <w:rFonts w:ascii="仿宋" w:hAnsi="仿宋" w:eastAsia="仿宋" w:cs="仿宋"/>
          <w:spacing w:val="-4"/>
          <w:sz w:val="31"/>
          <w:szCs w:val="31"/>
        </w:rPr>
        <w:t>202</w:t>
      </w:r>
      <w:r>
        <w:rPr>
          <w:rFonts w:hint="eastAsia" w:ascii="仿宋" w:hAnsi="仿宋" w:eastAsia="仿宋" w:cs="仿宋"/>
          <w:spacing w:val="-4"/>
          <w:sz w:val="31"/>
          <w:szCs w:val="31"/>
          <w:lang w:val="en-US" w:eastAsia="zh-CN"/>
        </w:rPr>
        <w:t>1</w:t>
      </w:r>
      <w:r>
        <w:rPr>
          <w:rFonts w:ascii="仿宋" w:hAnsi="仿宋" w:eastAsia="仿宋" w:cs="仿宋"/>
          <w:spacing w:val="-4"/>
          <w:sz w:val="31"/>
          <w:szCs w:val="31"/>
        </w:rPr>
        <w:t>年</w:t>
      </w:r>
      <w:r>
        <w:rPr>
          <w:rFonts w:hint="eastAsia" w:ascii="仿宋" w:hAnsi="仿宋" w:eastAsia="仿宋" w:cs="仿宋"/>
          <w:spacing w:val="-4"/>
          <w:sz w:val="31"/>
          <w:szCs w:val="31"/>
          <w:lang w:val="en-US" w:eastAsia="zh-CN"/>
        </w:rPr>
        <w:t>度</w:t>
      </w:r>
      <w:r>
        <w:rPr>
          <w:rFonts w:ascii="仿宋" w:hAnsi="仿宋" w:eastAsia="仿宋" w:cs="仿宋"/>
          <w:spacing w:val="-4"/>
          <w:sz w:val="31"/>
          <w:szCs w:val="31"/>
        </w:rPr>
        <w:t>、202</w:t>
      </w:r>
      <w:r>
        <w:rPr>
          <w:rFonts w:hint="eastAsia" w:ascii="仿宋" w:hAnsi="仿宋" w:eastAsia="仿宋" w:cs="仿宋"/>
          <w:spacing w:val="-4"/>
          <w:sz w:val="31"/>
          <w:szCs w:val="31"/>
          <w:lang w:val="en-US" w:eastAsia="zh-CN"/>
        </w:rPr>
        <w:t>2</w:t>
      </w:r>
      <w:r>
        <w:rPr>
          <w:rFonts w:ascii="仿宋" w:hAnsi="仿宋" w:eastAsia="仿宋" w:cs="仿宋"/>
          <w:spacing w:val="-4"/>
          <w:sz w:val="31"/>
          <w:szCs w:val="31"/>
        </w:rPr>
        <w:t>年</w:t>
      </w:r>
      <w:r>
        <w:rPr>
          <w:rFonts w:hint="eastAsia" w:ascii="仿宋" w:hAnsi="仿宋" w:eastAsia="仿宋" w:cs="仿宋"/>
          <w:spacing w:val="-4"/>
          <w:sz w:val="31"/>
          <w:szCs w:val="31"/>
          <w:lang w:val="en-US" w:eastAsia="zh-CN"/>
        </w:rPr>
        <w:t>度</w:t>
      </w:r>
      <w:r>
        <w:rPr>
          <w:rFonts w:ascii="仿宋" w:hAnsi="仿宋" w:eastAsia="仿宋" w:cs="仿宋"/>
          <w:spacing w:val="-4"/>
          <w:sz w:val="31"/>
          <w:szCs w:val="31"/>
        </w:rPr>
        <w:t>均无国有资</w:t>
      </w:r>
      <w:r>
        <w:rPr>
          <w:rFonts w:ascii="仿宋" w:hAnsi="仿宋" w:eastAsia="仿宋" w:cs="仿宋"/>
          <w:spacing w:val="-1"/>
          <w:sz w:val="31"/>
          <w:szCs w:val="31"/>
        </w:rPr>
        <w:t>本经营预算财</w:t>
      </w:r>
      <w:r>
        <w:rPr>
          <w:rFonts w:ascii="仿宋" w:hAnsi="仿宋" w:eastAsia="仿宋" w:cs="仿宋"/>
          <w:sz w:val="31"/>
          <w:szCs w:val="31"/>
        </w:rPr>
        <w:t>政拨款</w:t>
      </w:r>
      <w:r>
        <w:rPr>
          <w:rFonts w:hint="eastAsia" w:ascii="仿宋" w:hAnsi="仿宋" w:eastAsia="仿宋" w:cs="仿宋"/>
          <w:sz w:val="31"/>
          <w:szCs w:val="31"/>
          <w:lang w:val="en-US" w:eastAsia="zh-CN"/>
        </w:rPr>
        <w:t>支出</w:t>
      </w:r>
      <w:r>
        <w:rPr>
          <w:rFonts w:hint="eastAsia" w:ascii="仿宋_GB2312" w:hAnsi="Times New Roman" w:eastAsia="仿宋_GB2312" w:cs="仿宋_GB2312"/>
          <w:sz w:val="32"/>
          <w:szCs w:val="32"/>
        </w:rPr>
        <w:t>。</w:t>
      </w:r>
    </w:p>
    <w:p>
      <w:pPr>
        <w:pStyle w:val="10"/>
        <w:widowControl/>
        <w:spacing w:beforeAutospacing="0" w:afterAutospacing="0"/>
        <w:rPr>
          <w:rFonts w:ascii="Times New Roman" w:hAnsi="Times New Roman" w:eastAsia="仿宋_GB2312"/>
          <w:sz w:val="32"/>
          <w:szCs w:val="32"/>
          <w:highlight w:val="yellow"/>
        </w:rPr>
      </w:pPr>
    </w:p>
    <w:p>
      <w:pPr>
        <w:pStyle w:val="10"/>
        <w:widowControl/>
        <w:spacing w:beforeAutospacing="0" w:afterAutospacing="0"/>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15240" b="1714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snapToGrid w:val="0"/>
        <w:spacing w:line="580" w:lineRule="exact"/>
        <w:rPr>
          <w:rFonts w:ascii="Times New Roman" w:hAnsi="Times New Roman" w:eastAsia="楷体_GB2312" w:cs="Times New Roman"/>
          <w:b/>
          <w:bCs/>
          <w:kern w:val="2"/>
          <w:sz w:val="32"/>
          <w:szCs w:val="32"/>
        </w:rPr>
      </w:pPr>
    </w:p>
    <w:p>
      <w:pPr>
        <w:snapToGrid w:val="0"/>
        <w:spacing w:line="580" w:lineRule="exact"/>
        <w:rPr>
          <w:rFonts w:ascii="Times New Roman" w:hAnsi="Times New Roman" w:eastAsia="楷体_GB2312" w:cs="Times New Roman"/>
          <w:b/>
          <w:bCs/>
          <w:kern w:val="2"/>
          <w:sz w:val="32"/>
          <w:szCs w:val="32"/>
        </w:rPr>
      </w:pPr>
    </w:p>
    <w:p>
      <w:pPr>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480" w:firstLineChars="200"/>
        <w:jc w:val="left"/>
        <w:rPr>
          <w:rFonts w:hint="default" w:ascii="Times New Roman" w:hAnsi="Times New Roman" w:eastAsia="仿宋_GB2312" w:cs="Times New Roman"/>
          <w:kern w:val="2"/>
          <w:sz w:val="32"/>
          <w:szCs w:val="32"/>
          <w:lang w:val="zh-CN"/>
        </w:rPr>
      </w:pPr>
      <w:r>
        <w:drawing>
          <wp:anchor distT="0" distB="0" distL="114300" distR="114300" simplePos="0" relativeHeight="251671552" behindDoc="0" locked="0" layoutInCell="1" allowOverlap="1">
            <wp:simplePos x="0" y="0"/>
            <wp:positionH relativeFrom="column">
              <wp:posOffset>255270</wp:posOffset>
            </wp:positionH>
            <wp:positionV relativeFrom="paragraph">
              <wp:posOffset>2705100</wp:posOffset>
            </wp:positionV>
            <wp:extent cx="4826000" cy="2743200"/>
            <wp:effectExtent l="4445" t="4445" r="8255" b="14605"/>
            <wp:wrapTopAndBottom/>
            <wp:docPr id="2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年度财政拨款本年收入4,022.91万元，完成年初预算的108.63%，比年初预算</w:t>
      </w:r>
      <w:r>
        <w:rPr>
          <w:rFonts w:hint="eastAsia" w:ascii="Times New Roman" w:hAnsi="Times New Roman" w:eastAsia="仿宋_GB2312" w:cs="Times New Roman"/>
          <w:sz w:val="30"/>
          <w:szCs w:val="30"/>
          <w:highlight w:val="none"/>
          <w:lang w:val="zh-CN"/>
        </w:rPr>
        <w:t>增加319.46万元</w:t>
      </w:r>
      <w:r>
        <w:rPr>
          <w:rFonts w:hint="default" w:ascii="Times New Roman" w:hAnsi="Times New Roman" w:eastAsia="仿宋_GB2312" w:cs="Times New Roman"/>
          <w:color w:val="auto"/>
          <w:kern w:val="2"/>
          <w:sz w:val="32"/>
          <w:szCs w:val="32"/>
          <w:lang w:val="zh-CN" w:eastAsia="zh-CN" w:bidi="ar-SA"/>
        </w:rPr>
        <w:t>，决算数大于预算数主要原因是</w:t>
      </w:r>
      <w:r>
        <w:rPr>
          <w:rFonts w:hint="eastAsia" w:ascii="Times New Roman" w:hAnsi="Times New Roman" w:eastAsia="仿宋_GB2312" w:cs="Times New Roman"/>
          <w:color w:val="auto"/>
          <w:kern w:val="2"/>
          <w:sz w:val="32"/>
          <w:szCs w:val="32"/>
          <w:lang w:val="en-US" w:eastAsia="zh-CN" w:bidi="ar-SA"/>
        </w:rPr>
        <w:t>追加</w:t>
      </w:r>
      <w:r>
        <w:rPr>
          <w:rFonts w:hint="default" w:ascii="Times New Roman" w:hAnsi="Times New Roman" w:eastAsia="仿宋_GB2312" w:cs="Times New Roman"/>
          <w:color w:val="auto"/>
          <w:kern w:val="2"/>
          <w:sz w:val="32"/>
          <w:szCs w:val="32"/>
          <w:lang w:val="zh-CN" w:eastAsia="zh-CN" w:bidi="ar-SA"/>
        </w:rPr>
        <w:t>农村生活垃圾清理资金</w:t>
      </w:r>
      <w:r>
        <w:rPr>
          <w:rFonts w:hint="eastAsia" w:ascii="Times New Roman" w:hAnsi="Times New Roman" w:eastAsia="仿宋_GB2312" w:cs="Times New Roman"/>
          <w:color w:val="auto"/>
          <w:kern w:val="2"/>
          <w:sz w:val="32"/>
          <w:szCs w:val="32"/>
          <w:lang w:val="zh-CN" w:eastAsia="zh-CN" w:bidi="ar-SA"/>
        </w:rPr>
        <w:t>、大河物流周边整治提升</w:t>
      </w:r>
      <w:r>
        <w:rPr>
          <w:rFonts w:hint="eastAsia" w:ascii="Times New Roman" w:hAnsi="Times New Roman" w:eastAsia="仿宋_GB2312" w:cs="Times New Roman"/>
          <w:color w:val="auto"/>
          <w:kern w:val="2"/>
          <w:sz w:val="32"/>
          <w:szCs w:val="32"/>
          <w:lang w:val="en-US" w:eastAsia="zh-CN" w:bidi="ar-SA"/>
        </w:rPr>
        <w:t>等项目</w:t>
      </w:r>
      <w:r>
        <w:rPr>
          <w:rFonts w:hint="default" w:ascii="Times New Roman" w:hAnsi="Times New Roman" w:eastAsia="仿宋_GB2312" w:cs="Times New Roman"/>
          <w:color w:val="auto"/>
          <w:kern w:val="2"/>
          <w:sz w:val="32"/>
          <w:szCs w:val="32"/>
          <w:lang w:val="zh-CN" w:eastAsia="zh-CN" w:bidi="ar-SA"/>
        </w:rPr>
        <w:t>；本年支出4,022.91万元，完成年初预算的108.63%，比年初预算</w:t>
      </w:r>
      <w:r>
        <w:rPr>
          <w:rFonts w:hint="eastAsia" w:ascii="Times New Roman" w:hAnsi="Times New Roman" w:eastAsia="仿宋_GB2312" w:cs="Times New Roman"/>
          <w:sz w:val="30"/>
          <w:szCs w:val="30"/>
          <w:highlight w:val="none"/>
          <w:lang w:val="zh-CN"/>
        </w:rPr>
        <w:t>增加319.46万元</w:t>
      </w:r>
      <w:r>
        <w:rPr>
          <w:rFonts w:hint="default" w:ascii="Times New Roman" w:hAnsi="Times New Roman" w:eastAsia="仿宋_GB2312" w:cs="Times New Roman"/>
          <w:color w:val="auto"/>
          <w:kern w:val="2"/>
          <w:sz w:val="32"/>
          <w:szCs w:val="32"/>
          <w:lang w:val="zh-CN" w:eastAsia="zh-CN" w:bidi="ar-SA"/>
        </w:rPr>
        <w:t>，决算数</w:t>
      </w:r>
      <w:r>
        <w:rPr>
          <w:rFonts w:hint="default" w:ascii="Times New Roman" w:hAnsi="Times New Roman" w:eastAsia="仿宋_GB2312" w:cs="Times New Roman"/>
          <w:kern w:val="2"/>
          <w:sz w:val="32"/>
          <w:szCs w:val="32"/>
          <w:lang w:val="zh-CN"/>
        </w:rPr>
        <w:t>大于预算数主要原因是</w:t>
      </w:r>
      <w:r>
        <w:rPr>
          <w:rFonts w:hint="eastAsia" w:ascii="Times New Roman" w:hAnsi="Times New Roman" w:eastAsia="仿宋_GB2312" w:cs="Times New Roman"/>
          <w:color w:val="auto"/>
          <w:kern w:val="2"/>
          <w:sz w:val="32"/>
          <w:szCs w:val="32"/>
          <w:lang w:val="en-US" w:eastAsia="zh-CN" w:bidi="ar-SA"/>
        </w:rPr>
        <w:t>追加</w:t>
      </w:r>
      <w:r>
        <w:rPr>
          <w:rFonts w:hint="default" w:ascii="Times New Roman" w:hAnsi="Times New Roman" w:eastAsia="仿宋_GB2312" w:cs="Times New Roman"/>
          <w:color w:val="auto"/>
          <w:kern w:val="2"/>
          <w:sz w:val="32"/>
          <w:szCs w:val="32"/>
          <w:lang w:val="zh-CN" w:eastAsia="zh-CN" w:bidi="ar-SA"/>
        </w:rPr>
        <w:t>农村生活垃圾清理资金</w:t>
      </w:r>
      <w:r>
        <w:rPr>
          <w:rFonts w:hint="eastAsia" w:ascii="Times New Roman" w:hAnsi="Times New Roman" w:eastAsia="仿宋_GB2312" w:cs="Times New Roman"/>
          <w:color w:val="auto"/>
          <w:kern w:val="2"/>
          <w:sz w:val="32"/>
          <w:szCs w:val="32"/>
          <w:lang w:val="zh-CN" w:eastAsia="zh-CN" w:bidi="ar-SA"/>
        </w:rPr>
        <w:t>、大河物流周边整治提升</w:t>
      </w:r>
      <w:r>
        <w:rPr>
          <w:rFonts w:hint="eastAsia" w:ascii="Times New Roman" w:hAnsi="Times New Roman" w:eastAsia="仿宋_GB2312" w:cs="Times New Roman"/>
          <w:color w:val="auto"/>
          <w:kern w:val="2"/>
          <w:sz w:val="32"/>
          <w:szCs w:val="32"/>
          <w:lang w:val="en-US" w:eastAsia="zh-CN" w:bidi="ar-SA"/>
        </w:rPr>
        <w:t>等项目</w:t>
      </w:r>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p>
    <w:p>
      <w:pPr>
        <w:numPr>
          <w:ilvl w:val="0"/>
          <w:numId w:val="3"/>
        </w:num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收入4,001.31万元，完成年初预算的 114.66%，比年初预算</w:t>
      </w:r>
      <w:r>
        <w:rPr>
          <w:rFonts w:hint="eastAsia" w:ascii="Times New Roman" w:hAnsi="Times New Roman" w:eastAsia="仿宋_GB2312" w:cs="Times New Roman"/>
          <w:sz w:val="30"/>
          <w:szCs w:val="30"/>
          <w:highlight w:val="none"/>
          <w:lang w:val="zh-CN"/>
        </w:rPr>
        <w:t>增加511.61万元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en-US" w:eastAsia="zh-CN" w:bidi="ar-SA"/>
        </w:rPr>
        <w:t>追加</w:t>
      </w:r>
      <w:r>
        <w:rPr>
          <w:rFonts w:hint="default" w:ascii="Times New Roman" w:hAnsi="Times New Roman" w:eastAsia="仿宋_GB2312" w:cs="Times New Roman"/>
          <w:color w:val="auto"/>
          <w:kern w:val="2"/>
          <w:sz w:val="32"/>
          <w:szCs w:val="32"/>
          <w:lang w:val="zh-CN" w:eastAsia="zh-CN" w:bidi="ar-SA"/>
        </w:rPr>
        <w:t>农村生活垃圾清理资金</w:t>
      </w:r>
      <w:r>
        <w:rPr>
          <w:rFonts w:hint="eastAsia" w:ascii="Times New Roman" w:hAnsi="Times New Roman" w:eastAsia="仿宋_GB2312" w:cs="Times New Roman"/>
          <w:color w:val="auto"/>
          <w:kern w:val="2"/>
          <w:sz w:val="32"/>
          <w:szCs w:val="32"/>
          <w:lang w:val="zh-CN" w:eastAsia="zh-CN" w:bidi="ar-SA"/>
        </w:rPr>
        <w:t>、大河物流周边整治提升</w:t>
      </w:r>
      <w:r>
        <w:rPr>
          <w:rFonts w:hint="eastAsia" w:ascii="Times New Roman" w:hAnsi="Times New Roman" w:eastAsia="仿宋_GB2312" w:cs="Times New Roman"/>
          <w:color w:val="auto"/>
          <w:kern w:val="2"/>
          <w:sz w:val="32"/>
          <w:szCs w:val="32"/>
          <w:lang w:val="en-US" w:eastAsia="zh-CN" w:bidi="ar-SA"/>
        </w:rPr>
        <w:t>等项目</w:t>
      </w:r>
      <w:r>
        <w:rPr>
          <w:rFonts w:hint="default" w:ascii="Times New Roman" w:hAnsi="Times New Roman" w:eastAsia="仿宋_GB2312" w:cs="Times New Roman"/>
          <w:kern w:val="2"/>
          <w:sz w:val="32"/>
          <w:szCs w:val="32"/>
          <w:lang w:val="zh-CN"/>
        </w:rPr>
        <w:t>；本年支出4,001.31万元，完成年初预算的114.66%，比年初预算</w:t>
      </w:r>
      <w:r>
        <w:rPr>
          <w:rFonts w:hint="eastAsia" w:ascii="Times New Roman" w:hAnsi="Times New Roman" w:eastAsia="仿宋_GB2312" w:cs="Times New Roman"/>
          <w:sz w:val="30"/>
          <w:szCs w:val="30"/>
          <w:highlight w:val="none"/>
          <w:lang w:val="zh-CN"/>
        </w:rPr>
        <w:t>增加511.61万元</w:t>
      </w:r>
      <w:r>
        <w:rPr>
          <w:rFonts w:hint="default"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color w:val="auto"/>
          <w:kern w:val="2"/>
          <w:sz w:val="32"/>
          <w:szCs w:val="32"/>
          <w:lang w:val="en-US" w:eastAsia="zh-CN" w:bidi="ar-SA"/>
        </w:rPr>
        <w:t>追加</w:t>
      </w:r>
      <w:r>
        <w:rPr>
          <w:rFonts w:hint="default" w:ascii="Times New Roman" w:hAnsi="Times New Roman" w:eastAsia="仿宋_GB2312" w:cs="Times New Roman"/>
          <w:color w:val="auto"/>
          <w:kern w:val="2"/>
          <w:sz w:val="32"/>
          <w:szCs w:val="32"/>
          <w:lang w:val="zh-CN" w:eastAsia="zh-CN" w:bidi="ar-SA"/>
        </w:rPr>
        <w:t>农村生活垃圾清理资金</w:t>
      </w:r>
      <w:r>
        <w:rPr>
          <w:rFonts w:hint="eastAsia" w:ascii="Times New Roman" w:hAnsi="Times New Roman" w:eastAsia="仿宋_GB2312" w:cs="Times New Roman"/>
          <w:color w:val="auto"/>
          <w:kern w:val="2"/>
          <w:sz w:val="32"/>
          <w:szCs w:val="32"/>
          <w:lang w:val="zh-CN" w:eastAsia="zh-CN" w:bidi="ar-SA"/>
        </w:rPr>
        <w:t>、大河物流周边整治提升</w:t>
      </w:r>
      <w:r>
        <w:rPr>
          <w:rFonts w:hint="eastAsia" w:ascii="Times New Roman" w:hAnsi="Times New Roman" w:eastAsia="仿宋_GB2312" w:cs="Times New Roman"/>
          <w:color w:val="auto"/>
          <w:kern w:val="2"/>
          <w:sz w:val="32"/>
          <w:szCs w:val="32"/>
          <w:lang w:val="en-US" w:eastAsia="zh-CN" w:bidi="ar-SA"/>
        </w:rPr>
        <w:t>等项目</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480" w:firstLineChars="200"/>
        <w:jc w:val="left"/>
        <w:rPr>
          <w:rFonts w:ascii="Times New Roman" w:hAnsi="Times New Roman" w:eastAsia="仿宋_GB2312" w:cs="Times New Roman"/>
          <w:kern w:val="2"/>
          <w:sz w:val="32"/>
          <w:szCs w:val="32"/>
          <w:lang w:val="zh-CN"/>
        </w:rPr>
      </w:pPr>
      <w:r>
        <w:drawing>
          <wp:anchor distT="0" distB="0" distL="114300" distR="114300" simplePos="0" relativeHeight="251672576" behindDoc="0" locked="0" layoutInCell="1" allowOverlap="1">
            <wp:simplePos x="0" y="0"/>
            <wp:positionH relativeFrom="column">
              <wp:posOffset>341630</wp:posOffset>
            </wp:positionH>
            <wp:positionV relativeFrom="page">
              <wp:posOffset>299720</wp:posOffset>
            </wp:positionV>
            <wp:extent cx="4826000" cy="2743200"/>
            <wp:effectExtent l="4445" t="4445" r="8255" b="14605"/>
            <wp:wrapTopAndBottom/>
            <wp:docPr id="2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pPr>
        <w:numPr>
          <w:ilvl w:val="0"/>
          <w:numId w:val="3"/>
        </w:numPr>
        <w:autoSpaceDE w:val="0"/>
        <w:autoSpaceDN w:val="0"/>
        <w:adjustRightInd w:val="0"/>
        <w:spacing w:line="580" w:lineRule="exact"/>
        <w:ind w:left="0" w:leftChars="0" w:firstLine="480" w:firstLineChars="200"/>
        <w:jc w:val="left"/>
        <w:rPr>
          <w:rFonts w:hint="default" w:ascii="Times New Roman" w:hAnsi="Times New Roman" w:eastAsia="仿宋_GB2312" w:cs="Times New Roman"/>
          <w:kern w:val="2"/>
          <w:sz w:val="32"/>
          <w:szCs w:val="32"/>
          <w:lang w:val="zh-CN"/>
        </w:rPr>
      </w:pPr>
      <w:r>
        <w:drawing>
          <wp:anchor distT="0" distB="0" distL="114300" distR="114300" simplePos="0" relativeHeight="251673600" behindDoc="0" locked="0" layoutInCell="1" allowOverlap="1">
            <wp:simplePos x="0" y="0"/>
            <wp:positionH relativeFrom="column">
              <wp:posOffset>325120</wp:posOffset>
            </wp:positionH>
            <wp:positionV relativeFrom="paragraph">
              <wp:posOffset>2892425</wp:posOffset>
            </wp:positionV>
            <wp:extent cx="4826000" cy="2743200"/>
            <wp:effectExtent l="4445" t="4445" r="8255" b="14605"/>
            <wp:wrapTopAndBottom/>
            <wp:docPr id="1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rFonts w:hint="default" w:ascii="Times New Roman" w:hAnsi="Times New Roman" w:eastAsia="仿宋_GB2312" w:cs="Times New Roman"/>
          <w:kern w:val="2"/>
          <w:sz w:val="32"/>
          <w:szCs w:val="32"/>
          <w:lang w:val="zh-CN"/>
        </w:rPr>
        <w:t>政府性基金预算财政拨款本年收入21.6万元，完成年初预算的10.11%，比年初预算</w:t>
      </w:r>
      <w:r>
        <w:rPr>
          <w:rFonts w:hint="eastAsia" w:ascii="Times New Roman" w:hAnsi="Times New Roman" w:eastAsia="仿宋_GB2312" w:cs="Times New Roman"/>
          <w:sz w:val="30"/>
          <w:szCs w:val="30"/>
          <w:highlight w:val="none"/>
          <w:lang w:val="zh-CN"/>
        </w:rPr>
        <w:t>减少192.15万元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en-US" w:eastAsia="zh-CN"/>
        </w:rPr>
        <w:t>减少2023年区级鹿泉大河路照明工程、2023年区级故城旧工业区拆迁评估费等项目</w:t>
      </w:r>
      <w:r>
        <w:rPr>
          <w:rFonts w:hint="default" w:ascii="Times New Roman" w:hAnsi="Times New Roman" w:eastAsia="仿宋_GB2312" w:cs="Times New Roman"/>
          <w:kern w:val="2"/>
          <w:sz w:val="32"/>
          <w:szCs w:val="32"/>
          <w:lang w:val="zh-CN"/>
        </w:rPr>
        <w:t>；本年支出21.6万元，完成年初预算的10.11%，比年初预算</w:t>
      </w:r>
      <w:r>
        <w:rPr>
          <w:rFonts w:hint="eastAsia" w:ascii="Times New Roman" w:hAnsi="Times New Roman" w:eastAsia="仿宋_GB2312" w:cs="Times New Roman"/>
          <w:sz w:val="30"/>
          <w:szCs w:val="30"/>
          <w:highlight w:val="none"/>
          <w:lang w:val="zh-CN"/>
        </w:rPr>
        <w:t>减少192.15万元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en-US" w:eastAsia="zh-CN"/>
        </w:rPr>
        <w:t>减少2023年区级鹿泉大河路照明工程、2023年区级故城旧工业区拆迁评估费等项目</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p>
    <w:p>
      <w:pPr>
        <w:spacing w:before="195" w:line="346" w:lineRule="auto"/>
        <w:ind w:right="87" w:firstLine="637"/>
        <w:rPr>
          <w:rFonts w:ascii="仿宋" w:hAnsi="仿宋" w:eastAsia="仿宋" w:cs="仿宋"/>
          <w:sz w:val="31"/>
          <w:szCs w:val="31"/>
        </w:rPr>
      </w:pPr>
      <w:r>
        <w:rPr>
          <w:rFonts w:ascii="Times New Roman" w:hAnsi="Times New Roman" w:eastAsia="仿宋_GB2312" w:cs="Times New Roman"/>
          <w:kern w:val="2"/>
          <w:sz w:val="32"/>
          <w:szCs w:val="32"/>
          <w:lang w:val="zh-CN"/>
        </w:rPr>
        <w:t xml:space="preserve">3. </w:t>
      </w:r>
      <w:r>
        <w:rPr>
          <w:rFonts w:ascii="仿宋" w:hAnsi="仿宋" w:eastAsia="仿宋" w:cs="仿宋"/>
          <w:spacing w:val="-2"/>
          <w:sz w:val="31"/>
          <w:szCs w:val="31"/>
        </w:rPr>
        <w:t>国</w:t>
      </w:r>
      <w:r>
        <w:rPr>
          <w:rFonts w:ascii="仿宋" w:hAnsi="仿宋" w:eastAsia="仿宋" w:cs="仿宋"/>
          <w:spacing w:val="-1"/>
          <w:sz w:val="31"/>
          <w:szCs w:val="31"/>
        </w:rPr>
        <w:t>有资本经营预算财政拨款本年收入 0 万元，完成年初预</w:t>
      </w:r>
      <w:r>
        <w:rPr>
          <w:rFonts w:ascii="仿宋" w:hAnsi="仿宋" w:eastAsia="仿宋" w:cs="仿宋"/>
          <w:sz w:val="31"/>
          <w:szCs w:val="31"/>
        </w:rPr>
        <w:t xml:space="preserve"> </w:t>
      </w:r>
      <w:r>
        <w:rPr>
          <w:rFonts w:ascii="仿宋" w:hAnsi="仿宋" w:eastAsia="仿宋" w:cs="仿宋"/>
          <w:spacing w:val="-1"/>
          <w:sz w:val="31"/>
          <w:szCs w:val="31"/>
        </w:rPr>
        <w:t>算 0%， 比年初预算增加 0</w:t>
      </w:r>
      <w:r>
        <w:rPr>
          <w:rFonts w:ascii="仿宋" w:hAnsi="仿宋" w:eastAsia="仿宋" w:cs="仿宋"/>
          <w:sz w:val="31"/>
          <w:szCs w:val="31"/>
        </w:rPr>
        <w:t xml:space="preserve"> 万元，主要原因是本年没有国有资本 </w:t>
      </w:r>
      <w:r>
        <w:rPr>
          <w:rFonts w:ascii="仿宋" w:hAnsi="仿宋" w:eastAsia="仿宋" w:cs="仿宋"/>
          <w:spacing w:val="8"/>
          <w:sz w:val="31"/>
          <w:szCs w:val="31"/>
        </w:rPr>
        <w:t>经营预算</w:t>
      </w:r>
      <w:r>
        <w:rPr>
          <w:rFonts w:ascii="仿宋" w:hAnsi="仿宋" w:eastAsia="仿宋" w:cs="仿宋"/>
          <w:spacing w:val="6"/>
          <w:sz w:val="31"/>
          <w:szCs w:val="31"/>
        </w:rPr>
        <w:t>财</w:t>
      </w:r>
      <w:r>
        <w:rPr>
          <w:rFonts w:ascii="仿宋" w:hAnsi="仿宋" w:eastAsia="仿宋" w:cs="仿宋"/>
          <w:spacing w:val="4"/>
          <w:sz w:val="31"/>
          <w:szCs w:val="31"/>
        </w:rPr>
        <w:t>政拨款收入；本年支出 0 万元，完成年初预算 0%，</w:t>
      </w:r>
      <w:r>
        <w:rPr>
          <w:rFonts w:ascii="仿宋" w:hAnsi="仿宋" w:eastAsia="仿宋" w:cs="仿宋"/>
          <w:sz w:val="31"/>
          <w:szCs w:val="31"/>
        </w:rPr>
        <w:t xml:space="preserve"> </w:t>
      </w:r>
      <w:r>
        <w:rPr>
          <w:rFonts w:ascii="仿宋" w:hAnsi="仿宋" w:eastAsia="仿宋" w:cs="仿宋"/>
          <w:spacing w:val="-1"/>
          <w:sz w:val="31"/>
          <w:szCs w:val="31"/>
        </w:rPr>
        <w:t>比年初预算增加 0 万元，</w:t>
      </w:r>
      <w:r>
        <w:rPr>
          <w:rFonts w:ascii="仿宋" w:hAnsi="仿宋" w:eastAsia="仿宋" w:cs="仿宋"/>
          <w:sz w:val="31"/>
          <w:szCs w:val="31"/>
        </w:rPr>
        <w:t xml:space="preserve">主要原因是本年没有国有资本经营预算 </w:t>
      </w:r>
      <w:r>
        <w:rPr>
          <w:rFonts w:ascii="仿宋" w:hAnsi="仿宋" w:eastAsia="仿宋" w:cs="仿宋"/>
          <w:spacing w:val="8"/>
          <w:sz w:val="31"/>
          <w:szCs w:val="31"/>
        </w:rPr>
        <w:t>财</w:t>
      </w:r>
      <w:r>
        <w:rPr>
          <w:rFonts w:ascii="仿宋" w:hAnsi="仿宋" w:eastAsia="仿宋" w:cs="仿宋"/>
          <w:spacing w:val="5"/>
          <w:sz w:val="31"/>
          <w:szCs w:val="31"/>
        </w:rPr>
        <w:t>政拨款支出。</w:t>
      </w:r>
    </w:p>
    <w:p>
      <w:pPr>
        <w:pStyle w:val="10"/>
        <w:widowControl/>
        <w:spacing w:beforeAutospacing="0" w:afterAutospacing="0"/>
        <w:rPr>
          <w:rFonts w:ascii="Times New Roman" w:hAnsi="Times New Roman" w:eastAsia="仿宋_GB2312"/>
          <w:sz w:val="32"/>
          <w:szCs w:val="32"/>
          <w:highlight w:val="yellow"/>
        </w:rPr>
      </w:pPr>
    </w:p>
    <w:p>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pStyle w:val="10"/>
        <w:widowControl/>
        <w:numPr>
          <w:ilvl w:val="0"/>
          <w:numId w:val="4"/>
        </w:numPr>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财政拨款支出决算结构情况</w:t>
      </w:r>
    </w:p>
    <w:p>
      <w:pPr>
        <w:pStyle w:val="10"/>
        <w:widowControl/>
        <w:spacing w:beforeAutospacing="0" w:afterAutospacing="0"/>
        <w:rPr>
          <w:rFonts w:ascii="仿宋" w:hAnsi="仿宋" w:eastAsia="仿宋" w:cs="仿宋"/>
          <w:spacing w:val="8"/>
          <w:sz w:val="31"/>
          <w:szCs w:val="31"/>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w:t>
      </w:r>
      <w:r>
        <w:rPr>
          <w:rFonts w:hint="eastAsia" w:ascii="Times New Roman" w:hAnsi="Times New Roman" w:eastAsia="仿宋_GB2312" w:cs="Times New Roman"/>
          <w:kern w:val="2"/>
          <w:sz w:val="32"/>
          <w:szCs w:val="32"/>
          <w:lang w:val="en-US" w:eastAsia="zh-CN"/>
        </w:rPr>
        <w:tab/>
      </w:r>
      <w:r>
        <w:rPr>
          <w:rFonts w:hint="default" w:ascii="Times New Roman" w:hAnsi="Times New Roman" w:eastAsia="仿宋_GB2312" w:cs="Times New Roman"/>
          <w:kern w:val="2"/>
          <w:sz w:val="32"/>
          <w:szCs w:val="32"/>
          <w:lang w:val="zh-CN"/>
        </w:rPr>
        <w:t>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年度财政拨款支出4,022.91万元，主要用于以下方面：</w:t>
      </w:r>
      <w:r>
        <w:rPr>
          <w:rFonts w:hint="default" w:ascii="Times New Roman" w:hAnsi="Times New Roman" w:eastAsia="仿宋_GB2312" w:cs="Times New Roman"/>
          <w:color w:val="auto"/>
          <w:kern w:val="2"/>
          <w:sz w:val="32"/>
          <w:szCs w:val="32"/>
          <w:lang w:val="zh-CN" w:eastAsia="zh-CN" w:bidi="ar-SA"/>
        </w:rPr>
        <w:t>一般公共服务（类）支出1,617.05万元，占40.2%</w:t>
      </w:r>
      <w:r>
        <w:rPr>
          <w:rFonts w:hint="eastAsia" w:ascii="Times New Roman" w:hAnsi="Times New Roman" w:eastAsia="仿宋_GB2312" w:cs="Times New Roman"/>
          <w:color w:val="auto"/>
          <w:kern w:val="2"/>
          <w:sz w:val="32"/>
          <w:szCs w:val="32"/>
          <w:lang w:val="zh-CN" w:eastAsia="zh-CN" w:bidi="ar-SA"/>
        </w:rPr>
        <w:t>，</w:t>
      </w:r>
      <w:r>
        <w:rPr>
          <w:rFonts w:ascii="仿宋" w:hAnsi="仿宋" w:eastAsia="仿宋" w:cs="仿宋"/>
          <w:spacing w:val="-1"/>
          <w:sz w:val="31"/>
          <w:szCs w:val="31"/>
        </w:rPr>
        <w:t>主要用于机</w:t>
      </w:r>
      <w:r>
        <w:rPr>
          <w:rFonts w:ascii="仿宋" w:hAnsi="仿宋" w:eastAsia="仿宋" w:cs="仿宋"/>
          <w:sz w:val="31"/>
          <w:szCs w:val="31"/>
        </w:rPr>
        <w:t xml:space="preserve"> </w:t>
      </w:r>
      <w:r>
        <w:rPr>
          <w:rFonts w:ascii="仿宋" w:hAnsi="仿宋" w:eastAsia="仿宋" w:cs="仿宋"/>
          <w:spacing w:val="5"/>
          <w:sz w:val="31"/>
          <w:szCs w:val="31"/>
        </w:rPr>
        <w:t>关人员工资、社保经费，机关公用经费及信访事务等支出</w:t>
      </w:r>
      <w:r>
        <w:rPr>
          <w:rFonts w:hint="default" w:ascii="Times New Roman" w:hAnsi="Times New Roman" w:eastAsia="仿宋_GB2312" w:cs="Times New Roman"/>
          <w:color w:val="auto"/>
          <w:kern w:val="2"/>
          <w:sz w:val="32"/>
          <w:szCs w:val="32"/>
          <w:lang w:val="zh-CN" w:eastAsia="zh-CN" w:bidi="ar-SA"/>
        </w:rPr>
        <w:t>；教育（类）支出261.91万元，占6.51%</w:t>
      </w:r>
      <w:r>
        <w:rPr>
          <w:rFonts w:hint="eastAsia" w:ascii="Times New Roman" w:hAnsi="Times New Roman" w:eastAsia="仿宋_GB2312" w:cs="Times New Roman"/>
          <w:color w:val="auto"/>
          <w:kern w:val="2"/>
          <w:sz w:val="32"/>
          <w:szCs w:val="32"/>
          <w:lang w:val="zh-CN" w:eastAsia="zh-CN" w:bidi="ar-SA"/>
        </w:rPr>
        <w:t>，</w:t>
      </w:r>
      <w:r>
        <w:rPr>
          <w:rFonts w:ascii="仿宋" w:hAnsi="仿宋" w:eastAsia="仿宋" w:cs="仿宋"/>
          <w:spacing w:val="-4"/>
          <w:sz w:val="31"/>
          <w:szCs w:val="31"/>
        </w:rPr>
        <w:t>主要用于学</w:t>
      </w:r>
      <w:r>
        <w:rPr>
          <w:rFonts w:ascii="仿宋" w:hAnsi="仿宋" w:eastAsia="仿宋" w:cs="仿宋"/>
          <w:spacing w:val="-11"/>
          <w:sz w:val="31"/>
          <w:szCs w:val="31"/>
        </w:rPr>
        <w:t>校</w:t>
      </w:r>
      <w:r>
        <w:rPr>
          <w:rFonts w:ascii="仿宋" w:hAnsi="仿宋" w:eastAsia="仿宋" w:cs="仿宋"/>
          <w:spacing w:val="-7"/>
          <w:sz w:val="31"/>
          <w:szCs w:val="31"/>
        </w:rPr>
        <w:t>幼儿教师、代课教师劳务费等支出</w:t>
      </w:r>
      <w:r>
        <w:rPr>
          <w:rFonts w:hint="default" w:ascii="Times New Roman" w:hAnsi="Times New Roman" w:eastAsia="仿宋_GB2312" w:cs="Times New Roman"/>
          <w:color w:val="auto"/>
          <w:kern w:val="2"/>
          <w:sz w:val="32"/>
          <w:szCs w:val="32"/>
          <w:lang w:val="zh-CN" w:eastAsia="zh-CN" w:bidi="ar-SA"/>
        </w:rPr>
        <w:t>；文化旅游体育与传媒（类）支出40万元，占0.99%</w:t>
      </w:r>
      <w:r>
        <w:rPr>
          <w:rFonts w:hint="eastAsia"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主要用于</w:t>
      </w:r>
      <w:r>
        <w:rPr>
          <w:rFonts w:ascii="仿宋" w:hAnsi="仿宋" w:eastAsia="仿宋" w:cs="仿宋"/>
          <w:spacing w:val="3"/>
          <w:sz w:val="31"/>
          <w:szCs w:val="31"/>
        </w:rPr>
        <w:t>群众文化宣传资料及条幅、展牌等支出</w:t>
      </w:r>
      <w:r>
        <w:rPr>
          <w:rFonts w:hint="default" w:ascii="Times New Roman" w:hAnsi="Times New Roman" w:eastAsia="仿宋_GB2312" w:cs="Times New Roman"/>
          <w:color w:val="auto"/>
          <w:kern w:val="2"/>
          <w:sz w:val="32"/>
          <w:szCs w:val="32"/>
          <w:lang w:val="zh-CN" w:eastAsia="zh-CN" w:bidi="ar-SA"/>
        </w:rPr>
        <w:t>；社会保障和就业 （类）支出335.84万元，占8.35%</w:t>
      </w:r>
      <w:r>
        <w:rPr>
          <w:rFonts w:hint="eastAsia" w:ascii="Times New Roman" w:hAnsi="Times New Roman" w:eastAsia="仿宋_GB2312" w:cs="Times New Roman"/>
          <w:color w:val="auto"/>
          <w:kern w:val="2"/>
          <w:sz w:val="32"/>
          <w:szCs w:val="32"/>
          <w:lang w:val="zh-CN" w:eastAsia="zh-CN" w:bidi="ar-SA"/>
        </w:rPr>
        <w:t>，</w:t>
      </w:r>
      <w:r>
        <w:rPr>
          <w:rFonts w:ascii="仿宋" w:hAnsi="仿宋" w:eastAsia="仿宋" w:cs="仿宋"/>
          <w:spacing w:val="-4"/>
          <w:sz w:val="31"/>
          <w:szCs w:val="31"/>
        </w:rPr>
        <w:t>主要用于农村救济及</w:t>
      </w:r>
      <w:r>
        <w:rPr>
          <w:rFonts w:ascii="仿宋" w:hAnsi="仿宋" w:eastAsia="仿宋" w:cs="仿宋"/>
          <w:spacing w:val="1"/>
          <w:sz w:val="31"/>
          <w:szCs w:val="31"/>
        </w:rPr>
        <w:t>退役军人安置等支出</w:t>
      </w:r>
      <w:r>
        <w:rPr>
          <w:rFonts w:hint="default" w:ascii="Times New Roman" w:hAnsi="Times New Roman" w:eastAsia="仿宋_GB2312" w:cs="Times New Roman"/>
          <w:color w:val="auto"/>
          <w:kern w:val="2"/>
          <w:sz w:val="32"/>
          <w:szCs w:val="32"/>
          <w:lang w:val="zh-CN" w:eastAsia="zh-CN" w:bidi="ar-SA"/>
        </w:rPr>
        <w:t>；卫生健康（类）支出128.51万元，占3.19%</w:t>
      </w:r>
      <w:r>
        <w:rPr>
          <w:rFonts w:hint="eastAsia" w:ascii="Times New Roman" w:hAnsi="Times New Roman" w:eastAsia="仿宋_GB2312" w:cs="Times New Roman"/>
          <w:color w:val="auto"/>
          <w:kern w:val="2"/>
          <w:sz w:val="32"/>
          <w:szCs w:val="32"/>
          <w:lang w:val="zh-CN" w:eastAsia="zh-CN" w:bidi="ar-SA"/>
        </w:rPr>
        <w:t>，</w:t>
      </w:r>
      <w:r>
        <w:rPr>
          <w:rFonts w:ascii="仿宋" w:hAnsi="仿宋" w:eastAsia="仿宋" w:cs="仿宋"/>
          <w:spacing w:val="5"/>
          <w:sz w:val="31"/>
          <w:szCs w:val="31"/>
        </w:rPr>
        <w:t>主要用于计划生育机构及重大公共卫生服务等支出</w:t>
      </w:r>
      <w:r>
        <w:rPr>
          <w:rFonts w:hint="default" w:ascii="Times New Roman" w:hAnsi="Times New Roman" w:eastAsia="仿宋_GB2312" w:cs="Times New Roman"/>
          <w:color w:val="auto"/>
          <w:kern w:val="2"/>
          <w:sz w:val="32"/>
          <w:szCs w:val="32"/>
          <w:lang w:val="zh-CN" w:eastAsia="zh-CN" w:bidi="ar-SA"/>
        </w:rPr>
        <w:t>；节能环保（类）支出20万元，占0.5%</w:t>
      </w:r>
      <w:r>
        <w:rPr>
          <w:rFonts w:hint="eastAsia"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主要</w:t>
      </w:r>
      <w:r>
        <w:rPr>
          <w:rFonts w:ascii="仿宋" w:hAnsi="仿宋" w:eastAsia="仿宋" w:cs="仿宋"/>
          <w:sz w:val="31"/>
          <w:szCs w:val="31"/>
        </w:rPr>
        <w:t>用于大气污染防治道路洒水等</w:t>
      </w:r>
      <w:r>
        <w:rPr>
          <w:rFonts w:ascii="仿宋" w:hAnsi="仿宋" w:eastAsia="仿宋" w:cs="仿宋"/>
          <w:spacing w:val="-8"/>
          <w:sz w:val="31"/>
          <w:szCs w:val="31"/>
        </w:rPr>
        <w:t>支出</w:t>
      </w:r>
      <w:r>
        <w:rPr>
          <w:rFonts w:hint="default" w:ascii="Times New Roman" w:hAnsi="Times New Roman" w:eastAsia="仿宋_GB2312" w:cs="Times New Roman"/>
          <w:color w:val="auto"/>
          <w:kern w:val="2"/>
          <w:sz w:val="32"/>
          <w:szCs w:val="32"/>
          <w:lang w:val="zh-CN" w:eastAsia="zh-CN" w:bidi="ar-SA"/>
        </w:rPr>
        <w:t>；城乡社区（类）支出1,022.15万元，占25.41%</w:t>
      </w:r>
      <w:r>
        <w:rPr>
          <w:rFonts w:hint="eastAsia" w:ascii="Times New Roman" w:hAnsi="Times New Roman" w:eastAsia="仿宋_GB2312" w:cs="Times New Roman"/>
          <w:color w:val="auto"/>
          <w:kern w:val="2"/>
          <w:sz w:val="32"/>
          <w:szCs w:val="32"/>
          <w:lang w:val="zh-CN" w:eastAsia="zh-CN" w:bidi="ar-SA"/>
        </w:rPr>
        <w:t>，</w:t>
      </w:r>
      <w:r>
        <w:rPr>
          <w:rFonts w:ascii="仿宋" w:hAnsi="仿宋" w:eastAsia="仿宋" w:cs="仿宋"/>
          <w:spacing w:val="-4"/>
          <w:sz w:val="31"/>
          <w:szCs w:val="31"/>
        </w:rPr>
        <w:t>主要用于城乡社</w:t>
      </w:r>
      <w:r>
        <w:rPr>
          <w:rFonts w:ascii="仿宋" w:hAnsi="仿宋" w:eastAsia="仿宋" w:cs="仿宋"/>
          <w:spacing w:val="-1"/>
          <w:sz w:val="31"/>
          <w:szCs w:val="31"/>
        </w:rPr>
        <w:t>区公共设施维护及环境卫生清</w:t>
      </w:r>
      <w:r>
        <w:rPr>
          <w:rFonts w:ascii="仿宋" w:hAnsi="仿宋" w:eastAsia="仿宋" w:cs="仿宋"/>
          <w:sz w:val="31"/>
          <w:szCs w:val="31"/>
        </w:rPr>
        <w:t>理等支出</w:t>
      </w:r>
      <w:r>
        <w:rPr>
          <w:rFonts w:hint="default" w:ascii="Times New Roman" w:hAnsi="Times New Roman" w:eastAsia="仿宋_GB2312" w:cs="Times New Roman"/>
          <w:color w:val="auto"/>
          <w:kern w:val="2"/>
          <w:sz w:val="32"/>
          <w:szCs w:val="32"/>
          <w:lang w:val="zh-CN" w:eastAsia="zh-CN" w:bidi="ar-SA"/>
        </w:rPr>
        <w:t>；农林水（类）支出460.11万元，占11.44%</w:t>
      </w:r>
      <w:r>
        <w:rPr>
          <w:rFonts w:hint="eastAsia" w:ascii="Times New Roman" w:hAnsi="Times New Roman" w:eastAsia="仿宋_GB2312" w:cs="Times New Roman"/>
          <w:color w:val="auto"/>
          <w:kern w:val="2"/>
          <w:sz w:val="32"/>
          <w:szCs w:val="32"/>
          <w:lang w:val="zh-CN" w:eastAsia="zh-CN" w:bidi="ar-SA"/>
        </w:rPr>
        <w:t>，</w:t>
      </w:r>
      <w:r>
        <w:rPr>
          <w:rFonts w:ascii="仿宋" w:hAnsi="仿宋" w:eastAsia="仿宋" w:cs="仿宋"/>
          <w:spacing w:val="4"/>
          <w:sz w:val="31"/>
          <w:szCs w:val="31"/>
        </w:rPr>
        <w:t>主要用于对村集体经济的补助</w:t>
      </w:r>
      <w:r>
        <w:rPr>
          <w:rFonts w:ascii="仿宋" w:hAnsi="仿宋" w:eastAsia="仿宋" w:cs="仿宋"/>
          <w:spacing w:val="-8"/>
          <w:sz w:val="31"/>
          <w:szCs w:val="31"/>
        </w:rPr>
        <w:t>等支出</w:t>
      </w:r>
      <w:r>
        <w:rPr>
          <w:rFonts w:hint="default" w:ascii="Times New Roman" w:hAnsi="Times New Roman" w:eastAsia="仿宋_GB2312" w:cs="Times New Roman"/>
          <w:color w:val="auto"/>
          <w:kern w:val="2"/>
          <w:sz w:val="32"/>
          <w:szCs w:val="32"/>
          <w:lang w:val="zh-CN" w:eastAsia="zh-CN" w:bidi="ar-SA"/>
        </w:rPr>
        <w:t>；住房保障（类）支出112.32万元，占2.79%</w:t>
      </w:r>
      <w:r>
        <w:rPr>
          <w:rFonts w:hint="eastAsia" w:ascii="Times New Roman" w:hAnsi="Times New Roman" w:eastAsia="仿宋_GB2312" w:cs="Times New Roman"/>
          <w:color w:val="auto"/>
          <w:kern w:val="2"/>
          <w:sz w:val="32"/>
          <w:szCs w:val="32"/>
          <w:lang w:val="zh-CN" w:eastAsia="zh-CN" w:bidi="ar-SA"/>
        </w:rPr>
        <w:t>，</w:t>
      </w:r>
      <w:r>
        <w:rPr>
          <w:rFonts w:hint="eastAsia" w:ascii="仿宋" w:hAnsi="仿宋" w:eastAsia="仿宋" w:cs="仿宋"/>
          <w:spacing w:val="-8"/>
          <w:sz w:val="31"/>
          <w:szCs w:val="31"/>
          <w:highlight w:val="none"/>
          <w:lang w:val="en-US" w:eastAsia="zh-CN"/>
        </w:rPr>
        <w:t>主要是</w:t>
      </w:r>
      <w:r>
        <w:rPr>
          <w:rFonts w:ascii="仿宋" w:hAnsi="仿宋" w:eastAsia="仿宋" w:cs="仿宋"/>
          <w:spacing w:val="8"/>
          <w:sz w:val="31"/>
          <w:szCs w:val="31"/>
        </w:rPr>
        <w:t>用于</w:t>
      </w:r>
      <w:r>
        <w:rPr>
          <w:rFonts w:hint="eastAsia" w:ascii="仿宋" w:hAnsi="仿宋" w:eastAsia="仿宋" w:cs="仿宋"/>
          <w:spacing w:val="-8"/>
          <w:sz w:val="31"/>
          <w:szCs w:val="31"/>
          <w:highlight w:val="none"/>
          <w:lang w:val="en-US" w:eastAsia="zh-CN"/>
        </w:rPr>
        <w:t>机关人员住房公积金</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灾</w:t>
      </w:r>
      <w:r>
        <w:rPr>
          <w:rFonts w:hint="default" w:ascii="Times New Roman" w:hAnsi="Times New Roman" w:eastAsia="仿宋_GB2312" w:cs="Times New Roman"/>
          <w:color w:val="auto"/>
          <w:kern w:val="2"/>
          <w:sz w:val="32"/>
          <w:szCs w:val="32"/>
          <w:lang w:val="zh-CN" w:eastAsia="zh-CN" w:bidi="ar-SA"/>
        </w:rPr>
        <w:t>害防治及应急管理（类）支出25万元，占0.62%</w:t>
      </w:r>
      <w:r>
        <w:rPr>
          <w:rFonts w:hint="eastAsia" w:ascii="Times New Roman" w:hAnsi="Times New Roman" w:eastAsia="仿宋_GB2312" w:cs="Times New Roman"/>
          <w:color w:val="auto"/>
          <w:kern w:val="2"/>
          <w:sz w:val="32"/>
          <w:szCs w:val="32"/>
          <w:lang w:val="zh-CN" w:eastAsia="zh-CN" w:bidi="ar-SA"/>
        </w:rPr>
        <w:t>，</w:t>
      </w:r>
      <w:r>
        <w:rPr>
          <w:rFonts w:ascii="仿宋" w:hAnsi="仿宋" w:eastAsia="仿宋" w:cs="仿宋"/>
          <w:spacing w:val="8"/>
          <w:sz w:val="31"/>
          <w:szCs w:val="31"/>
        </w:rPr>
        <w:t>主要用于企业安全生产监管等支出。</w:t>
      </w:r>
    </w:p>
    <w:p>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drawing>
          <wp:inline distT="0" distB="0" distL="114300" distR="114300">
            <wp:extent cx="5256530" cy="2988310"/>
            <wp:effectExtent l="0" t="0" r="1270" b="2540"/>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pPr>
        <w:pStyle w:val="10"/>
        <w:widowControl/>
        <w:numPr>
          <w:ilvl w:val="0"/>
          <w:numId w:val="5"/>
        </w:numPr>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一般公共预算基本支出决算情况说明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年度财政拨款基本支出1,484.53万元，其中：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人员经费1,356.02万元，主要包括基本工资</w:t>
      </w:r>
      <w:r>
        <w:rPr>
          <w:rFonts w:hint="eastAsia" w:ascii="Times New Roman" w:hAnsi="Times New Roman" w:eastAsia="仿宋_GB2312" w:cs="Times New Roman"/>
          <w:color w:val="auto"/>
          <w:kern w:val="2"/>
          <w:sz w:val="32"/>
          <w:szCs w:val="32"/>
          <w:lang w:val="en-US" w:eastAsia="zh-CN" w:bidi="ar-SA"/>
        </w:rPr>
        <w:t>273.1万元</w:t>
      </w:r>
      <w:r>
        <w:rPr>
          <w:rFonts w:hint="default" w:ascii="Times New Roman" w:hAnsi="Times New Roman" w:eastAsia="仿宋_GB2312" w:cs="Times New Roman"/>
          <w:color w:val="auto"/>
          <w:kern w:val="2"/>
          <w:sz w:val="32"/>
          <w:szCs w:val="32"/>
          <w:lang w:val="zh-CN" w:eastAsia="zh-CN" w:bidi="ar-SA"/>
        </w:rPr>
        <w:t>、津贴补贴</w:t>
      </w:r>
      <w:r>
        <w:rPr>
          <w:rFonts w:hint="eastAsia" w:ascii="Times New Roman" w:hAnsi="Times New Roman" w:eastAsia="仿宋_GB2312" w:cs="Times New Roman"/>
          <w:color w:val="auto"/>
          <w:kern w:val="2"/>
          <w:sz w:val="32"/>
          <w:szCs w:val="32"/>
          <w:lang w:val="en-US" w:eastAsia="zh-CN" w:bidi="ar-SA"/>
        </w:rPr>
        <w:t>205.34万元</w:t>
      </w:r>
      <w:r>
        <w:rPr>
          <w:rFonts w:hint="default" w:ascii="Times New Roman" w:hAnsi="Times New Roman" w:eastAsia="仿宋_GB2312" w:cs="Times New Roman"/>
          <w:color w:val="auto"/>
          <w:kern w:val="2"/>
          <w:sz w:val="32"/>
          <w:szCs w:val="32"/>
          <w:lang w:val="zh-CN" w:eastAsia="zh-CN" w:bidi="ar-SA"/>
        </w:rPr>
        <w:t>、绩效工资</w:t>
      </w:r>
      <w:r>
        <w:rPr>
          <w:rFonts w:hint="eastAsia" w:ascii="Times New Roman" w:hAnsi="Times New Roman" w:eastAsia="仿宋_GB2312" w:cs="Times New Roman"/>
          <w:color w:val="auto"/>
          <w:kern w:val="2"/>
          <w:sz w:val="32"/>
          <w:szCs w:val="32"/>
          <w:lang w:val="en-US" w:eastAsia="zh-CN" w:bidi="ar-SA"/>
        </w:rPr>
        <w:t>384.61万元</w:t>
      </w:r>
      <w:r>
        <w:rPr>
          <w:rFonts w:hint="default" w:ascii="Times New Roman" w:hAnsi="Times New Roman" w:eastAsia="仿宋_GB2312" w:cs="Times New Roman"/>
          <w:color w:val="auto"/>
          <w:kern w:val="2"/>
          <w:sz w:val="32"/>
          <w:szCs w:val="32"/>
          <w:lang w:val="zh-CN" w:eastAsia="zh-CN" w:bidi="ar-SA"/>
        </w:rPr>
        <w:t>、机关事业部门基本养老保险缴费</w:t>
      </w:r>
      <w:r>
        <w:rPr>
          <w:rFonts w:hint="eastAsia" w:ascii="Times New Roman" w:hAnsi="Times New Roman" w:eastAsia="仿宋_GB2312" w:cs="Times New Roman"/>
          <w:color w:val="auto"/>
          <w:kern w:val="2"/>
          <w:sz w:val="32"/>
          <w:szCs w:val="32"/>
          <w:lang w:val="en-US" w:eastAsia="zh-CN" w:bidi="ar-SA"/>
        </w:rPr>
        <w:t>110.27万元</w:t>
      </w:r>
      <w:r>
        <w:rPr>
          <w:rFonts w:hint="default" w:ascii="Times New Roman" w:hAnsi="Times New Roman" w:eastAsia="仿宋_GB2312" w:cs="Times New Roman"/>
          <w:color w:val="auto"/>
          <w:kern w:val="2"/>
          <w:sz w:val="32"/>
          <w:szCs w:val="32"/>
          <w:lang w:val="zh-CN" w:eastAsia="zh-CN" w:bidi="ar-SA"/>
        </w:rPr>
        <w:t>、职工基本医疗保险缴费</w:t>
      </w:r>
      <w:r>
        <w:rPr>
          <w:rFonts w:hint="eastAsia" w:ascii="Times New Roman" w:hAnsi="Times New Roman" w:eastAsia="仿宋_GB2312" w:cs="Times New Roman"/>
          <w:color w:val="auto"/>
          <w:kern w:val="2"/>
          <w:sz w:val="32"/>
          <w:szCs w:val="32"/>
          <w:lang w:val="en-US" w:eastAsia="zh-CN" w:bidi="ar-SA"/>
        </w:rPr>
        <w:t>81.19万元</w:t>
      </w:r>
      <w:r>
        <w:rPr>
          <w:rFonts w:hint="default" w:ascii="Times New Roman" w:hAnsi="Times New Roman" w:eastAsia="仿宋_GB2312" w:cs="Times New Roman"/>
          <w:color w:val="auto"/>
          <w:kern w:val="2"/>
          <w:sz w:val="32"/>
          <w:szCs w:val="32"/>
          <w:lang w:val="zh-CN" w:eastAsia="zh-CN" w:bidi="ar-SA"/>
        </w:rPr>
        <w:t>、住房公积金</w:t>
      </w:r>
      <w:r>
        <w:rPr>
          <w:rFonts w:hint="eastAsia" w:ascii="Times New Roman" w:hAnsi="Times New Roman" w:eastAsia="仿宋_GB2312" w:cs="Times New Roman"/>
          <w:color w:val="auto"/>
          <w:kern w:val="2"/>
          <w:sz w:val="32"/>
          <w:szCs w:val="32"/>
          <w:lang w:val="en-US" w:eastAsia="zh-CN" w:bidi="ar-SA"/>
        </w:rPr>
        <w:t>115.64万元</w:t>
      </w:r>
      <w:r>
        <w:rPr>
          <w:rFonts w:hint="default" w:ascii="Times New Roman" w:hAnsi="Times New Roman" w:eastAsia="仿宋_GB2312" w:cs="Times New Roman"/>
          <w:color w:val="auto"/>
          <w:kern w:val="2"/>
          <w:sz w:val="32"/>
          <w:szCs w:val="32"/>
          <w:lang w:val="zh-CN" w:eastAsia="zh-CN" w:bidi="ar-SA"/>
        </w:rPr>
        <w:t>、其他社会保障缴费</w:t>
      </w:r>
      <w:r>
        <w:rPr>
          <w:rFonts w:hint="eastAsia" w:ascii="Times New Roman" w:hAnsi="Times New Roman" w:eastAsia="仿宋_GB2312" w:cs="Times New Roman"/>
          <w:color w:val="auto"/>
          <w:kern w:val="2"/>
          <w:sz w:val="32"/>
          <w:szCs w:val="32"/>
          <w:lang w:val="en-US" w:eastAsia="zh-CN" w:bidi="ar-SA"/>
        </w:rPr>
        <w:t>4.3万元</w:t>
      </w:r>
      <w:r>
        <w:rPr>
          <w:rFonts w:hint="default" w:ascii="Times New Roman" w:hAnsi="Times New Roman" w:eastAsia="仿宋_GB2312" w:cs="Times New Roman"/>
          <w:color w:val="auto"/>
          <w:kern w:val="2"/>
          <w:sz w:val="32"/>
          <w:szCs w:val="32"/>
          <w:lang w:val="zh-CN" w:eastAsia="zh-CN" w:bidi="ar-SA"/>
        </w:rPr>
        <w:t>、离休费</w:t>
      </w:r>
      <w:r>
        <w:rPr>
          <w:rFonts w:hint="eastAsia" w:ascii="Times New Roman" w:hAnsi="Times New Roman" w:eastAsia="仿宋_GB2312" w:cs="Times New Roman"/>
          <w:color w:val="auto"/>
          <w:kern w:val="2"/>
          <w:sz w:val="32"/>
          <w:szCs w:val="32"/>
          <w:lang w:val="en-US" w:eastAsia="zh-CN" w:bidi="ar-SA"/>
        </w:rPr>
        <w:t>19.96万元</w:t>
      </w:r>
      <w:r>
        <w:rPr>
          <w:rFonts w:hint="default" w:ascii="Times New Roman" w:hAnsi="Times New Roman" w:eastAsia="仿宋_GB2312" w:cs="Times New Roman"/>
          <w:color w:val="auto"/>
          <w:kern w:val="2"/>
          <w:sz w:val="32"/>
          <w:szCs w:val="32"/>
          <w:lang w:val="zh-CN" w:eastAsia="zh-CN" w:bidi="ar-SA"/>
        </w:rPr>
        <w:t>、退休费</w:t>
      </w:r>
      <w:r>
        <w:rPr>
          <w:rFonts w:hint="eastAsia" w:ascii="Times New Roman" w:hAnsi="Times New Roman" w:eastAsia="仿宋_GB2312" w:cs="Times New Roman"/>
          <w:color w:val="auto"/>
          <w:kern w:val="2"/>
          <w:sz w:val="32"/>
          <w:szCs w:val="32"/>
          <w:lang w:val="en-US" w:eastAsia="zh-CN" w:bidi="ar-SA"/>
        </w:rPr>
        <w:t>107.25万元</w:t>
      </w:r>
      <w:r>
        <w:rPr>
          <w:rFonts w:hint="default" w:ascii="Times New Roman" w:hAnsi="Times New Roman" w:eastAsia="仿宋_GB2312" w:cs="Times New Roman"/>
          <w:color w:val="auto"/>
          <w:kern w:val="2"/>
          <w:sz w:val="32"/>
          <w:szCs w:val="32"/>
          <w:lang w:val="zh-CN" w:eastAsia="zh-CN" w:bidi="ar-SA"/>
        </w:rPr>
        <w:t>、生活补助</w:t>
      </w:r>
      <w:r>
        <w:rPr>
          <w:rFonts w:hint="eastAsia" w:ascii="Times New Roman" w:hAnsi="Times New Roman" w:eastAsia="仿宋_GB2312" w:cs="Times New Roman"/>
          <w:color w:val="auto"/>
          <w:kern w:val="2"/>
          <w:sz w:val="32"/>
          <w:szCs w:val="32"/>
          <w:lang w:val="en-US" w:eastAsia="zh-CN" w:bidi="ar-SA"/>
        </w:rPr>
        <w:t>54.35万元</w:t>
      </w:r>
      <w:r>
        <w:rPr>
          <w:rFonts w:hint="default" w:ascii="Times New Roman" w:hAnsi="Times New Roman" w:eastAsia="仿宋_GB2312" w:cs="Times New Roman"/>
          <w:color w:val="auto"/>
          <w:kern w:val="2"/>
          <w:sz w:val="32"/>
          <w:szCs w:val="32"/>
          <w:lang w:val="zh-CN" w:eastAsia="zh-CN" w:bidi="ar-SA"/>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公用经费128.52万元，主要包括办公费</w:t>
      </w:r>
      <w:r>
        <w:rPr>
          <w:rFonts w:hint="eastAsia" w:ascii="Times New Roman" w:hAnsi="Times New Roman" w:eastAsia="仿宋_GB2312" w:cs="Times New Roman"/>
          <w:color w:val="auto"/>
          <w:kern w:val="2"/>
          <w:sz w:val="32"/>
          <w:szCs w:val="32"/>
          <w:lang w:val="en-US" w:eastAsia="zh-CN" w:bidi="ar-SA"/>
        </w:rPr>
        <w:t>20.43万元</w:t>
      </w:r>
      <w:r>
        <w:rPr>
          <w:rFonts w:hint="default" w:ascii="Times New Roman" w:hAnsi="Times New Roman" w:eastAsia="仿宋_GB2312" w:cs="Times New Roman"/>
          <w:color w:val="auto"/>
          <w:kern w:val="2"/>
          <w:sz w:val="32"/>
          <w:szCs w:val="32"/>
          <w:lang w:val="zh-CN" w:eastAsia="zh-CN" w:bidi="ar-SA"/>
        </w:rPr>
        <w:t>、邮电费</w:t>
      </w:r>
      <w:r>
        <w:rPr>
          <w:rFonts w:hint="eastAsia" w:ascii="Times New Roman" w:hAnsi="Times New Roman" w:eastAsia="仿宋_GB2312" w:cs="Times New Roman"/>
          <w:color w:val="auto"/>
          <w:kern w:val="2"/>
          <w:sz w:val="32"/>
          <w:szCs w:val="32"/>
          <w:lang w:val="en-US" w:eastAsia="zh-CN" w:bidi="ar-SA"/>
        </w:rPr>
        <w:t>23.54万元</w:t>
      </w:r>
      <w:r>
        <w:rPr>
          <w:rFonts w:hint="default" w:ascii="Times New Roman" w:hAnsi="Times New Roman" w:eastAsia="仿宋_GB2312" w:cs="Times New Roman"/>
          <w:color w:val="auto"/>
          <w:kern w:val="2"/>
          <w:sz w:val="32"/>
          <w:szCs w:val="32"/>
          <w:lang w:val="zh-CN" w:eastAsia="zh-CN" w:bidi="ar-SA"/>
        </w:rPr>
        <w:t>、取暖费</w:t>
      </w:r>
      <w:r>
        <w:rPr>
          <w:rFonts w:hint="eastAsia" w:ascii="Times New Roman" w:hAnsi="Times New Roman" w:eastAsia="仿宋_GB2312" w:cs="Times New Roman"/>
          <w:color w:val="auto"/>
          <w:kern w:val="2"/>
          <w:sz w:val="32"/>
          <w:szCs w:val="32"/>
          <w:lang w:val="en-US" w:eastAsia="zh-CN" w:bidi="ar-SA"/>
        </w:rPr>
        <w:t>20.68万元</w:t>
      </w:r>
      <w:r>
        <w:rPr>
          <w:rFonts w:hint="default" w:ascii="Times New Roman" w:hAnsi="Times New Roman" w:eastAsia="仿宋_GB2312" w:cs="Times New Roman"/>
          <w:color w:val="auto"/>
          <w:kern w:val="2"/>
          <w:sz w:val="32"/>
          <w:szCs w:val="32"/>
          <w:lang w:val="zh-CN" w:eastAsia="zh-CN" w:bidi="ar-SA"/>
        </w:rPr>
        <w:t>、工会经费</w:t>
      </w:r>
      <w:r>
        <w:rPr>
          <w:rFonts w:hint="eastAsia" w:ascii="Times New Roman" w:hAnsi="Times New Roman" w:eastAsia="仿宋_GB2312" w:cs="Times New Roman"/>
          <w:color w:val="auto"/>
          <w:kern w:val="2"/>
          <w:sz w:val="32"/>
          <w:szCs w:val="32"/>
          <w:lang w:val="en-US" w:eastAsia="zh-CN" w:bidi="ar-SA"/>
        </w:rPr>
        <w:t>5.43万元</w:t>
      </w:r>
      <w:r>
        <w:rPr>
          <w:rFonts w:hint="default" w:ascii="Times New Roman" w:hAnsi="Times New Roman" w:eastAsia="仿宋_GB2312" w:cs="Times New Roman"/>
          <w:color w:val="auto"/>
          <w:kern w:val="2"/>
          <w:sz w:val="32"/>
          <w:szCs w:val="32"/>
          <w:lang w:val="zh-CN" w:eastAsia="zh-CN" w:bidi="ar-SA"/>
        </w:rPr>
        <w:t>、福利费</w:t>
      </w:r>
      <w:r>
        <w:rPr>
          <w:rFonts w:hint="eastAsia" w:ascii="Times New Roman" w:hAnsi="Times New Roman" w:eastAsia="仿宋_GB2312" w:cs="Times New Roman"/>
          <w:color w:val="auto"/>
          <w:kern w:val="2"/>
          <w:sz w:val="32"/>
          <w:szCs w:val="32"/>
          <w:lang w:val="en-US" w:eastAsia="zh-CN" w:bidi="ar-SA"/>
        </w:rPr>
        <w:t>6.23万元</w:t>
      </w:r>
      <w:r>
        <w:rPr>
          <w:rFonts w:hint="default" w:ascii="Times New Roman" w:hAnsi="Times New Roman" w:eastAsia="仿宋_GB2312" w:cs="Times New Roman"/>
          <w:color w:val="auto"/>
          <w:kern w:val="2"/>
          <w:sz w:val="32"/>
          <w:szCs w:val="32"/>
          <w:lang w:val="zh-CN" w:eastAsia="zh-CN" w:bidi="ar-SA"/>
        </w:rPr>
        <w:t>、公务用车运行维护费</w:t>
      </w:r>
      <w:r>
        <w:rPr>
          <w:rFonts w:hint="eastAsia" w:ascii="Times New Roman" w:hAnsi="Times New Roman" w:eastAsia="仿宋_GB2312" w:cs="Times New Roman"/>
          <w:color w:val="auto"/>
          <w:kern w:val="2"/>
          <w:sz w:val="32"/>
          <w:szCs w:val="32"/>
          <w:lang w:val="en-US" w:eastAsia="zh-CN" w:bidi="ar-SA"/>
        </w:rPr>
        <w:t>5.07万元</w:t>
      </w:r>
      <w:r>
        <w:rPr>
          <w:rFonts w:hint="default" w:ascii="Times New Roman" w:hAnsi="Times New Roman" w:eastAsia="仿宋_GB2312" w:cs="Times New Roman"/>
          <w:color w:val="auto"/>
          <w:kern w:val="2"/>
          <w:sz w:val="32"/>
          <w:szCs w:val="32"/>
          <w:lang w:val="zh-CN" w:eastAsia="zh-CN" w:bidi="ar-SA"/>
        </w:rPr>
        <w:t>、其他交通费用</w:t>
      </w:r>
      <w:r>
        <w:rPr>
          <w:rFonts w:hint="eastAsia" w:ascii="Times New Roman" w:hAnsi="Times New Roman" w:eastAsia="仿宋_GB2312" w:cs="Times New Roman"/>
          <w:color w:val="auto"/>
          <w:kern w:val="2"/>
          <w:sz w:val="32"/>
          <w:szCs w:val="32"/>
          <w:lang w:val="en-US" w:eastAsia="zh-CN" w:bidi="ar-SA"/>
        </w:rPr>
        <w:t>39.03万元</w:t>
      </w:r>
      <w:r>
        <w:rPr>
          <w:rFonts w:hint="default" w:ascii="Times New Roman" w:hAnsi="Times New Roman" w:eastAsia="仿宋_GB2312" w:cs="Times New Roman"/>
          <w:color w:val="auto"/>
          <w:kern w:val="2"/>
          <w:sz w:val="32"/>
          <w:szCs w:val="32"/>
          <w:lang w:val="zh-CN" w:eastAsia="zh-CN" w:bidi="ar-SA"/>
        </w:rPr>
        <w:t>、税金及附加费用</w:t>
      </w:r>
      <w:r>
        <w:rPr>
          <w:rFonts w:hint="eastAsia" w:ascii="Times New Roman" w:hAnsi="Times New Roman" w:eastAsia="仿宋_GB2312" w:cs="Times New Roman"/>
          <w:color w:val="auto"/>
          <w:kern w:val="2"/>
          <w:sz w:val="32"/>
          <w:szCs w:val="32"/>
          <w:lang w:val="en-US" w:eastAsia="zh-CN" w:bidi="ar-SA"/>
        </w:rPr>
        <w:t>6.88万元</w:t>
      </w:r>
      <w:r>
        <w:rPr>
          <w:rFonts w:hint="default" w:ascii="Times New Roman" w:hAnsi="Times New Roman" w:eastAsia="仿宋_GB2312" w:cs="Times New Roman"/>
          <w:color w:val="auto"/>
          <w:kern w:val="2"/>
          <w:sz w:val="32"/>
          <w:szCs w:val="32"/>
          <w:lang w:val="zh-CN" w:eastAsia="zh-CN" w:bidi="ar-SA"/>
        </w:rPr>
        <w:t>、其他商品和服务支出</w:t>
      </w:r>
      <w:r>
        <w:rPr>
          <w:rFonts w:hint="eastAsia" w:ascii="Times New Roman" w:hAnsi="Times New Roman" w:eastAsia="仿宋_GB2312" w:cs="Times New Roman"/>
          <w:color w:val="auto"/>
          <w:kern w:val="2"/>
          <w:sz w:val="32"/>
          <w:szCs w:val="32"/>
          <w:lang w:val="en-US" w:eastAsia="zh-CN" w:bidi="ar-SA"/>
        </w:rPr>
        <w:t>1.23万元</w:t>
      </w:r>
      <w:r>
        <w:rPr>
          <w:rFonts w:hint="eastAsia" w:ascii="Times New Roman" w:hAnsi="Times New Roman" w:eastAsia="仿宋_GB2312" w:cs="Times New Roman"/>
          <w:color w:val="auto"/>
          <w:kern w:val="2"/>
          <w:sz w:val="32"/>
          <w:szCs w:val="32"/>
          <w:lang w:val="zh-CN" w:eastAsia="zh-CN" w:bidi="ar-SA"/>
        </w:rPr>
        <w:t>。</w:t>
      </w:r>
    </w:p>
    <w:p>
      <w:pPr>
        <w:pStyle w:val="10"/>
        <w:widowControl/>
        <w:spacing w:beforeAutospacing="0" w:afterAutospacing="0"/>
        <w:rPr>
          <w:rFonts w:ascii="Times New Roman" w:hAnsi="Times New Roman" w:eastAsia="仿宋_GB2312"/>
          <w:sz w:val="32"/>
          <w:szCs w:val="32"/>
          <w:highlight w:val="yellow"/>
        </w:rPr>
      </w:pPr>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五、财政拨款“三公” 经费支出决算情况说明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年度“三公”经费财政拨款支出预算为11.1万元，支出决算为 5.07万元，完成预算的 45.68%，较预算</w:t>
      </w:r>
      <w:r>
        <w:rPr>
          <w:rFonts w:hint="eastAsia" w:ascii="Times New Roman" w:hAnsi="Times New Roman" w:eastAsia="仿宋_GB2312" w:cs="Times New Roman"/>
          <w:color w:val="auto"/>
          <w:kern w:val="2"/>
          <w:sz w:val="32"/>
          <w:szCs w:val="32"/>
          <w:lang w:val="zh-CN" w:eastAsia="zh-CN" w:bidi="ar-SA"/>
        </w:rPr>
        <w:t>减少6.03万元，降低54.33%，</w:t>
      </w:r>
      <w:r>
        <w:rPr>
          <w:rFonts w:hint="default" w:ascii="Times New Roman" w:hAnsi="Times New Roman" w:eastAsia="仿宋_GB2312" w:cs="Times New Roman"/>
          <w:color w:val="auto"/>
          <w:kern w:val="2"/>
          <w:sz w:val="32"/>
          <w:szCs w:val="32"/>
          <w:lang w:val="zh-CN" w:eastAsia="zh-CN" w:bidi="ar-SA"/>
        </w:rPr>
        <w:t>主要是主要是认真贯彻落实中央八项规定精神和厉行节约要求，从严控制“三公”经费开支，全年实际支出比预算有所节约；较2022年度决算</w:t>
      </w:r>
      <w:r>
        <w:rPr>
          <w:rFonts w:hint="eastAsia" w:ascii="Times New Roman" w:hAnsi="Times New Roman" w:eastAsia="仿宋_GB2312" w:cs="Times New Roman"/>
          <w:color w:val="auto"/>
          <w:kern w:val="2"/>
          <w:sz w:val="32"/>
          <w:szCs w:val="32"/>
          <w:lang w:val="en-US" w:eastAsia="zh-CN" w:bidi="ar-SA"/>
        </w:rPr>
        <w:t>减少0.01</w:t>
      </w:r>
      <w:r>
        <w:rPr>
          <w:rFonts w:hint="eastAsia" w:ascii="Times New Roman" w:hAnsi="Times New Roman" w:eastAsia="仿宋_GB2312" w:cs="Times New Roman"/>
          <w:color w:val="auto"/>
          <w:kern w:val="2"/>
          <w:sz w:val="32"/>
          <w:szCs w:val="32"/>
          <w:lang w:val="zh-CN" w:eastAsia="zh-CN" w:bidi="ar-SA"/>
        </w:rPr>
        <w:t>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增长0</w:t>
      </w:r>
      <w:r>
        <w:rPr>
          <w:rFonts w:hint="eastAsia" w:ascii="Times New Roman" w:hAnsi="Times New Roman" w:eastAsia="仿宋_GB2312" w:cs="Times New Roman"/>
          <w:color w:val="auto"/>
          <w:kern w:val="2"/>
          <w:sz w:val="32"/>
          <w:szCs w:val="32"/>
          <w:lang w:val="en-US" w:eastAsia="zh-CN" w:bidi="ar-SA"/>
        </w:rPr>
        <w:t>.2</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由于节约开支</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w:t>
      </w:r>
      <w:r>
        <w:rPr>
          <w:rFonts w:hint="eastAsia" w:ascii="Times New Roman" w:hAnsi="Times New Roman" w:eastAsia="仿宋_GB2312" w:cs="Times New Roman"/>
          <w:color w:val="auto"/>
          <w:kern w:val="2"/>
          <w:sz w:val="32"/>
          <w:szCs w:val="32"/>
          <w:lang w:val="en-US" w:eastAsia="zh-CN" w:bidi="ar-SA"/>
        </w:rPr>
        <w:t>10</w:t>
      </w:r>
      <w:r>
        <w:rPr>
          <w:rFonts w:hint="default" w:ascii="Times New Roman" w:hAnsi="Times New Roman" w:eastAsia="仿宋_GB2312" w:cs="Times New Roman"/>
          <w:color w:val="auto"/>
          <w:kern w:val="2"/>
          <w:sz w:val="32"/>
          <w:szCs w:val="32"/>
          <w:lang w:val="en-US" w:eastAsia="zh-CN" w:bidi="ar-SA"/>
        </w:rPr>
        <w:t>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年度公务用车购置及运行维护费预算为8.1万元，支出决算 5.07万元，完成预算的62.59%,较预算</w:t>
      </w:r>
      <w:r>
        <w:rPr>
          <w:rFonts w:hint="eastAsia" w:ascii="Times New Roman" w:hAnsi="Times New Roman" w:eastAsia="仿宋_GB2312" w:cs="Times New Roman"/>
          <w:color w:val="auto"/>
          <w:kern w:val="2"/>
          <w:sz w:val="32"/>
          <w:szCs w:val="32"/>
          <w:lang w:val="zh-CN" w:eastAsia="zh-CN" w:bidi="ar-SA"/>
        </w:rPr>
        <w:t>减少3.03万元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降低37.41%，</w:t>
      </w:r>
      <w:r>
        <w:rPr>
          <w:rFonts w:hint="default" w:ascii="Times New Roman" w:hAnsi="Times New Roman" w:eastAsia="仿宋_GB2312" w:cs="Times New Roman"/>
          <w:color w:val="auto"/>
          <w:kern w:val="2"/>
          <w:sz w:val="32"/>
          <w:szCs w:val="32"/>
          <w:lang w:val="zh-CN" w:eastAsia="zh-CN" w:bidi="ar-SA"/>
        </w:rPr>
        <w:t>主要</w:t>
      </w:r>
      <w:r>
        <w:rPr>
          <w:rFonts w:ascii="仿宋" w:hAnsi="仿宋" w:eastAsia="仿宋" w:cs="仿宋"/>
          <w:spacing w:val="5"/>
          <w:sz w:val="31"/>
          <w:szCs w:val="31"/>
        </w:rPr>
        <w:t>是加强对公务车辆的管理</w:t>
      </w:r>
      <w:r>
        <w:rPr>
          <w:rFonts w:hint="eastAsia" w:ascii="仿宋" w:hAnsi="仿宋" w:eastAsia="仿宋" w:cs="仿宋"/>
          <w:spacing w:val="5"/>
          <w:sz w:val="31"/>
          <w:szCs w:val="31"/>
          <w:lang w:eastAsia="zh-CN"/>
        </w:rPr>
        <w:t>，</w:t>
      </w:r>
      <w:r>
        <w:rPr>
          <w:rFonts w:ascii="仿宋" w:hAnsi="仿宋" w:eastAsia="仿宋" w:cs="仿宋"/>
          <w:spacing w:val="5"/>
          <w:sz w:val="31"/>
          <w:szCs w:val="31"/>
        </w:rPr>
        <w:t>规范和控制公务用车修理、用</w:t>
      </w:r>
      <w:r>
        <w:rPr>
          <w:rFonts w:ascii="仿宋" w:hAnsi="仿宋" w:eastAsia="仿宋" w:cs="仿宋"/>
          <w:spacing w:val="1"/>
          <w:sz w:val="31"/>
          <w:szCs w:val="31"/>
        </w:rPr>
        <w:t>油</w:t>
      </w:r>
      <w:r>
        <w:rPr>
          <w:rFonts w:ascii="仿宋" w:hAnsi="仿宋" w:eastAsia="仿宋" w:cs="仿宋"/>
          <w:spacing w:val="18"/>
          <w:sz w:val="31"/>
          <w:szCs w:val="31"/>
        </w:rPr>
        <w:t>等</w:t>
      </w:r>
      <w:r>
        <w:rPr>
          <w:rFonts w:ascii="仿宋" w:hAnsi="仿宋" w:eastAsia="仿宋" w:cs="仿宋"/>
          <w:spacing w:val="13"/>
          <w:sz w:val="31"/>
          <w:szCs w:val="31"/>
        </w:rPr>
        <w:t>行</w:t>
      </w:r>
      <w:r>
        <w:rPr>
          <w:rFonts w:ascii="仿宋" w:hAnsi="仿宋" w:eastAsia="仿宋" w:cs="仿宋"/>
          <w:spacing w:val="9"/>
          <w:sz w:val="31"/>
          <w:szCs w:val="31"/>
        </w:rPr>
        <w:t>为，最大限度提高单车使用效率</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en-US" w:eastAsia="zh-CN" w:bidi="ar-SA"/>
        </w:rPr>
        <w:t>决算</w:t>
      </w:r>
      <w:r>
        <w:rPr>
          <w:rFonts w:hint="eastAsia" w:ascii="Times New Roman" w:hAnsi="Times New Roman" w:eastAsia="仿宋_GB2312" w:cs="Times New Roman"/>
          <w:color w:val="auto"/>
          <w:kern w:val="2"/>
          <w:sz w:val="32"/>
          <w:szCs w:val="32"/>
          <w:lang w:val="zh-CN" w:eastAsia="zh-CN" w:bidi="ar-SA"/>
        </w:rPr>
        <w:t>增加</w:t>
      </w:r>
      <w:r>
        <w:rPr>
          <w:rFonts w:hint="eastAsia" w:ascii="Times New Roman" w:hAnsi="Times New Roman" w:eastAsia="仿宋_GB2312" w:cs="Times New Roman"/>
          <w:color w:val="auto"/>
          <w:kern w:val="2"/>
          <w:sz w:val="32"/>
          <w:szCs w:val="32"/>
          <w:lang w:val="en-US" w:eastAsia="zh-CN" w:bidi="ar-SA"/>
        </w:rPr>
        <w:t>0.01</w:t>
      </w:r>
      <w:r>
        <w:rPr>
          <w:rFonts w:hint="eastAsia" w:ascii="Times New Roman" w:hAnsi="Times New Roman" w:eastAsia="仿宋_GB2312" w:cs="Times New Roman"/>
          <w:color w:val="auto"/>
          <w:kern w:val="2"/>
          <w:sz w:val="32"/>
          <w:szCs w:val="32"/>
          <w:lang w:val="zh-CN" w:eastAsia="zh-CN" w:bidi="ar-SA"/>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w:t>
      </w:r>
      <w:r>
        <w:rPr>
          <w:rFonts w:hint="eastAsia" w:ascii="Times New Roman" w:hAnsi="Times New Roman" w:eastAsia="仿宋_GB2312" w:cs="Times New Roman"/>
          <w:color w:val="auto"/>
          <w:kern w:val="2"/>
          <w:sz w:val="32"/>
          <w:szCs w:val="32"/>
          <w:lang w:val="en-US" w:eastAsia="zh-CN" w:bidi="ar-SA"/>
        </w:rPr>
        <w:t>0.2</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由于节约开支</w:t>
      </w:r>
      <w:r>
        <w:rPr>
          <w:rFonts w:hint="default" w:ascii="Times New Roman" w:hAnsi="Times New Roman" w:eastAsia="仿宋_GB2312" w:cs="Times New Roman"/>
          <w:color w:val="auto"/>
          <w:kern w:val="2"/>
          <w:sz w:val="32"/>
          <w:szCs w:val="32"/>
          <w:lang w:val="zh-CN" w:eastAsia="zh-CN" w:bidi="ar-SA"/>
        </w:rPr>
        <w:t>。其中：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pPr>
        <w:adjustRightInd w:val="0"/>
        <w:snapToGrid w:val="0"/>
        <w:spacing w:line="580" w:lineRule="exact"/>
        <w:ind w:firstLine="643" w:firstLineChars="200"/>
        <w:rPr>
          <w:rFonts w:ascii="仿宋_GB2312" w:hAnsi="Times New Roman" w:eastAsia="仿宋_GB2312" w:cs="Times New Roman"/>
          <w:sz w:val="32"/>
          <w:szCs w:val="32"/>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年度公务用车购置量</w:t>
      </w:r>
      <w:r>
        <w:rPr>
          <w:rFonts w:ascii="仿宋_GB2312" w:hAnsi="Times New Roman" w:eastAsia="仿宋_GB2312" w:cs="仿宋_GB2312"/>
          <w:sz w:val="32"/>
          <w:szCs w:val="32"/>
        </w:rPr>
        <w:t>0</w:t>
      </w:r>
      <w:r>
        <w:rPr>
          <w:rFonts w:hint="eastAsia" w:ascii="仿宋_GB2312" w:hAnsi="Times New Roman" w:eastAsia="仿宋_GB2312" w:cs="仿宋_GB2312"/>
          <w:sz w:val="32"/>
          <w:szCs w:val="32"/>
        </w:rPr>
        <w:t>辆，发生“公务用车购置”经费支出</w:t>
      </w:r>
      <w:r>
        <w:rPr>
          <w:rFonts w:ascii="仿宋_GB2312" w:hAnsi="Times New Roman" w:eastAsia="仿宋_GB2312" w:cs="仿宋_GB2312"/>
          <w:sz w:val="32"/>
          <w:szCs w:val="32"/>
        </w:rPr>
        <w:t>0</w:t>
      </w:r>
      <w:r>
        <w:rPr>
          <w:rFonts w:hint="eastAsia" w:ascii="仿宋_GB2312" w:hAnsi="Times New Roman" w:eastAsia="仿宋_GB2312" w:cs="仿宋_GB2312"/>
          <w:sz w:val="32"/>
          <w:szCs w:val="32"/>
        </w:rPr>
        <w:t>万元</w:t>
      </w:r>
      <w:r>
        <w:rPr>
          <w:rFonts w:hint="default" w:ascii="仿宋_GB2312" w:hAnsi="Times New Roman" w:eastAsia="仿宋_GB2312" w:cs="仿宋_GB2312"/>
          <w:sz w:val="32"/>
          <w:szCs w:val="32"/>
        </w:rPr>
        <w:t>，未发生‘公务用车购置’经费支出</w:t>
      </w:r>
      <w:r>
        <w:rPr>
          <w:rFonts w:hint="eastAsia" w:ascii="仿宋_GB2312" w:hAnsi="Times New Roman" w:eastAsia="仿宋_GB2312" w:cs="仿宋_GB2312"/>
          <w:sz w:val="32"/>
          <w:szCs w:val="32"/>
        </w:rPr>
        <w:t>。公务用车购置费支出</w:t>
      </w:r>
      <w:r>
        <w:rPr>
          <w:rFonts w:hint="eastAsia" w:ascii="仿宋_GB2312" w:hAnsi="Times New Roman" w:eastAsia="仿宋_GB2312" w:cs="仿宋_GB2312"/>
          <w:sz w:val="32"/>
          <w:szCs w:val="32"/>
          <w:lang w:val="en-US" w:eastAsia="zh-CN"/>
        </w:rPr>
        <w:t>与</w:t>
      </w:r>
      <w:r>
        <w:rPr>
          <w:rFonts w:hint="eastAsia" w:ascii="仿宋_GB2312" w:hAnsi="Times New Roman" w:eastAsia="仿宋_GB2312" w:cs="仿宋_GB2312"/>
          <w:sz w:val="32"/>
          <w:szCs w:val="32"/>
        </w:rPr>
        <w:t>预算</w:t>
      </w:r>
      <w:r>
        <w:rPr>
          <w:rFonts w:hint="default" w:ascii="仿宋_GB2312" w:hAnsi="Times New Roman" w:eastAsia="仿宋_GB2312" w:cs="仿宋_GB2312"/>
          <w:sz w:val="32"/>
          <w:szCs w:val="32"/>
        </w:rPr>
        <w:t>持平</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与2022年度决算支出持平</w:t>
      </w:r>
      <w:r>
        <w:rPr>
          <w:rFonts w:hint="eastAsia" w:ascii="仿宋_GB2312"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5.07</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年度单位公务用车保有量2辆，发生运行维护费支出5.07万元。公车运行维护费支出较预算</w:t>
      </w:r>
      <w:r>
        <w:rPr>
          <w:rFonts w:hint="eastAsia" w:ascii="Times New Roman" w:hAnsi="Times New Roman" w:eastAsia="仿宋_GB2312" w:cs="Times New Roman"/>
          <w:color w:val="auto"/>
          <w:kern w:val="2"/>
          <w:sz w:val="32"/>
          <w:szCs w:val="32"/>
          <w:lang w:val="zh-CN" w:eastAsia="zh-CN" w:bidi="ar-SA"/>
        </w:rPr>
        <w:t>减少3.03万元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降低37.41%，</w:t>
      </w:r>
      <w:r>
        <w:rPr>
          <w:rFonts w:ascii="仿宋" w:hAnsi="仿宋" w:eastAsia="仿宋" w:cs="仿宋"/>
          <w:spacing w:val="5"/>
          <w:sz w:val="31"/>
          <w:szCs w:val="31"/>
        </w:rPr>
        <w:t>主要是加强对公务车辆的管理。规范和控制公务用车修理、用</w:t>
      </w:r>
      <w:r>
        <w:rPr>
          <w:rFonts w:ascii="仿宋" w:hAnsi="仿宋" w:eastAsia="仿宋" w:cs="仿宋"/>
          <w:spacing w:val="1"/>
          <w:sz w:val="31"/>
          <w:szCs w:val="31"/>
        </w:rPr>
        <w:t>油</w:t>
      </w:r>
      <w:r>
        <w:rPr>
          <w:rFonts w:ascii="仿宋" w:hAnsi="仿宋" w:eastAsia="仿宋" w:cs="仿宋"/>
          <w:spacing w:val="18"/>
          <w:sz w:val="31"/>
          <w:szCs w:val="31"/>
        </w:rPr>
        <w:t>等</w:t>
      </w:r>
      <w:r>
        <w:rPr>
          <w:rFonts w:ascii="仿宋" w:hAnsi="仿宋" w:eastAsia="仿宋" w:cs="仿宋"/>
          <w:spacing w:val="13"/>
          <w:sz w:val="31"/>
          <w:szCs w:val="31"/>
        </w:rPr>
        <w:t>行</w:t>
      </w:r>
      <w:r>
        <w:rPr>
          <w:rFonts w:ascii="仿宋" w:hAnsi="仿宋" w:eastAsia="仿宋" w:cs="仿宋"/>
          <w:spacing w:val="9"/>
          <w:sz w:val="31"/>
          <w:szCs w:val="31"/>
        </w:rPr>
        <w:t>为，最大限度提高单车使用效率</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增加</w:t>
      </w:r>
      <w:r>
        <w:rPr>
          <w:rFonts w:hint="eastAsia" w:ascii="Times New Roman" w:hAnsi="Times New Roman" w:eastAsia="仿宋_GB2312" w:cs="Times New Roman"/>
          <w:color w:val="auto"/>
          <w:kern w:val="2"/>
          <w:sz w:val="32"/>
          <w:szCs w:val="32"/>
          <w:lang w:val="en-US" w:eastAsia="zh-CN" w:bidi="ar-SA"/>
        </w:rPr>
        <w:t>0.01</w:t>
      </w:r>
      <w:r>
        <w:rPr>
          <w:rFonts w:hint="eastAsia" w:ascii="Times New Roman" w:hAnsi="Times New Roman" w:eastAsia="仿宋_GB2312" w:cs="Times New Roman"/>
          <w:color w:val="auto"/>
          <w:kern w:val="2"/>
          <w:sz w:val="32"/>
          <w:szCs w:val="32"/>
          <w:lang w:val="zh-CN" w:eastAsia="zh-CN" w:bidi="ar-SA"/>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增长0</w:t>
      </w:r>
      <w:r>
        <w:rPr>
          <w:rFonts w:hint="eastAsia" w:ascii="Times New Roman" w:hAnsi="Times New Roman" w:eastAsia="仿宋_GB2312" w:cs="Times New Roman"/>
          <w:color w:val="auto"/>
          <w:kern w:val="2"/>
          <w:sz w:val="32"/>
          <w:szCs w:val="32"/>
          <w:lang w:val="en-US" w:eastAsia="zh-CN" w:bidi="ar-SA"/>
        </w:rPr>
        <w:t>.2</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由于节约开支</w:t>
      </w:r>
      <w:r>
        <w:rPr>
          <w:rFonts w:hint="default" w:ascii="Times New Roman" w:hAnsi="Times New Roman" w:eastAsia="仿宋_GB2312" w:cs="Times New Roman"/>
          <w:color w:val="auto"/>
          <w:kern w:val="2"/>
          <w:sz w:val="32"/>
          <w:szCs w:val="32"/>
          <w:lang w:val="zh-CN" w:eastAsia="zh-CN" w:bidi="ar-SA"/>
        </w:rPr>
        <w:t>。</w:t>
      </w:r>
    </w:p>
    <w:p>
      <w:pPr>
        <w:pStyle w:val="10"/>
        <w:widowControl/>
        <w:numPr>
          <w:ilvl w:val="0"/>
          <w:numId w:val="3"/>
        </w:numPr>
        <w:spacing w:beforeAutospacing="0" w:afterAutospacing="0"/>
        <w:ind w:left="0" w:leftChars="0" w:firstLine="643" w:firstLineChars="200"/>
        <w:jc w:val="both"/>
        <w:outlineLvl w:val="1"/>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公务接待费。</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en-US"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年度公务接待费支出预算为3万元，支出决算0万元，完成预算的0%。公务接待费支出较预算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减少3万元，降低100%，</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rPr>
        <w:t>主要是</w:t>
      </w:r>
      <w:r>
        <w:rPr>
          <w:rFonts w:ascii="仿宋" w:hAnsi="仿宋" w:eastAsia="仿宋" w:cs="仿宋"/>
          <w:sz w:val="31"/>
          <w:szCs w:val="31"/>
        </w:rPr>
        <w:t>认</w:t>
      </w:r>
      <w:r>
        <w:rPr>
          <w:rFonts w:ascii="仿宋" w:hAnsi="仿宋" w:eastAsia="仿宋" w:cs="仿宋"/>
          <w:spacing w:val="-10"/>
          <w:sz w:val="31"/>
          <w:szCs w:val="31"/>
        </w:rPr>
        <w:t>真贯彻落</w:t>
      </w:r>
      <w:r>
        <w:rPr>
          <w:rFonts w:ascii="仿宋" w:hAnsi="仿宋" w:eastAsia="仿宋" w:cs="仿宋"/>
          <w:spacing w:val="-8"/>
          <w:sz w:val="31"/>
          <w:szCs w:val="31"/>
        </w:rPr>
        <w:t>实</w:t>
      </w:r>
      <w:r>
        <w:rPr>
          <w:rFonts w:ascii="仿宋" w:hAnsi="仿宋" w:eastAsia="仿宋" w:cs="仿宋"/>
          <w:spacing w:val="-5"/>
          <w:sz w:val="31"/>
          <w:szCs w:val="31"/>
        </w:rPr>
        <w:t>中央八项规定精神和厉行节约要求，从严控制“</w:t>
      </w:r>
      <w:r>
        <w:rPr>
          <w:rFonts w:hint="eastAsia" w:ascii="仿宋" w:hAnsi="仿宋" w:eastAsia="仿宋" w:cs="仿宋"/>
          <w:spacing w:val="-5"/>
          <w:sz w:val="31"/>
          <w:szCs w:val="31"/>
          <w:lang w:val="en-US" w:eastAsia="zh-CN"/>
        </w:rPr>
        <w:t>三公</w:t>
      </w:r>
      <w:r>
        <w:rPr>
          <w:rFonts w:ascii="仿宋" w:hAnsi="仿宋" w:eastAsia="仿宋" w:cs="仿宋"/>
          <w:spacing w:val="2"/>
          <w:sz w:val="31"/>
          <w:szCs w:val="31"/>
        </w:rPr>
        <w:t>”经费</w:t>
      </w:r>
      <w:r>
        <w:rPr>
          <w:rFonts w:ascii="仿宋" w:hAnsi="仿宋" w:eastAsia="仿宋" w:cs="仿宋"/>
          <w:spacing w:val="1"/>
          <w:sz w:val="31"/>
          <w:szCs w:val="31"/>
        </w:rPr>
        <w:t>开支</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增加</w:t>
      </w:r>
      <w:r>
        <w:rPr>
          <w:rFonts w:hint="eastAsia" w:ascii="Times New Roman" w:hAnsi="Times New Roman" w:eastAsia="仿宋_GB2312" w:cs="Times New Roman"/>
          <w:color w:val="auto"/>
          <w:kern w:val="2"/>
          <w:sz w:val="32"/>
          <w:szCs w:val="32"/>
          <w:lang w:val="en-US" w:eastAsia="zh-CN" w:bidi="ar-SA"/>
        </w:rPr>
        <w:t>0</w:t>
      </w:r>
      <w:r>
        <w:rPr>
          <w:rFonts w:hint="eastAsia" w:ascii="Times New Roman" w:hAnsi="Times New Roman" w:eastAsia="仿宋_GB2312" w:cs="Times New Roman"/>
          <w:color w:val="auto"/>
          <w:kern w:val="2"/>
          <w:sz w:val="32"/>
          <w:szCs w:val="32"/>
          <w:lang w:val="zh-CN" w:eastAsia="zh-CN" w:bidi="ar-SA"/>
        </w:rPr>
        <w:t>万元，增长0%，</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未发生公务接待</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pPr>
        <w:pStyle w:val="10"/>
        <w:widowControl/>
        <w:numPr>
          <w:ilvl w:val="0"/>
          <w:numId w:val="0"/>
        </w:numPr>
        <w:spacing w:beforeAutospacing="0" w:afterAutospacing="0"/>
        <w:ind w:leftChars="200"/>
        <w:jc w:val="both"/>
        <w:outlineLvl w:val="1"/>
        <w:rPr>
          <w:rFonts w:ascii="Times New Roman" w:hAnsi="Times New Roman" w:eastAsia="黑体"/>
          <w:color w:val="333333"/>
          <w:sz w:val="33"/>
          <w:szCs w:val="33"/>
          <w:shd w:val="clear" w:color="auto" w:fill="FFFFFF"/>
        </w:rPr>
      </w:pPr>
      <w:r>
        <w:rPr>
          <w:rFonts w:ascii="Times New Roman" w:hAnsi="Times New Roman" w:eastAsia="黑体"/>
          <w:color w:val="333333"/>
          <w:sz w:val="33"/>
          <w:szCs w:val="33"/>
          <w:shd w:val="clear" w:color="auto" w:fill="FFFFFF"/>
        </w:rPr>
        <w:t>六、</w:t>
      </w:r>
      <w:r>
        <w:rPr>
          <w:rFonts w:ascii="Times New Roman" w:hAnsi="Times New Roman" w:eastAsia="黑体"/>
          <w:sz w:val="32"/>
          <w:szCs w:val="32"/>
        </w:rPr>
        <w:t>机关运行经费支出说明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Arial"/>
          <w:color w:val="333333"/>
          <w:sz w:val="19"/>
          <w:szCs w:val="19"/>
          <w:shd w:val="clear" w:color="auto" w:fill="FFFFFF"/>
        </w:rPr>
        <w:t> </w:t>
      </w:r>
      <w:r>
        <w:rPr>
          <w:rFonts w:ascii="Times New Roman" w:hAnsi="Times New Roman" w:eastAsia="宋体"/>
          <w:color w:val="333333"/>
          <w:sz w:val="19"/>
          <w:szCs w:val="19"/>
          <w:shd w:val="clear" w:color="auto" w:fill="FFFFFF"/>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年度机关运行经费支出128.52万元，较2022年度</w:t>
      </w:r>
      <w:r>
        <w:rPr>
          <w:rFonts w:hint="eastAsia" w:ascii="Times New Roman" w:hAnsi="Times New Roman" w:eastAsia="仿宋_GB2312" w:cs="Times New Roman"/>
          <w:color w:val="auto"/>
          <w:kern w:val="2"/>
          <w:sz w:val="32"/>
          <w:szCs w:val="32"/>
          <w:lang w:val="en-US" w:eastAsia="zh-CN" w:bidi="ar-SA"/>
        </w:rPr>
        <w:t>减少1265.26</w:t>
      </w:r>
      <w:r>
        <w:rPr>
          <w:rFonts w:hint="eastAsia" w:ascii="Times New Roman" w:hAnsi="Times New Roman" w:eastAsia="仿宋_GB2312" w:cs="Times New Roman"/>
          <w:color w:val="auto"/>
          <w:kern w:val="2"/>
          <w:sz w:val="32"/>
          <w:szCs w:val="32"/>
          <w:lang w:val="zh-CN" w:eastAsia="zh-CN" w:bidi="ar-SA"/>
        </w:rPr>
        <w:t>万元，</w:t>
      </w:r>
      <w:r>
        <w:rPr>
          <w:rFonts w:hint="eastAsia" w:ascii="Times New Roman" w:hAnsi="Times New Roman" w:eastAsia="仿宋_GB2312" w:cs="Times New Roman"/>
          <w:color w:val="auto"/>
          <w:kern w:val="2"/>
          <w:sz w:val="32"/>
          <w:szCs w:val="32"/>
          <w:lang w:val="en-US" w:eastAsia="zh-CN" w:bidi="ar-SA"/>
        </w:rPr>
        <w:t>减少74.7</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主要原因是</w:t>
      </w:r>
      <w:r>
        <w:rPr>
          <w:rFonts w:hint="eastAsia" w:ascii="仿宋_GB2312" w:hAnsi="Times New Roman" w:eastAsia="仿宋_GB2312" w:cs="仿宋_GB2312"/>
          <w:sz w:val="32"/>
          <w:szCs w:val="32"/>
          <w:lang w:val="en-US" w:eastAsia="zh-CN"/>
        </w:rPr>
        <w:t>减少了追加绿化租地相关税费等支出</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420" w:firstLineChars="0"/>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七、</w:t>
      </w:r>
      <w:r>
        <w:rPr>
          <w:rFonts w:ascii="Times New Roman" w:hAnsi="Times New Roman" w:eastAsia="黑体" w:cs="Times New Roman"/>
          <w:sz w:val="32"/>
          <w:szCs w:val="32"/>
        </w:rPr>
        <w:t>政府采购支出说明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仿宋_GB2312"/>
          <w:color w:val="333333"/>
          <w:sz w:val="33"/>
          <w:szCs w:val="33"/>
          <w:shd w:val="clear" w:color="auto" w:fill="FFFFFF"/>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年度政府采购支出总额9.15万元，从采购类型来看，政府采购货物支出2.82万元、政府采购工程支出0万元、政府采购服务支出6.33万元。授予中小企业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8.62万元，占政府采购支出总额的94.21%，其中授予小微企业合同金额8.62万元，占政府采购支出总额的94.21%。</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年12月31日，本部门共有车辆11辆，比上年</w:t>
      </w:r>
      <w:r>
        <w:rPr>
          <w:rFonts w:hint="eastAsia" w:ascii="Times New Roman" w:hAnsi="Times New Roman" w:eastAsia="仿宋_GB2312" w:cs="Times New Roman"/>
          <w:color w:val="auto"/>
          <w:kern w:val="2"/>
          <w:sz w:val="32"/>
          <w:szCs w:val="32"/>
          <w:lang w:val="zh-CN" w:eastAsia="zh-CN" w:bidi="ar-SA"/>
        </w:rPr>
        <w:t>增加</w:t>
      </w:r>
      <w:r>
        <w:rPr>
          <w:rFonts w:hint="eastAsia" w:ascii="Times New Roman" w:hAnsi="Times New Roman" w:eastAsia="仿宋_GB2312" w:cs="Times New Roman"/>
          <w:color w:val="auto"/>
          <w:kern w:val="2"/>
          <w:sz w:val="32"/>
          <w:szCs w:val="32"/>
          <w:lang w:val="en-US" w:eastAsia="zh-CN" w:bidi="ar-SA"/>
        </w:rPr>
        <w:t>8</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调整固定资产分类</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用车0辆，机要通信用车0辆，应急保障用车2辆，执法执勤用车0辆，特种专业技术用车4辆，离退休干部用车0辆，其他用车5辆，其他用车主要是</w:t>
      </w:r>
      <w:r>
        <w:rPr>
          <w:rFonts w:hint="eastAsia" w:ascii="Times New Roman" w:hAnsi="Times New Roman" w:eastAsia="仿宋_GB2312" w:cs="Times New Roman"/>
          <w:color w:val="auto"/>
          <w:kern w:val="2"/>
          <w:sz w:val="32"/>
          <w:szCs w:val="32"/>
          <w:lang w:val="en-US" w:eastAsia="zh-CN" w:bidi="ar-SA"/>
        </w:rPr>
        <w:t>村内抽粪三轮罐车</w:t>
      </w:r>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pPr>
        <w:pStyle w:val="10"/>
        <w:widowControl/>
        <w:spacing w:beforeAutospacing="0" w:afterAutospacing="0"/>
        <w:ind w:left="420" w:leftChars="0" w:firstLine="420" w:firstLineChars="0"/>
        <w:jc w:val="both"/>
        <w:outlineLvl w:val="1"/>
        <w:rPr>
          <w:rFonts w:ascii="Times New Roman" w:hAnsi="Times New Roman" w:eastAsia="黑体"/>
          <w:kern w:val="2"/>
          <w:sz w:val="32"/>
          <w:szCs w:val="40"/>
        </w:rPr>
      </w:pPr>
      <w:r>
        <w:rPr>
          <w:rFonts w:ascii="Times New Roman" w:hAnsi="Times New Roman" w:eastAsia="黑体"/>
          <w:kern w:val="2"/>
          <w:sz w:val="32"/>
          <w:szCs w:val="40"/>
        </w:rPr>
        <w:t>九、预算绩效情况说明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根据预算绩效管理要求，本部门组织对2023年度一般公共预算项目支出全面开展绩效自评，其中，一级项目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23</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2538.37</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63.43</w:t>
      </w:r>
      <w:r>
        <w:rPr>
          <w:rFonts w:hint="default" w:ascii="Times New Roman" w:hAnsi="Times New Roman" w:eastAsia="仿宋_GB2312" w:cs="Times New Roman"/>
          <w:color w:val="auto"/>
          <w:kern w:val="2"/>
          <w:sz w:val="32"/>
          <w:szCs w:val="32"/>
          <w:lang w:val="zh-CN" w:eastAsia="zh-CN" w:bidi="ar-SA"/>
        </w:rPr>
        <w:t>%。组织对2023年度提前下达2022年省级农村综合改革转移支付资金（2022年大河镇一事一议项目）、2023年区级鹿泉大河路照明工程等</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个政府性基金预算项目支出开展绩效自评，共涉及资金</w:t>
      </w:r>
      <w:r>
        <w:rPr>
          <w:rFonts w:hint="eastAsia" w:ascii="Times New Roman" w:hAnsi="Times New Roman" w:eastAsia="仿宋_GB2312" w:cs="Times New Roman"/>
          <w:color w:val="auto"/>
          <w:kern w:val="2"/>
          <w:sz w:val="32"/>
          <w:szCs w:val="32"/>
          <w:lang w:val="en-US" w:eastAsia="zh-CN" w:bidi="ar-SA"/>
        </w:rPr>
        <w:t>21.6</w:t>
      </w:r>
      <w:r>
        <w:rPr>
          <w:rFonts w:hint="default" w:ascii="Times New Roman" w:hAnsi="Times New Roman" w:eastAsia="仿宋_GB2312" w:cs="Times New Roman"/>
          <w:color w:val="auto"/>
          <w:kern w:val="2"/>
          <w:sz w:val="32"/>
          <w:szCs w:val="32"/>
          <w:lang w:val="zh-CN" w:eastAsia="zh-CN" w:bidi="ar-SA"/>
        </w:rPr>
        <w:t>万元，占政府性基金预算项目支出总额的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40" w:firstLineChars="200"/>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color w:val="auto"/>
          <w:kern w:val="2"/>
          <w:sz w:val="32"/>
          <w:szCs w:val="32"/>
          <w:lang w:val="zh-CN" w:eastAsia="zh-CN" w:bidi="ar-SA"/>
        </w:rPr>
        <w:t>组织对“2023年区级鹿泉大河路照明工程”“2023镇级机关运转经费”等</w:t>
      </w:r>
      <w:r>
        <w:rPr>
          <w:rFonts w:hint="eastAsia" w:ascii="Times New Roman" w:hAnsi="Times New Roman" w:eastAsia="仿宋_GB2312" w:cs="Times New Roman"/>
          <w:color w:val="auto"/>
          <w:kern w:val="2"/>
          <w:sz w:val="32"/>
          <w:szCs w:val="32"/>
          <w:lang w:val="en-US" w:eastAsia="zh-CN" w:bidi="ar-SA"/>
        </w:rPr>
        <w:t>24</w:t>
      </w:r>
      <w:r>
        <w:rPr>
          <w:rFonts w:hint="default" w:ascii="Times New Roman" w:hAnsi="Times New Roman" w:eastAsia="仿宋_GB2312" w:cs="Times New Roman"/>
          <w:color w:val="auto"/>
          <w:kern w:val="2"/>
          <w:sz w:val="32"/>
          <w:szCs w:val="32"/>
          <w:lang w:val="zh-CN" w:eastAsia="zh-CN" w:bidi="ar-SA"/>
        </w:rPr>
        <w:t>个项目开展了部门评价，涉及一般公共预算支出</w:t>
      </w:r>
      <w:r>
        <w:rPr>
          <w:rFonts w:hint="eastAsia" w:ascii="Times New Roman" w:hAnsi="Times New Roman" w:eastAsia="仿宋_GB2312" w:cs="Times New Roman"/>
          <w:color w:val="auto"/>
          <w:kern w:val="2"/>
          <w:sz w:val="32"/>
          <w:szCs w:val="32"/>
          <w:lang w:val="en-US" w:eastAsia="zh-CN" w:bidi="ar-SA"/>
        </w:rPr>
        <w:t>2537.37</w:t>
      </w:r>
      <w:r>
        <w:rPr>
          <w:rFonts w:hint="default" w:ascii="Times New Roman" w:hAnsi="Times New Roman" w:eastAsia="仿宋_GB2312" w:cs="Times New Roman"/>
          <w:color w:val="auto"/>
          <w:kern w:val="2"/>
          <w:sz w:val="32"/>
          <w:szCs w:val="32"/>
          <w:lang w:val="zh-CN" w:eastAsia="zh-CN" w:bidi="ar-SA"/>
        </w:rPr>
        <w:t>万元，政府性基金预算支出</w:t>
      </w:r>
      <w:r>
        <w:rPr>
          <w:rFonts w:hint="eastAsia" w:ascii="Times New Roman" w:hAnsi="Times New Roman" w:eastAsia="仿宋_GB2312" w:cs="Times New Roman"/>
          <w:color w:val="auto"/>
          <w:kern w:val="2"/>
          <w:sz w:val="32"/>
          <w:szCs w:val="32"/>
          <w:lang w:val="en-US" w:eastAsia="zh-CN" w:bidi="ar-SA"/>
        </w:rPr>
        <w:t>21.6</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万元。从评价情况来看，</w:t>
      </w:r>
      <w:r>
        <w:rPr>
          <w:rFonts w:hint="eastAsia" w:ascii="仿宋_GB2312" w:hAnsi="仿宋_GB2312" w:eastAsia="仿宋_GB2312" w:cs="仿宋_GB2312"/>
          <w:sz w:val="32"/>
          <w:szCs w:val="32"/>
          <w:lang w:val="en-US" w:eastAsia="zh-CN"/>
        </w:rPr>
        <w:t>共23个项目评价为优，1个项目评价为良。</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val="en-US" w:eastAsia="zh-CN"/>
        </w:rPr>
        <w:t>单位</w:t>
      </w:r>
      <w:r>
        <w:rPr>
          <w:rFonts w:hint="default" w:ascii="Times New Roman" w:hAnsi="Times New Roman" w:eastAsia="仿宋_GB2312" w:cs="Times New Roman"/>
          <w:b/>
          <w:bCs/>
          <w:sz w:val="32"/>
          <w:szCs w:val="32"/>
        </w:rPr>
        <w:t>决算中项目绩效自评结果</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本部门在今年部门决算公开中反映</w:t>
      </w:r>
      <w:r>
        <w:rPr>
          <w:rFonts w:hint="eastAsia" w:ascii="仿宋_GB2312" w:hAnsi="仿宋_GB2312" w:eastAsia="仿宋_GB2312" w:cs="仿宋_GB2312"/>
          <w:sz w:val="32"/>
          <w:szCs w:val="32"/>
          <w:lang w:val="en-US" w:eastAsia="zh-CN"/>
        </w:rPr>
        <w:t>农村生活垃圾清理资金项目</w:t>
      </w:r>
      <w:r>
        <w:rPr>
          <w:rFonts w:hint="default" w:ascii="Times New Roman" w:hAnsi="Times New Roman" w:eastAsia="仿宋_GB2312" w:cs="Times New Roman"/>
          <w:color w:val="auto"/>
          <w:kern w:val="2"/>
          <w:sz w:val="32"/>
          <w:szCs w:val="32"/>
          <w:lang w:val="zh-CN" w:eastAsia="zh-CN" w:bidi="ar-SA"/>
        </w:rPr>
        <w:t xml:space="preserve">及 </w:t>
      </w:r>
      <w:r>
        <w:rPr>
          <w:rFonts w:hint="eastAsia" w:ascii="仿宋_GB2312" w:hAnsi="仿宋_GB2312" w:eastAsia="仿宋_GB2312" w:cs="仿宋_GB2312"/>
          <w:sz w:val="32"/>
          <w:szCs w:val="32"/>
          <w:lang w:val="en-US" w:eastAsia="zh-CN"/>
        </w:rPr>
        <w:t>2023区级退役公益性岗位、派遣人员工资、社保项目</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个项目绩效自评结果。</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right="0" w:firstLine="880" w:firstLineChars="275"/>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1、2023镇级幼儿教师及代课教师劳务费支出</w:t>
      </w:r>
      <w:r>
        <w:rPr>
          <w:rFonts w:hint="default" w:ascii="Times New Roman" w:hAnsi="Times New Roman" w:eastAsia="仿宋_GB2312" w:cs="Times New Roman"/>
          <w:color w:val="auto"/>
          <w:kern w:val="2"/>
          <w:sz w:val="32"/>
          <w:szCs w:val="32"/>
          <w:lang w:val="zh-CN" w:eastAsia="zh-CN" w:bidi="ar-SA"/>
        </w:rPr>
        <w:t>项目绩效自评情况</w:t>
      </w:r>
      <w:r>
        <w:rPr>
          <w:rFonts w:hint="eastAsia" w:ascii="仿宋_GB2312" w:hAnsi="仿宋_GB2312" w:eastAsia="仿宋_GB2312" w:cs="仿宋_GB2312"/>
          <w:sz w:val="32"/>
          <w:szCs w:val="32"/>
          <w:lang w:val="en-US" w:eastAsia="zh-CN"/>
        </w:rPr>
        <w:t>。</w:t>
      </w:r>
      <w:r>
        <w:rPr>
          <w:rFonts w:hint="default" w:ascii="Times New Roman" w:hAnsi="Times New Roman" w:eastAsia="仿宋_GB2312" w:cs="Times New Roman"/>
          <w:color w:val="auto"/>
          <w:kern w:val="2"/>
          <w:sz w:val="32"/>
          <w:szCs w:val="32"/>
          <w:lang w:val="zh-CN" w:eastAsia="zh-CN" w:bidi="ar-SA"/>
        </w:rPr>
        <w:t>根据年初设定的绩效目标，2023镇级幼儿教师及代课教师劳务费支出项目绩效自评得分为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229</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229</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%。项目绩效目标完成情况：一是</w:t>
      </w:r>
      <w:r>
        <w:rPr>
          <w:rFonts w:hint="eastAsia" w:ascii="Times New Roman" w:hAnsi="Times New Roman" w:eastAsia="仿宋_GB2312" w:cs="Times New Roman"/>
          <w:color w:val="auto"/>
          <w:kern w:val="2"/>
          <w:sz w:val="32"/>
          <w:szCs w:val="32"/>
          <w:lang w:val="en-US" w:eastAsia="zh-CN" w:bidi="ar-SA"/>
        </w:rPr>
        <w:t>我镇共有临时教师98名，其中幼儿教师26名，每人每月劳务费1960元，临时代课教师72名，每人每月劳务费1950元，已全部发放到位</w:t>
      </w:r>
      <w:r>
        <w:rPr>
          <w:rFonts w:hint="default" w:ascii="Times New Roman" w:hAnsi="Times New Roman" w:eastAsia="仿宋_GB2312" w:cs="Times New Roman"/>
          <w:color w:val="auto"/>
          <w:kern w:val="2"/>
          <w:sz w:val="32"/>
          <w:szCs w:val="32"/>
          <w:lang w:val="zh-CN" w:eastAsia="zh-CN" w:bidi="ar-SA"/>
        </w:rPr>
        <w:t>；二是通过对临时教师的劳务费支出可保障了临时代课人员的基本生活开支，提升幸福指数。未发现问题。</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2、2023区级退役公益性岗位、派遣人员工资、社保</w:t>
      </w:r>
      <w:r>
        <w:rPr>
          <w:rFonts w:hint="default" w:ascii="Times New Roman" w:hAnsi="Times New Roman" w:eastAsia="仿宋_GB2312" w:cs="Times New Roman"/>
          <w:color w:val="auto"/>
          <w:kern w:val="2"/>
          <w:sz w:val="32"/>
          <w:szCs w:val="32"/>
          <w:lang w:val="zh-CN" w:eastAsia="zh-CN" w:bidi="ar-SA"/>
        </w:rPr>
        <w:t>项目绩效自评情况</w:t>
      </w:r>
      <w:r>
        <w:rPr>
          <w:rFonts w:hint="eastAsia" w:ascii="仿宋_GB2312" w:hAnsi="仿宋_GB2312" w:eastAsia="仿宋_GB2312" w:cs="仿宋_GB2312"/>
          <w:sz w:val="32"/>
          <w:szCs w:val="32"/>
          <w:lang w:val="en-US" w:eastAsia="zh-CN"/>
        </w:rPr>
        <w:t>。</w:t>
      </w:r>
      <w:r>
        <w:rPr>
          <w:rFonts w:hint="default" w:ascii="Times New Roman" w:hAnsi="Times New Roman" w:eastAsia="仿宋_GB2312" w:cs="Times New Roman"/>
          <w:color w:val="auto"/>
          <w:kern w:val="2"/>
          <w:sz w:val="32"/>
          <w:szCs w:val="32"/>
          <w:lang w:val="zh-CN" w:eastAsia="zh-CN" w:bidi="ar-SA"/>
        </w:rPr>
        <w:t>根据年初设定的绩效目标，</w:t>
      </w:r>
      <w:r>
        <w:rPr>
          <w:rFonts w:hint="eastAsia" w:ascii="仿宋_GB2312" w:hAnsi="仿宋_GB2312" w:eastAsia="仿宋_GB2312" w:cs="仿宋_GB2312"/>
          <w:sz w:val="32"/>
          <w:szCs w:val="32"/>
          <w:lang w:val="en-US" w:eastAsia="zh-CN"/>
        </w:rPr>
        <w:t>2023区级退役公益性岗位、派遣人员工资、社保</w:t>
      </w:r>
      <w:r>
        <w:rPr>
          <w:rFonts w:hint="default" w:ascii="Times New Roman" w:hAnsi="Times New Roman" w:eastAsia="仿宋_GB2312" w:cs="Times New Roman"/>
          <w:color w:val="auto"/>
          <w:kern w:val="2"/>
          <w:sz w:val="32"/>
          <w:szCs w:val="32"/>
          <w:lang w:val="zh-CN" w:eastAsia="zh-CN" w:bidi="ar-SA"/>
        </w:rPr>
        <w:t>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80.32</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80.32</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%。项目绩效目标完成情况：一是我单位对符合就业困难条件部队退役人员15名，实行</w:t>
      </w:r>
      <w:r>
        <w:rPr>
          <w:rFonts w:hint="eastAsia" w:ascii="Times New Roman" w:hAnsi="Times New Roman" w:eastAsia="仿宋_GB2312" w:cs="Times New Roman"/>
          <w:color w:val="auto"/>
          <w:kern w:val="2"/>
          <w:sz w:val="32"/>
          <w:szCs w:val="32"/>
          <w:lang w:val="zh-CN" w:eastAsia="zh-CN" w:bidi="ar-SA"/>
        </w:rPr>
        <w:t>公益性岗位</w:t>
      </w:r>
      <w:r>
        <w:rPr>
          <w:rFonts w:hint="default" w:ascii="Times New Roman" w:hAnsi="Times New Roman" w:eastAsia="仿宋_GB2312" w:cs="Times New Roman"/>
          <w:color w:val="auto"/>
          <w:kern w:val="2"/>
          <w:sz w:val="32"/>
          <w:szCs w:val="32"/>
          <w:lang w:val="zh-CN" w:eastAsia="zh-CN" w:bidi="ar-SA"/>
        </w:rPr>
        <w:t>托管安置，</w:t>
      </w:r>
      <w:r>
        <w:rPr>
          <w:rFonts w:hint="eastAsia" w:ascii="Times New Roman" w:hAnsi="Times New Roman" w:eastAsia="仿宋_GB2312" w:cs="Times New Roman"/>
          <w:color w:val="auto"/>
          <w:kern w:val="2"/>
          <w:sz w:val="32"/>
          <w:szCs w:val="32"/>
          <w:lang w:val="en-US" w:eastAsia="zh-CN" w:bidi="ar-SA"/>
        </w:rPr>
        <w:t>工资已发放到位</w:t>
      </w:r>
      <w:r>
        <w:rPr>
          <w:rFonts w:hint="default" w:ascii="Times New Roman" w:hAnsi="Times New Roman" w:eastAsia="仿宋_GB2312" w:cs="Times New Roman"/>
          <w:color w:val="auto"/>
          <w:kern w:val="2"/>
          <w:sz w:val="32"/>
          <w:szCs w:val="32"/>
          <w:lang w:val="zh-CN" w:eastAsia="zh-CN" w:bidi="ar-SA"/>
        </w:rPr>
        <w:t>；二是帮扶救助到位，加大就业援助工作，实现就业。未发现问题。</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eastAsia" w:ascii="仿宋_GB2312" w:hAnsi="仿宋_GB2312" w:eastAsia="仿宋_GB2312" w:cs="仿宋_GB2312"/>
          <w:sz w:val="32"/>
          <w:szCs w:val="32"/>
          <w:lang w:val="en-US" w:eastAsia="zh-CN"/>
        </w:rPr>
        <w:t>3、</w:t>
      </w:r>
      <w:r>
        <w:rPr>
          <w:rFonts w:hint="default" w:ascii="Times New Roman" w:hAnsi="Times New Roman" w:eastAsia="仿宋_GB2312" w:cs="Times New Roman"/>
          <w:color w:val="auto"/>
          <w:kern w:val="2"/>
          <w:sz w:val="32"/>
          <w:szCs w:val="32"/>
          <w:lang w:val="zh-CN" w:eastAsia="zh-CN" w:bidi="ar-SA"/>
        </w:rPr>
        <w:t>2023镇级各村村级补助支出项目绩效自评情况：根据年初设定的绩效目标，2023镇级各村村级补助支出项目绩效自评得分为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200</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200</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%。项目绩效目标完成情况：一是</w:t>
      </w:r>
      <w:r>
        <w:rPr>
          <w:rFonts w:hint="eastAsia" w:ascii="Times New Roman" w:hAnsi="Times New Roman" w:eastAsia="仿宋_GB2312" w:cs="Times New Roman"/>
          <w:color w:val="auto"/>
          <w:kern w:val="2"/>
          <w:sz w:val="32"/>
          <w:szCs w:val="32"/>
          <w:lang w:val="en-US" w:eastAsia="zh-CN" w:bidi="ar-SA"/>
        </w:rPr>
        <w:t>对各村美丽乡村建设进行补助</w:t>
      </w:r>
      <w:r>
        <w:rPr>
          <w:rFonts w:hint="default" w:ascii="Times New Roman" w:hAnsi="Times New Roman" w:eastAsia="仿宋_GB2312" w:cs="Times New Roman"/>
          <w:color w:val="auto"/>
          <w:kern w:val="2"/>
          <w:sz w:val="32"/>
          <w:szCs w:val="32"/>
          <w:lang w:val="zh-CN" w:eastAsia="zh-CN" w:bidi="ar-SA"/>
        </w:rPr>
        <w:t>；二是进行人居环境整治，创建适合宜居的美丽新乡村。</w:t>
      </w:r>
      <w:r>
        <w:rPr>
          <w:rFonts w:hint="default" w:ascii="Times New Roman" w:hAnsi="Times New Roman" w:eastAsia="仿宋_GB2312" w:cs="Times New Roman"/>
          <w:color w:val="auto"/>
          <w:kern w:val="0"/>
          <w:sz w:val="32"/>
          <w:szCs w:val="32"/>
          <w:highlight w:val="none"/>
          <w:lang w:val="en-US" w:eastAsia="zh-CN" w:bidi="ar-SA"/>
        </w:rPr>
        <w:t>未发现问题</w:t>
      </w:r>
      <w:r>
        <w:rPr>
          <w:rFonts w:hint="eastAsia" w:ascii="Times New Roman" w:hAnsi="Times New Roman" w:eastAsia="仿宋_GB2312" w:cs="Times New Roman"/>
          <w:color w:val="auto"/>
          <w:kern w:val="0"/>
          <w:sz w:val="32"/>
          <w:szCs w:val="32"/>
          <w:highlight w:val="none"/>
          <w:lang w:val="en-US" w:eastAsia="zh-CN" w:bidi="ar-SA"/>
        </w:rPr>
        <w:t>。</w:t>
      </w:r>
    </w:p>
    <w:p>
      <w:pPr>
        <w:ind w:firstLine="420" w:firstLineChars="0"/>
        <w:rPr>
          <w:rFonts w:hint="eastAsia"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rPr>
        <w:t>附项目支出绩效自评表</w:t>
      </w:r>
      <w:r>
        <w:rPr>
          <w:rFonts w:hint="eastAsia" w:ascii="Times New Roman" w:hAnsi="Times New Roman" w:eastAsia="仿宋_GB2312" w:cs="Times New Roman"/>
          <w:sz w:val="32"/>
          <w:szCs w:val="32"/>
          <w:highlight w:val="none"/>
          <w:lang w:eastAsia="zh-CN"/>
        </w:rPr>
        <w:t>：</w:t>
      </w:r>
    </w:p>
    <w:tbl>
      <w:tblPr>
        <w:tblStyle w:val="13"/>
        <w:tblW w:w="852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6"/>
        <w:gridCol w:w="5396"/>
        <w:gridCol w:w="1193"/>
        <w:gridCol w:w="11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40" w:hRule="atLeast"/>
        </w:trPr>
        <w:tc>
          <w:tcPr>
            <w:tcW w:w="8522" w:type="dxa"/>
            <w:gridSpan w:val="4"/>
            <w:tcBorders>
              <w:top w:val="nil"/>
              <w:left w:val="nil"/>
              <w:bottom w:val="nil"/>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b/>
                <w:bCs/>
                <w:i w:val="0"/>
                <w:iCs w:val="0"/>
                <w:color w:val="000000"/>
                <w:sz w:val="44"/>
                <w:szCs w:val="44"/>
                <w:u w:val="none"/>
              </w:rPr>
            </w:pPr>
            <w:r>
              <w:rPr>
                <w:rFonts w:hint="eastAsia" w:ascii="黑体" w:hAnsi="黑体" w:eastAsia="黑体" w:cs="黑体"/>
                <w:b/>
                <w:bCs/>
                <w:i w:val="0"/>
                <w:iCs w:val="0"/>
                <w:color w:val="000000"/>
                <w:kern w:val="0"/>
                <w:sz w:val="32"/>
                <w:szCs w:val="32"/>
                <w:u w:val="none"/>
                <w:lang w:val="en-US" w:eastAsia="zh-CN" w:bidi="ar"/>
              </w:rPr>
              <w:t>单位绩效自评结果公开汇总表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6132" w:type="dxa"/>
            <w:gridSpan w:val="2"/>
            <w:tcBorders>
              <w:top w:val="nil"/>
              <w:left w:val="nil"/>
              <w:bottom w:val="single" w:color="000000" w:sz="4" w:space="0"/>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主管部门：大河镇人民政府</w:t>
            </w:r>
          </w:p>
        </w:tc>
        <w:tc>
          <w:tcPr>
            <w:tcW w:w="2390" w:type="dxa"/>
            <w:gridSpan w:val="2"/>
            <w:tcBorders>
              <w:top w:val="nil"/>
              <w:left w:val="nil"/>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0" w:hRule="atLeast"/>
        </w:trPr>
        <w:tc>
          <w:tcPr>
            <w:tcW w:w="7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5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1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11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自评结果应用意见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4"/>
                <w:szCs w:val="24"/>
                <w:u w:val="none"/>
              </w:rPr>
            </w:pPr>
          </w:p>
        </w:tc>
        <w:tc>
          <w:tcPr>
            <w:tcW w:w="5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4"/>
                <w:szCs w:val="24"/>
                <w:u w:val="none"/>
              </w:rPr>
            </w:pPr>
          </w:p>
        </w:tc>
        <w:tc>
          <w:tcPr>
            <w:tcW w:w="11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4"/>
                <w:szCs w:val="24"/>
                <w:u w:val="none"/>
              </w:rPr>
            </w:pPr>
          </w:p>
        </w:tc>
        <w:tc>
          <w:tcPr>
            <w:tcW w:w="11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农村生活垃圾清理资金</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2023区级退役公益性岗位、派遣人员工资、社保</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提前下达2022年省级农村综合改革转移支付资金（2022年大河镇一事一议项目）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提前下达2022年省级农村综合改革转移支付资金（2022年大河镇一事一议项目）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提前下达2023年省级农村综合改革转移支付资金（2023年大河镇一事一议项目）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提前下达2023年省级农村综合改革转移支付资金（2023年大河镇一事一议项目）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2023区级双庙营房污水管道项目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2023年区级宇缘纸品公司拆迁补偿（南故城村灵堂搬迁）</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2023年区级鹿泉大河路照明工程</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2023年区级故城旧工业区拆迁评估费</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良好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大河物流周边整治提升</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公共文化设施免费开放（乡镇文化站）</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2023镇级幼儿教师及代课教师劳务费支出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2023年镇级幼儿教师及代课教师补发劳务费</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2023镇级应急管理事务支出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2023镇级卫生及计划生育事物支出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2023镇级社会保障农村救济支出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2023镇级群众文化宣传资料及条幅、展牌等支出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2023镇级绿化、防汛等事务支出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2023镇级节能环保大气污染防治支出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2023镇级机关运转经费</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2023镇级各村村级补助支出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2023镇级城乡社区其他事务支出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2023年镇级城乡社区其他事物支出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bl>
    <w:p>
      <w:pPr>
        <w:ind w:firstLine="420" w:firstLineChars="0"/>
        <w:rPr>
          <w:rFonts w:hint="eastAsia" w:ascii="Times New Roman" w:hAnsi="Times New Roman" w:eastAsia="仿宋_GB2312" w:cs="Times New Roman"/>
          <w:sz w:val="32"/>
          <w:szCs w:val="32"/>
          <w:highlight w:val="none"/>
          <w:lang w:eastAsia="zh-CN"/>
        </w:rPr>
      </w:pPr>
    </w:p>
    <w:p>
      <w:pPr>
        <w:numPr>
          <w:ilvl w:val="0"/>
          <w:numId w:val="6"/>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val="en-US" w:eastAsia="zh-CN"/>
        </w:rPr>
        <w:t>单位</w:t>
      </w:r>
      <w:r>
        <w:rPr>
          <w:rFonts w:hint="default" w:ascii="Times New Roman" w:hAnsi="Times New Roman" w:eastAsia="仿宋_GB2312" w:cs="Times New Roman"/>
          <w:b/>
          <w:bCs/>
          <w:sz w:val="32"/>
          <w:szCs w:val="32"/>
        </w:rPr>
        <w:t>评价项目绩效评价结果</w:t>
      </w:r>
    </w:p>
    <w:tbl>
      <w:tblPr>
        <w:tblStyle w:val="13"/>
        <w:tblW w:w="852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6"/>
        <w:gridCol w:w="5396"/>
        <w:gridCol w:w="1193"/>
        <w:gridCol w:w="11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40" w:hRule="atLeast"/>
        </w:trPr>
        <w:tc>
          <w:tcPr>
            <w:tcW w:w="8522" w:type="dxa"/>
            <w:gridSpan w:val="4"/>
            <w:tcBorders>
              <w:top w:val="nil"/>
              <w:left w:val="nil"/>
              <w:bottom w:val="nil"/>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b/>
                <w:bCs/>
                <w:i w:val="0"/>
                <w:iCs w:val="0"/>
                <w:color w:val="000000"/>
                <w:sz w:val="44"/>
                <w:szCs w:val="44"/>
                <w:u w:val="none"/>
              </w:rPr>
            </w:pPr>
            <w:r>
              <w:rPr>
                <w:rFonts w:hint="eastAsia" w:ascii="黑体" w:hAnsi="黑体" w:eastAsia="黑体" w:cs="黑体"/>
                <w:b/>
                <w:bCs/>
                <w:i w:val="0"/>
                <w:iCs w:val="0"/>
                <w:color w:val="000000"/>
                <w:kern w:val="0"/>
                <w:sz w:val="32"/>
                <w:szCs w:val="32"/>
                <w:u w:val="none"/>
                <w:lang w:val="en-US" w:eastAsia="zh-CN" w:bidi="ar"/>
              </w:rPr>
              <w:t>单位绩效自评结果公开汇总表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6132" w:type="dxa"/>
            <w:gridSpan w:val="2"/>
            <w:tcBorders>
              <w:top w:val="nil"/>
              <w:left w:val="nil"/>
              <w:bottom w:val="single" w:color="000000" w:sz="4" w:space="0"/>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主管部门：大河镇人民政府</w:t>
            </w:r>
          </w:p>
        </w:tc>
        <w:tc>
          <w:tcPr>
            <w:tcW w:w="2390" w:type="dxa"/>
            <w:gridSpan w:val="2"/>
            <w:tcBorders>
              <w:top w:val="nil"/>
              <w:left w:val="nil"/>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0" w:hRule="atLeast"/>
        </w:trPr>
        <w:tc>
          <w:tcPr>
            <w:tcW w:w="7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5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1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11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自评结果应用意见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4"/>
                <w:szCs w:val="24"/>
                <w:u w:val="none"/>
              </w:rPr>
            </w:pPr>
          </w:p>
        </w:tc>
        <w:tc>
          <w:tcPr>
            <w:tcW w:w="5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4"/>
                <w:szCs w:val="24"/>
                <w:u w:val="none"/>
              </w:rPr>
            </w:pPr>
          </w:p>
        </w:tc>
        <w:tc>
          <w:tcPr>
            <w:tcW w:w="11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4"/>
                <w:szCs w:val="24"/>
                <w:u w:val="none"/>
              </w:rPr>
            </w:pPr>
          </w:p>
        </w:tc>
        <w:tc>
          <w:tcPr>
            <w:tcW w:w="11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spacing w:line="578" w:lineRule="exact"/>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农村生活垃圾清理资金</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2023区级退役公益性岗位、派遣人员工资、社保</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提前下达2022年省级农村综合改革转移支付资金（2022年大河镇一事一议项目）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提前下达2022年省级农村综合改革转移支付资金（2022年大河镇一事一议项目）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提前下达2023年省级农村综合改革转移支付资金（2023年大河镇一事一议项目）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0"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提前下达2023年省级农村综合改革转移支付资金（2023年大河镇一事一议项目）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2023区级双庙营房污水管道项目</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2023年区级宇缘纸品公司拆迁补偿（南故城村灵堂搬迁）</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2023年区级鹿泉大河路照明工程</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2023年区级故城旧工业区拆迁评估费</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良好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大河物流周边整治提升</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公共文化设施免费开放（乡镇文化站）</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2023镇级幼儿教师及代课教师劳务费支出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2023年镇级幼儿教师及代课教师补发劳务费</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2023镇级应急管理事务支出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2023镇级卫生及计划生育事物支出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2023镇级社会保障农村救济支出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2023镇级群众文化宣传资料及条幅、展牌等支出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2023镇级绿化、防汛等事务支出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2023镇级节能环保大气污染防治支出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2023镇级机关运转经费</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2023镇级各村村级补助支出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2023镇级城乡社区其他事务支出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2"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5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2023年镇级城乡社区其他事物支出</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bl>
    <w:p>
      <w:pPr>
        <w:adjustRightInd w:val="0"/>
        <w:snapToGrid w:val="0"/>
        <w:spacing w:line="580" w:lineRule="exact"/>
        <w:ind w:left="480" w:leftChars="200" w:firstLine="321" w:firstLineChars="100"/>
        <w:rPr>
          <w:rFonts w:ascii="Times New Roman" w:hAnsi="Times New Roman" w:eastAsia="仿宋_GB2312" w:cs="Times New Roman"/>
          <w:b/>
          <w:bCs/>
          <w:sz w:val="32"/>
          <w:szCs w:val="32"/>
        </w:rPr>
      </w:pPr>
    </w:p>
    <w:p>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ascii="Times New Roman" w:hAnsi="Times New Roman" w:eastAsia="仿宋_GB2312" w:cs="Times New Roman"/>
          <w:sz w:val="32"/>
          <w:szCs w:val="32"/>
        </w:rPr>
        <w:t xml:space="preserve">1. </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3</w:t>
      </w:r>
      <w:r>
        <w:rPr>
          <w:rFonts w:hint="eastAsia" w:ascii="仿宋_GB2312" w:hAnsi="Times New Roman" w:eastAsia="仿宋_GB2312" w:cs="仿宋_GB2312"/>
          <w:sz w:val="32"/>
          <w:szCs w:val="32"/>
        </w:rPr>
        <w:t>年度未发生国有资本经营预算收支及结转结余情况，故国有资本经营预算支出表 (0</w:t>
      </w:r>
      <w:r>
        <w:rPr>
          <w:rFonts w:hint="eastAsia" w:ascii="仿宋_GB2312" w:hAnsi="Times New Roman" w:eastAsia="仿宋_GB2312" w:cs="仿宋_GB2312"/>
          <w:sz w:val="32"/>
          <w:szCs w:val="32"/>
          <w:lang w:val="en-US" w:eastAsia="zh-CN"/>
        </w:rPr>
        <w:t>8</w:t>
      </w:r>
      <w:r>
        <w:rPr>
          <w:rFonts w:hint="eastAsia" w:ascii="仿宋_GB2312" w:hAnsi="Times New Roman" w:eastAsia="仿宋_GB2312" w:cs="仿宋_GB2312"/>
          <w:sz w:val="32"/>
          <w:szCs w:val="32"/>
        </w:rPr>
        <w:t xml:space="preserve"> 表) 以空表列示。</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pPr>
        <w:adjustRightInd w:val="0"/>
        <w:snapToGrid w:val="0"/>
        <w:spacing w:line="580" w:lineRule="exact"/>
        <w:ind w:firstLine="640" w:firstLineChars="200"/>
        <w:rPr>
          <w:rFonts w:ascii="Times New Roman" w:hAnsi="Times New Roman" w:eastAsia="仿宋_GB2312" w:cs="Times New Roman"/>
          <w:sz w:val="32"/>
          <w:szCs w:val="32"/>
        </w:rPr>
      </w:pPr>
    </w:p>
    <w:p>
      <w:pPr>
        <w:widowControl/>
        <w:spacing w:line="580" w:lineRule="exact"/>
        <w:ind w:firstLine="883" w:firstLineChars="200"/>
        <w:jc w:val="left"/>
        <w:rPr>
          <w:rFonts w:ascii="Times New Roman" w:hAnsi="Times New Roman" w:eastAsia="宋体" w:cs="Times New Roman"/>
          <w:b/>
          <w:bCs/>
          <w:sz w:val="44"/>
          <w:szCs w:val="44"/>
        </w:rPr>
      </w:pPr>
    </w:p>
    <w:p>
      <w:pPr>
        <w:rPr>
          <w:rFonts w:ascii="Times New Roman" w:hAnsi="Times New Roman" w:eastAsia="仿宋_GB2312" w:cs="Times New Roman"/>
          <w:sz w:val="32"/>
          <w:szCs w:val="32"/>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rPr>
          <w:rFonts w:ascii="Times New Roman" w:hAnsi="Times New Roman" w:eastAsia="仿宋_GB2312" w:cs="Times New Roman"/>
          <w:sz w:val="32"/>
          <w:szCs w:val="32"/>
        </w:rPr>
      </w:pP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一、</w:t>
      </w:r>
      <w:r>
        <w:rPr>
          <w:rFonts w:ascii="Times New Roman" w:hAnsi="Times New Roman" w:eastAsia="仿宋_GB2312" w:cs="Times New Roman"/>
          <w:b/>
          <w:bCs/>
          <w:color w:val="000000"/>
          <w:sz w:val="32"/>
          <w:szCs w:val="32"/>
        </w:rPr>
        <w:t>财政拨款收入：</w:t>
      </w:r>
      <w:r>
        <w:rPr>
          <w:rFonts w:ascii="Times New Roman" w:hAnsi="Times New Roman" w:eastAsia="仿宋_GB2312" w:cs="Times New Roman"/>
          <w:bCs/>
          <w:color w:val="000000"/>
          <w:sz w:val="32"/>
          <w:szCs w:val="32"/>
        </w:rPr>
        <w:t>指单位从同级财政部门取得的财政预算资金。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二、</w:t>
      </w:r>
      <w:r>
        <w:rPr>
          <w:rFonts w:ascii="Times New Roman" w:hAnsi="Times New Roman" w:eastAsia="仿宋_GB2312" w:cs="Times New Roman"/>
          <w:b/>
          <w:bCs/>
          <w:color w:val="000000"/>
          <w:sz w:val="32"/>
          <w:szCs w:val="32"/>
        </w:rPr>
        <w:t>事业收入：</w:t>
      </w:r>
      <w:r>
        <w:rPr>
          <w:rFonts w:ascii="Times New Roman" w:hAnsi="Times New Roman" w:eastAsia="仿宋_GB2312" w:cs="Times New Roman"/>
          <w:bCs/>
          <w:color w:val="000000"/>
          <w:sz w:val="32"/>
          <w:szCs w:val="32"/>
        </w:rPr>
        <w:t>指事业单位开展专业业务活动及辅助活动取得的收入。</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三、</w:t>
      </w:r>
      <w:r>
        <w:rPr>
          <w:rFonts w:ascii="Times New Roman" w:hAnsi="Times New Roman" w:eastAsia="仿宋_GB2312" w:cs="Times New Roman"/>
          <w:b/>
          <w:bCs/>
          <w:color w:val="000000"/>
          <w:sz w:val="32"/>
          <w:szCs w:val="32"/>
        </w:rPr>
        <w:t>经营收入：</w:t>
      </w:r>
      <w:r>
        <w:rPr>
          <w:rFonts w:ascii="Times New Roman" w:hAnsi="Times New Roman" w:eastAsia="仿宋_GB2312" w:cs="Times New Roman"/>
          <w:bCs/>
          <w:color w:val="000000"/>
          <w:sz w:val="32"/>
          <w:szCs w:val="32"/>
        </w:rPr>
        <w:t>指事业单位在专业业务活动及其辅助活动之外开展非独立核算经营活动取得的收入。</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四、</w:t>
      </w:r>
      <w:r>
        <w:rPr>
          <w:rFonts w:ascii="Times New Roman" w:hAnsi="Times New Roman" w:eastAsia="仿宋_GB2312" w:cs="Times New Roman"/>
          <w:b/>
          <w:bCs/>
          <w:color w:val="000000"/>
          <w:sz w:val="32"/>
          <w:szCs w:val="32"/>
        </w:rPr>
        <w:t>其他收入：</w:t>
      </w:r>
      <w:r>
        <w:rPr>
          <w:rFonts w:ascii="Times New Roman" w:hAnsi="Times New Roman" w:eastAsia="仿宋_GB2312" w:cs="Times New Roman"/>
          <w:bCs/>
          <w:color w:val="000000"/>
          <w:sz w:val="32"/>
          <w:szCs w:val="32"/>
        </w:rPr>
        <w:t>指单位取得的除上述收入以外的各项收</w:t>
      </w:r>
    </w:p>
    <w:p>
      <w:pPr>
        <w:spacing w:line="580" w:lineRule="exact"/>
        <w:rPr>
          <w:rFonts w:ascii="Times New Roman" w:hAnsi="Times New Roman" w:eastAsia="仿宋_GB2312" w:cs="Times New Roman"/>
          <w:b/>
          <w:bCs/>
          <w:color w:val="000000"/>
          <w:sz w:val="32"/>
          <w:szCs w:val="32"/>
        </w:rPr>
      </w:pPr>
      <w:r>
        <w:rPr>
          <w:rFonts w:ascii="Times New Roman" w:hAnsi="Times New Roman" w:eastAsia="仿宋_GB2312" w:cs="Times New Roman"/>
          <w:bCs/>
          <w:color w:val="000000"/>
          <w:sz w:val="32"/>
          <w:szCs w:val="32"/>
        </w:rPr>
        <w:t>入。主要是事业单位固定资产出租收入、存款利息收入等。</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五、</w:t>
      </w:r>
      <w:r>
        <w:rPr>
          <w:rFonts w:ascii="Times New Roman" w:hAnsi="Times New Roman" w:eastAsia="仿宋_GB2312" w:cs="Times New Roman"/>
          <w:b/>
          <w:bCs/>
          <w:color w:val="000000"/>
          <w:sz w:val="32"/>
          <w:szCs w:val="32"/>
        </w:rPr>
        <w:t>使用非财政拨款结余（含专用结余）：</w:t>
      </w:r>
      <w:r>
        <w:rPr>
          <w:rFonts w:ascii="Times New Roman" w:hAnsi="Times New Roman" w:eastAsia="仿宋_GB2312" w:cs="Times New Roman"/>
          <w:bCs/>
          <w:color w:val="000000"/>
          <w:sz w:val="32"/>
          <w:szCs w:val="32"/>
        </w:rPr>
        <w:t>指事业单位按照预算管理要求使用非财政拨款结余弥补收支差额的金额，以及使用专用结余安排支出的金额。</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六、</w:t>
      </w:r>
      <w:r>
        <w:rPr>
          <w:rFonts w:ascii="Times New Roman" w:hAnsi="Times New Roman" w:eastAsia="仿宋_GB2312" w:cs="Times New Roman"/>
          <w:b/>
          <w:bCs/>
          <w:color w:val="000000"/>
          <w:sz w:val="32"/>
          <w:szCs w:val="32"/>
        </w:rPr>
        <w:t>年初结转和结余：</w:t>
      </w:r>
      <w:r>
        <w:rPr>
          <w:rFonts w:ascii="Times New Roman" w:hAnsi="Times New Roman" w:eastAsia="仿宋_GB2312" w:cs="Times New Roman"/>
          <w:bCs/>
          <w:color w:val="000000"/>
          <w:sz w:val="32"/>
          <w:szCs w:val="32"/>
        </w:rPr>
        <w:t>指单位以前年度尚未完成、结转到本年仍按原规定用途继续使用的资金，或项目已完成等产生的结余资金。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七、</w:t>
      </w:r>
      <w:r>
        <w:rPr>
          <w:rFonts w:ascii="Times New Roman" w:hAnsi="Times New Roman" w:eastAsia="仿宋_GB2312" w:cs="Times New Roman"/>
          <w:b/>
          <w:bCs/>
          <w:color w:val="000000"/>
          <w:sz w:val="32"/>
          <w:szCs w:val="32"/>
        </w:rPr>
        <w:t>结余分配：</w:t>
      </w:r>
      <w:r>
        <w:rPr>
          <w:rFonts w:ascii="Times New Roman" w:hAnsi="Times New Roman" w:eastAsia="仿宋_GB2312" w:cs="Times New Roman"/>
          <w:bCs/>
          <w:color w:val="000000"/>
          <w:sz w:val="32"/>
          <w:szCs w:val="32"/>
        </w:rPr>
        <w:t>指事业单位按照会计制度规定缴纳的所得税、提取的专用结余以及转入非财政拨款结余的金额等。</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八、</w:t>
      </w:r>
      <w:r>
        <w:rPr>
          <w:rFonts w:ascii="Times New Roman" w:hAnsi="Times New Roman" w:eastAsia="仿宋_GB2312" w:cs="Times New Roman"/>
          <w:b/>
          <w:bCs/>
          <w:color w:val="000000"/>
          <w:sz w:val="32"/>
          <w:szCs w:val="32"/>
        </w:rPr>
        <w:t>年末结转和结余：</w:t>
      </w:r>
      <w:r>
        <w:rPr>
          <w:rFonts w:ascii="Times New Roman" w:hAnsi="Times New Roman" w:eastAsia="仿宋_GB2312" w:cs="Times New Roman"/>
          <w:bCs/>
          <w:color w:val="000000"/>
          <w:sz w:val="32"/>
          <w:szCs w:val="32"/>
        </w:rPr>
        <w:t>指单位按有关规定结转到下年或以后年度继续使用的资金，或项目已完成等产生的结余资金。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九、</w:t>
      </w:r>
      <w:r>
        <w:rPr>
          <w:rFonts w:ascii="Times New Roman" w:hAnsi="Times New Roman" w:eastAsia="仿宋_GB2312" w:cs="Times New Roman"/>
          <w:b/>
          <w:bCs/>
          <w:color w:val="000000"/>
          <w:sz w:val="32"/>
          <w:szCs w:val="32"/>
        </w:rPr>
        <w:t>基本支出：</w:t>
      </w:r>
      <w:r>
        <w:rPr>
          <w:rFonts w:ascii="Times New Roman" w:hAnsi="Times New Roman" w:eastAsia="仿宋_GB2312" w:cs="Times New Roman"/>
          <w:bCs/>
          <w:color w:val="000000"/>
          <w:sz w:val="32"/>
          <w:szCs w:val="32"/>
        </w:rPr>
        <w:t>指为保障机构正常运转、完成日常工作任务而发生的人员支出和公用支出。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w:t>
      </w:r>
      <w:r>
        <w:rPr>
          <w:rFonts w:ascii="Times New Roman" w:hAnsi="Times New Roman" w:eastAsia="仿宋_GB2312" w:cs="Times New Roman"/>
          <w:b/>
          <w:bCs/>
          <w:color w:val="000000"/>
          <w:sz w:val="32"/>
          <w:szCs w:val="32"/>
        </w:rPr>
        <w:t>项目支出：</w:t>
      </w:r>
      <w:r>
        <w:rPr>
          <w:rFonts w:ascii="Times New Roman" w:hAnsi="Times New Roman" w:eastAsia="仿宋_GB2312" w:cs="Times New Roman"/>
          <w:color w:val="000000"/>
          <w:sz w:val="32"/>
          <w:szCs w:val="32"/>
        </w:rPr>
        <w:t>指在基本支出之外为完成特定行政任务和事业发展目标所发生的支出。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十一、</w:t>
      </w:r>
      <w:r>
        <w:rPr>
          <w:rFonts w:ascii="Times New Roman" w:hAnsi="Times New Roman" w:eastAsia="仿宋_GB2312" w:cs="Times New Roman"/>
          <w:b/>
          <w:bCs/>
          <w:color w:val="000000"/>
          <w:sz w:val="32"/>
          <w:szCs w:val="32"/>
        </w:rPr>
        <w:t>经营支出 ：</w:t>
      </w:r>
      <w:r>
        <w:rPr>
          <w:rFonts w:ascii="Times New Roman" w:hAnsi="Times New Roman" w:eastAsia="仿宋_GB2312" w:cs="Times New Roman"/>
          <w:color w:val="000000"/>
          <w:sz w:val="32"/>
          <w:szCs w:val="32"/>
        </w:rPr>
        <w:t>指事业单位在专业业务活动及其辅助活动之外开展非独立核算经营活动发生的支出。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十二、</w:t>
      </w:r>
      <w:r>
        <w:rPr>
          <w:rFonts w:ascii="Times New Roman" w:hAnsi="Times New Roman" w:eastAsia="仿宋_GB2312" w:cs="Times New Roman"/>
          <w:b/>
          <w:bCs/>
          <w:color w:val="000000"/>
          <w:sz w:val="32"/>
          <w:szCs w:val="32"/>
        </w:rPr>
        <w:t>基本建设支出：</w:t>
      </w:r>
      <w:r>
        <w:rPr>
          <w:rFonts w:ascii="Times New Roman" w:hAnsi="Times New Roman" w:eastAsia="仿宋_GB2312" w:cs="Times New Roman"/>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十三、</w:t>
      </w:r>
      <w:r>
        <w:rPr>
          <w:rFonts w:ascii="Times New Roman" w:hAnsi="Times New Roman" w:eastAsia="仿宋_GB2312" w:cs="Times New Roman"/>
          <w:b/>
          <w:bCs/>
          <w:color w:val="000000"/>
          <w:sz w:val="32"/>
          <w:szCs w:val="32"/>
        </w:rPr>
        <w:t>其他资本性支出：</w:t>
      </w:r>
      <w:r>
        <w:rPr>
          <w:rFonts w:ascii="Times New Roman" w:hAnsi="Times New Roman" w:eastAsia="仿宋_GB2312" w:cs="Times New Roman"/>
          <w:color w:val="00000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十四、</w:t>
      </w:r>
      <w:r>
        <w:rPr>
          <w:rFonts w:ascii="Times New Roman" w:hAnsi="Times New Roman" w:eastAsia="仿宋_GB2312" w:cs="Times New Roman"/>
          <w:b/>
          <w:bCs/>
          <w:color w:val="000000"/>
          <w:sz w:val="32"/>
          <w:szCs w:val="32"/>
        </w:rPr>
        <w:t>“三公”经费：</w:t>
      </w:r>
      <w:r>
        <w:rPr>
          <w:rFonts w:ascii="Times New Roman" w:hAnsi="Times New Roman" w:eastAsia="仿宋_GB2312" w:cs="Times New Roman"/>
          <w:color w:val="00000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十五、</w:t>
      </w:r>
      <w:r>
        <w:rPr>
          <w:rFonts w:ascii="Times New Roman" w:hAnsi="Times New Roman" w:eastAsia="仿宋_GB2312" w:cs="Times New Roman"/>
          <w:b/>
          <w:bCs/>
          <w:color w:val="000000"/>
          <w:sz w:val="32"/>
          <w:szCs w:val="32"/>
        </w:rPr>
        <w:t>其他交通费用：</w:t>
      </w:r>
      <w:r>
        <w:rPr>
          <w:rFonts w:ascii="Times New Roman" w:hAnsi="Times New Roman" w:eastAsia="仿宋_GB2312" w:cs="Times New Roman"/>
          <w:color w:val="00000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十六、</w:t>
      </w:r>
      <w:r>
        <w:rPr>
          <w:rFonts w:ascii="Times New Roman" w:hAnsi="Times New Roman" w:eastAsia="仿宋_GB2312" w:cs="Times New Roman"/>
          <w:b/>
          <w:bCs/>
          <w:color w:val="000000"/>
          <w:sz w:val="32"/>
          <w:szCs w:val="32"/>
        </w:rPr>
        <w:t>公务用车购置：</w:t>
      </w:r>
      <w:r>
        <w:rPr>
          <w:rFonts w:ascii="Times New Roman" w:hAnsi="Times New Roman" w:eastAsia="仿宋_GB2312" w:cs="Times New Roman"/>
          <w:color w:val="000000"/>
          <w:sz w:val="32"/>
          <w:szCs w:val="32"/>
        </w:rPr>
        <w:t>填列单位公务用车车辆购置支出（含车辆购置税、牌照费）。</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十七、</w:t>
      </w:r>
      <w:r>
        <w:rPr>
          <w:rFonts w:ascii="Times New Roman" w:hAnsi="Times New Roman" w:eastAsia="仿宋_GB2312" w:cs="Times New Roman"/>
          <w:b/>
          <w:bCs/>
          <w:color w:val="000000"/>
          <w:sz w:val="32"/>
          <w:szCs w:val="32"/>
        </w:rPr>
        <w:t>其他交通工具购置：</w:t>
      </w:r>
      <w:r>
        <w:rPr>
          <w:rFonts w:ascii="Times New Roman" w:hAnsi="Times New Roman" w:eastAsia="仿宋_GB2312" w:cs="Times New Roman"/>
          <w:color w:val="000000"/>
          <w:sz w:val="32"/>
          <w:szCs w:val="32"/>
        </w:rPr>
        <w:t>填列单位除公务用车外的其他各类交通工具（如船舶、飞机等）购置支出（含车辆购置税、牌照费）。</w:t>
      </w:r>
    </w:p>
    <w:p>
      <w:pPr>
        <w:widowControl/>
        <w:spacing w:line="560" w:lineRule="exact"/>
        <w:ind w:firstLine="643" w:firstLineChars="200"/>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sz w:val="32"/>
          <w:szCs w:val="32"/>
        </w:rPr>
        <w:t>十八、机关运行经费：</w:t>
      </w:r>
      <w:r>
        <w:rPr>
          <w:rFonts w:ascii="Times New Roman" w:hAnsi="Times New Roman" w:eastAsia="仿宋_GB2312"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Times New Roman" w:hAnsi="Times New Roman" w:eastAsia="仿宋_GB2312" w:cs="Times New Roman"/>
          <w:sz w:val="32"/>
          <w:szCs w:val="32"/>
        </w:rPr>
      </w:pPr>
      <w:r>
        <w:rPr>
          <w:rFonts w:ascii="Times New Roman" w:hAnsi="Times New Roman" w:eastAsia="仿宋_GB2312" w:cs="Times New Roman"/>
          <w:b/>
          <w:bCs/>
          <w:color w:val="000000"/>
          <w:sz w:val="32"/>
          <w:szCs w:val="32"/>
        </w:rPr>
        <w:t>十九、经费形式:</w:t>
      </w:r>
      <w:r>
        <w:rPr>
          <w:rFonts w:ascii="Times New Roman" w:hAnsi="Times New Roman" w:eastAsia="仿宋_GB2312" w:cs="Times New Roman"/>
          <w:color w:val="000000"/>
          <w:sz w:val="32"/>
          <w:szCs w:val="32"/>
        </w:rPr>
        <w:t>按照经费来源，</w:t>
      </w:r>
      <w:r>
        <w:rPr>
          <w:rFonts w:ascii="Times New Roman" w:hAnsi="Times New Roman" w:eastAsia="仿宋_GB2312" w:cs="Times New Roman"/>
          <w:sz w:val="32"/>
          <w:szCs w:val="32"/>
        </w:rPr>
        <w:t>可分为财政拨款、财政性资金基本保证、财政性资金定额或定项补助、财政性资金零补助四类</w:t>
      </w:r>
    </w:p>
    <w:p>
      <w:pPr>
        <w:rPr>
          <w:rFonts w:ascii="Times New Roman" w:hAnsi="Times New Roman" w:cs="Times New Roman"/>
        </w:rPr>
      </w:pPr>
    </w:p>
    <w:p>
      <w:pPr>
        <w:pStyle w:val="10"/>
        <w:widowControl/>
        <w:spacing w:beforeAutospacing="0" w:afterAutospacing="0"/>
        <w:rPr>
          <w:rFonts w:ascii="Times New Roman" w:hAnsi="Times New Roman" w:eastAsia="仿宋_GB2312"/>
          <w:color w:val="333333"/>
          <w:sz w:val="33"/>
          <w:szCs w:val="33"/>
          <w:shd w:val="clear" w:color="auto" w:fill="FFFFFF"/>
        </w:rPr>
      </w:pPr>
    </w:p>
    <w:p>
      <w:pPr>
        <w:rPr>
          <w:rFonts w:ascii="Times New Roman" w:hAnsi="Times New Roman" w:eastAsia="仿宋_GB2312" w:cs="Times New Roman"/>
          <w:color w:val="333333"/>
          <w:sz w:val="33"/>
          <w:szCs w:val="33"/>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8637639B-11A7-4535-8F0E-40C0F83B97EF}"/>
  </w:font>
  <w:font w:name="黑体">
    <w:panose1 w:val="02010609060101010101"/>
    <w:charset w:val="86"/>
    <w:family w:val="auto"/>
    <w:pitch w:val="default"/>
    <w:sig w:usb0="800002BF" w:usb1="38CF7CFA" w:usb2="00000016" w:usb3="00000000" w:csb0="00040001" w:csb1="00000000"/>
    <w:embedRegular r:id="rId2" w:fontKey="{36291701-DBA5-49EA-B1C0-1EFF0FBB136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AA7AEA08-A171-4397-8896-E41674BA42E8}"/>
  </w:font>
  <w:font w:name="仿宋">
    <w:panose1 w:val="02010609060101010101"/>
    <w:charset w:val="86"/>
    <w:family w:val="modern"/>
    <w:pitch w:val="default"/>
    <w:sig w:usb0="800002BF" w:usb1="38CF7CFA" w:usb2="00000016" w:usb3="00000000" w:csb0="00040001" w:csb1="00000000"/>
    <w:embedRegular r:id="rId4" w:fontKey="{603D91D2-F5CB-4B49-AAD5-A377DE39BD5B}"/>
  </w:font>
  <w:font w:name="Calibri Light">
    <w:panose1 w:val="020F0302020204030204"/>
    <w:charset w:val="00"/>
    <w:family w:val="swiss"/>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10" w:usb3="00000000" w:csb0="0004009F" w:csb1="00000000"/>
  </w:font>
  <w:font w:name="方正魏碑简体">
    <w:altName w:val="微软雅黑"/>
    <w:panose1 w:val="00000000000000000000"/>
    <w:charset w:val="86"/>
    <w:family w:val="auto"/>
    <w:pitch w:val="default"/>
    <w:sig w:usb0="00000000" w:usb1="00000000" w:usb2="00000010" w:usb3="00000000" w:csb0="00040000" w:csb1="00000000"/>
    <w:embedRegular r:id="rId5" w:fontKey="{C6AF43EE-3F1D-4D2F-9C41-7558930C1A89}"/>
  </w:font>
  <w:font w:name="思源黑体 CN Heavy">
    <w:altName w:val="黑体"/>
    <w:panose1 w:val="00000000000000000000"/>
    <w:charset w:val="86"/>
    <w:family w:val="swiss"/>
    <w:pitch w:val="default"/>
    <w:sig w:usb0="00000000" w:usb1="00000000" w:usb2="00000016" w:usb3="00000000" w:csb0="00060107" w:csb1="00000000"/>
    <w:embedRegular r:id="rId6" w:fontKey="{85D11F73-0473-41F5-80C3-3154D9E5C2B0}"/>
  </w:font>
  <w:font w:name="楷体_GB2312">
    <w:altName w:val="楷体"/>
    <w:panose1 w:val="00000000000000000000"/>
    <w:charset w:val="86"/>
    <w:family w:val="auto"/>
    <w:pitch w:val="default"/>
    <w:sig w:usb0="00000000" w:usb1="00000000" w:usb2="00000000" w:usb3="00000000" w:csb0="00040000" w:csb1="00000000"/>
    <w:embedRegular r:id="rId7" w:fontKey="{1CEDF970-E22F-4D75-BF0F-F86D2D7C9A55}"/>
  </w:font>
  <w:font w:name="仿宋_GB2312">
    <w:panose1 w:val="02010609030101010101"/>
    <w:charset w:val="86"/>
    <w:family w:val="modern"/>
    <w:pitch w:val="default"/>
    <w:sig w:usb0="00000000" w:usb1="00000000" w:usb2="00000000" w:usb3="00000000" w:csb0="00000000" w:csb1="00000000"/>
    <w:embedRegular r:id="rId8" w:fontKey="{3775BC87-42AA-40EA-A6D2-9DDDE6597E0E}"/>
  </w:font>
  <w:font w:name="ArialUnicodeMS">
    <w:altName w:val="Malgun Gothic"/>
    <w:panose1 w:val="00000000000000000000"/>
    <w:charset w:val="81"/>
    <w:family w:val="auto"/>
    <w:pitch w:val="default"/>
    <w:sig w:usb0="00000000" w:usb1="00000000" w:usb2="00000010" w:usb3="00000000" w:csb0="00080001" w:csb1="00000000"/>
    <w:embedRegular r:id="rId9" w:fontKey="{4A4A196C-D021-4213-AFCD-D1222BA3655B}"/>
  </w:font>
  <w:font w:name="方正仿宋_GB2312">
    <w:panose1 w:val="02000000000000000000"/>
    <w:charset w:val="86"/>
    <w:family w:val="auto"/>
    <w:pitch w:val="default"/>
    <w:sig w:usb0="00000000" w:usb1="00000000" w:usb2="00000000" w:usb3="00000000" w:csb0="00000000" w:csb1="00000000"/>
    <w:embedRegular r:id="rId10" w:fontKey="{C7416DFD-CB19-4EBA-BF62-8F1CD7917F53}"/>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6287A6"/>
    <w:multiLevelType w:val="singleLevel"/>
    <w:tmpl w:val="9A6287A6"/>
    <w:lvl w:ilvl="0" w:tentative="0">
      <w:start w:val="3"/>
      <w:numFmt w:val="chineseCounting"/>
      <w:suff w:val="nothing"/>
      <w:lvlText w:val="（%1）"/>
      <w:lvlJc w:val="left"/>
      <w:rPr>
        <w:rFonts w:hint="eastAsia"/>
      </w:rPr>
    </w:lvl>
  </w:abstractNum>
  <w:abstractNum w:abstractNumId="1">
    <w:nsid w:val="F31EB42C"/>
    <w:multiLevelType w:val="singleLevel"/>
    <w:tmpl w:val="F31EB42C"/>
    <w:lvl w:ilvl="0" w:tentative="0">
      <w:start w:val="4"/>
      <w:numFmt w:val="chineseCounting"/>
      <w:suff w:val="nothing"/>
      <w:lvlText w:val="（%1）"/>
      <w:lvlJc w:val="left"/>
      <w:rPr>
        <w:rFonts w:hint="eastAsia"/>
      </w:rPr>
    </w:lvl>
  </w:abstractNum>
  <w:abstractNum w:abstractNumId="2">
    <w:nsid w:val="F6EFC8EB"/>
    <w:multiLevelType w:val="singleLevel"/>
    <w:tmpl w:val="F6EFC8EB"/>
    <w:lvl w:ilvl="0" w:tentative="0">
      <w:start w:val="3"/>
      <w:numFmt w:val="chineseCounting"/>
      <w:suff w:val="nothing"/>
      <w:lvlText w:val="（%1）"/>
      <w:lvlJc w:val="left"/>
      <w:rPr>
        <w:rFonts w:hint="eastAsia"/>
      </w:rPr>
    </w:lvl>
  </w:abstractNum>
  <w:abstractNum w:abstractNumId="3">
    <w:nsid w:val="F9C35759"/>
    <w:multiLevelType w:val="singleLevel"/>
    <w:tmpl w:val="F9C35759"/>
    <w:lvl w:ilvl="0" w:tentative="0">
      <w:start w:val="1"/>
      <w:numFmt w:val="decimal"/>
      <w:suff w:val="space"/>
      <w:lvlText w:val="%1."/>
      <w:lvlJc w:val="left"/>
    </w:lvl>
  </w:abstractNum>
  <w:abstractNum w:abstractNumId="4">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5">
    <w:nsid w:val="7B8D2173"/>
    <w:multiLevelType w:val="singleLevel"/>
    <w:tmpl w:val="7B8D2173"/>
    <w:lvl w:ilvl="0" w:tentative="0">
      <w:start w:val="1"/>
      <w:numFmt w:val="decimal"/>
      <w:lvlText w:val="%1."/>
      <w:lvlJc w:val="left"/>
      <w:pPr>
        <w:tabs>
          <w:tab w:val="left" w:pos="312"/>
        </w:tabs>
      </w:pPr>
    </w:lvl>
  </w:abstractNum>
  <w:num w:numId="1">
    <w:abstractNumId w:val="4"/>
  </w:num>
  <w:num w:numId="2">
    <w:abstractNumId w:val="3"/>
  </w:num>
  <w:num w:numId="3">
    <w:abstractNumId w:val="5"/>
  </w:num>
  <w:num w:numId="4">
    <w:abstractNumId w:val="2"/>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TEsImhkaWQiOiI1YjIzZmJlNDY2OTI4MzlhMzk2MjE4YTY1Zjc4OThjYyIsInVzZXJDb3VudCI6MX0="/>
  </w:docVars>
  <w:rsids>
    <w:rsidRoot w:val="00144C07"/>
    <w:rsid w:val="00086151"/>
    <w:rsid w:val="00144C07"/>
    <w:rsid w:val="00236F8C"/>
    <w:rsid w:val="0064383A"/>
    <w:rsid w:val="007F638C"/>
    <w:rsid w:val="008B271F"/>
    <w:rsid w:val="008E6AAF"/>
    <w:rsid w:val="00AD3588"/>
    <w:rsid w:val="00B151A5"/>
    <w:rsid w:val="00C65689"/>
    <w:rsid w:val="00CA6AE0"/>
    <w:rsid w:val="00CC2C8E"/>
    <w:rsid w:val="016E52B5"/>
    <w:rsid w:val="01900E19"/>
    <w:rsid w:val="01A03C5A"/>
    <w:rsid w:val="01A5267D"/>
    <w:rsid w:val="02363AF1"/>
    <w:rsid w:val="024808A2"/>
    <w:rsid w:val="025C3821"/>
    <w:rsid w:val="02DA3B1B"/>
    <w:rsid w:val="02E57B4D"/>
    <w:rsid w:val="037B12D4"/>
    <w:rsid w:val="03804D63"/>
    <w:rsid w:val="03FB73B0"/>
    <w:rsid w:val="04BD008C"/>
    <w:rsid w:val="04C55939"/>
    <w:rsid w:val="04DA28BB"/>
    <w:rsid w:val="04F419D9"/>
    <w:rsid w:val="04F528BE"/>
    <w:rsid w:val="05991C82"/>
    <w:rsid w:val="061416A9"/>
    <w:rsid w:val="06236884"/>
    <w:rsid w:val="067E788A"/>
    <w:rsid w:val="06FC7C2A"/>
    <w:rsid w:val="07533AFE"/>
    <w:rsid w:val="07B3657A"/>
    <w:rsid w:val="07C703AC"/>
    <w:rsid w:val="07C857D0"/>
    <w:rsid w:val="08333D3D"/>
    <w:rsid w:val="08AB5AAF"/>
    <w:rsid w:val="09012C64"/>
    <w:rsid w:val="093B2E99"/>
    <w:rsid w:val="095D7943"/>
    <w:rsid w:val="09C006C6"/>
    <w:rsid w:val="0A10621F"/>
    <w:rsid w:val="0A464C4F"/>
    <w:rsid w:val="0A6729A3"/>
    <w:rsid w:val="0A694877"/>
    <w:rsid w:val="0AA954BE"/>
    <w:rsid w:val="0AE0030A"/>
    <w:rsid w:val="0AE70639"/>
    <w:rsid w:val="0B4F5E6D"/>
    <w:rsid w:val="0B753AE2"/>
    <w:rsid w:val="0BB67D0A"/>
    <w:rsid w:val="0BC56230"/>
    <w:rsid w:val="0BCF21BD"/>
    <w:rsid w:val="0C4E53E8"/>
    <w:rsid w:val="0C9F7900"/>
    <w:rsid w:val="0CB23317"/>
    <w:rsid w:val="0CBE297A"/>
    <w:rsid w:val="0D101068"/>
    <w:rsid w:val="0D49470D"/>
    <w:rsid w:val="0D7557DF"/>
    <w:rsid w:val="0D853E34"/>
    <w:rsid w:val="0D9C2A57"/>
    <w:rsid w:val="0DFA5D82"/>
    <w:rsid w:val="0E0B1B42"/>
    <w:rsid w:val="0E1E52CE"/>
    <w:rsid w:val="0E341BC0"/>
    <w:rsid w:val="0E866524"/>
    <w:rsid w:val="0E9268D3"/>
    <w:rsid w:val="0E957F1F"/>
    <w:rsid w:val="0F0E7284"/>
    <w:rsid w:val="0F28110F"/>
    <w:rsid w:val="0F360E40"/>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1F57951"/>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935485"/>
    <w:rsid w:val="18946C52"/>
    <w:rsid w:val="18A34206"/>
    <w:rsid w:val="18DE3B2C"/>
    <w:rsid w:val="1906685D"/>
    <w:rsid w:val="19111683"/>
    <w:rsid w:val="19353916"/>
    <w:rsid w:val="19B07C1B"/>
    <w:rsid w:val="19C10AF1"/>
    <w:rsid w:val="1A077661"/>
    <w:rsid w:val="1A2672DE"/>
    <w:rsid w:val="1AA81D42"/>
    <w:rsid w:val="1AB433D9"/>
    <w:rsid w:val="1B1B11EE"/>
    <w:rsid w:val="1B3719E0"/>
    <w:rsid w:val="1B6261C3"/>
    <w:rsid w:val="1B731730"/>
    <w:rsid w:val="1B882BB5"/>
    <w:rsid w:val="1B906310"/>
    <w:rsid w:val="1B9B33C7"/>
    <w:rsid w:val="1B9D7FEC"/>
    <w:rsid w:val="1BA55461"/>
    <w:rsid w:val="1BC872C4"/>
    <w:rsid w:val="1BE74496"/>
    <w:rsid w:val="1C35495A"/>
    <w:rsid w:val="1C3D67D1"/>
    <w:rsid w:val="1C40731A"/>
    <w:rsid w:val="1C560392"/>
    <w:rsid w:val="1C581532"/>
    <w:rsid w:val="1CA15E03"/>
    <w:rsid w:val="1CA24F0C"/>
    <w:rsid w:val="1CF8716C"/>
    <w:rsid w:val="1D230EBD"/>
    <w:rsid w:val="1D4B1F5B"/>
    <w:rsid w:val="1D6C5CA0"/>
    <w:rsid w:val="1D725586"/>
    <w:rsid w:val="1D745B4F"/>
    <w:rsid w:val="1D867987"/>
    <w:rsid w:val="1D944010"/>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E1971"/>
    <w:rsid w:val="1FC36E8D"/>
    <w:rsid w:val="2008768D"/>
    <w:rsid w:val="204C2B10"/>
    <w:rsid w:val="207D30AD"/>
    <w:rsid w:val="209064B9"/>
    <w:rsid w:val="20970D81"/>
    <w:rsid w:val="20D165D5"/>
    <w:rsid w:val="210878E6"/>
    <w:rsid w:val="210E1408"/>
    <w:rsid w:val="211069AD"/>
    <w:rsid w:val="2154654F"/>
    <w:rsid w:val="21573FAB"/>
    <w:rsid w:val="2172069C"/>
    <w:rsid w:val="21987BC4"/>
    <w:rsid w:val="220451AB"/>
    <w:rsid w:val="2237486E"/>
    <w:rsid w:val="223D1378"/>
    <w:rsid w:val="22940650"/>
    <w:rsid w:val="22AD4B1E"/>
    <w:rsid w:val="22D31DF3"/>
    <w:rsid w:val="22FD3CF7"/>
    <w:rsid w:val="2356249E"/>
    <w:rsid w:val="236E713A"/>
    <w:rsid w:val="23700968"/>
    <w:rsid w:val="238761A6"/>
    <w:rsid w:val="23920578"/>
    <w:rsid w:val="23BB6F9A"/>
    <w:rsid w:val="23FC3864"/>
    <w:rsid w:val="24F25212"/>
    <w:rsid w:val="254B0AC6"/>
    <w:rsid w:val="25571AB6"/>
    <w:rsid w:val="25B40AD6"/>
    <w:rsid w:val="25BE7872"/>
    <w:rsid w:val="25BF702A"/>
    <w:rsid w:val="264D2D17"/>
    <w:rsid w:val="26D50E55"/>
    <w:rsid w:val="270763D6"/>
    <w:rsid w:val="271A539C"/>
    <w:rsid w:val="274972D4"/>
    <w:rsid w:val="2787204F"/>
    <w:rsid w:val="27AA3D97"/>
    <w:rsid w:val="289057C5"/>
    <w:rsid w:val="289724F8"/>
    <w:rsid w:val="28A67C7A"/>
    <w:rsid w:val="28D1057E"/>
    <w:rsid w:val="28D458A4"/>
    <w:rsid w:val="28D7372A"/>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BD223E"/>
    <w:rsid w:val="2EC10AD1"/>
    <w:rsid w:val="2ECB6A5A"/>
    <w:rsid w:val="2EFC0112"/>
    <w:rsid w:val="2F2B730D"/>
    <w:rsid w:val="2F8169E4"/>
    <w:rsid w:val="2F9F3DC1"/>
    <w:rsid w:val="2FFC7AC2"/>
    <w:rsid w:val="301430AF"/>
    <w:rsid w:val="30630612"/>
    <w:rsid w:val="308E59B0"/>
    <w:rsid w:val="30B10568"/>
    <w:rsid w:val="30E55DD3"/>
    <w:rsid w:val="30E60399"/>
    <w:rsid w:val="31356AA5"/>
    <w:rsid w:val="313E22F0"/>
    <w:rsid w:val="31A37D5F"/>
    <w:rsid w:val="31B0194C"/>
    <w:rsid w:val="31BC4D7D"/>
    <w:rsid w:val="31CE17D1"/>
    <w:rsid w:val="31CE3CA3"/>
    <w:rsid w:val="323E4515"/>
    <w:rsid w:val="324E00CB"/>
    <w:rsid w:val="3286389B"/>
    <w:rsid w:val="32CE6A40"/>
    <w:rsid w:val="32CF5C94"/>
    <w:rsid w:val="32D337C7"/>
    <w:rsid w:val="32E200EC"/>
    <w:rsid w:val="32E5408B"/>
    <w:rsid w:val="32EB0D70"/>
    <w:rsid w:val="332868BB"/>
    <w:rsid w:val="333211F3"/>
    <w:rsid w:val="33504B41"/>
    <w:rsid w:val="335174BC"/>
    <w:rsid w:val="338B4A07"/>
    <w:rsid w:val="33944811"/>
    <w:rsid w:val="33CE0488"/>
    <w:rsid w:val="34005866"/>
    <w:rsid w:val="34182C85"/>
    <w:rsid w:val="34262463"/>
    <w:rsid w:val="34296F31"/>
    <w:rsid w:val="34340A27"/>
    <w:rsid w:val="34496D9C"/>
    <w:rsid w:val="346A2989"/>
    <w:rsid w:val="34714663"/>
    <w:rsid w:val="348865E9"/>
    <w:rsid w:val="348F70D5"/>
    <w:rsid w:val="349D2BAD"/>
    <w:rsid w:val="34B25886"/>
    <w:rsid w:val="35277FF8"/>
    <w:rsid w:val="3558300F"/>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B1DFC"/>
    <w:rsid w:val="3AA6422C"/>
    <w:rsid w:val="3AAF46D5"/>
    <w:rsid w:val="3B135A0E"/>
    <w:rsid w:val="3B272BBC"/>
    <w:rsid w:val="3B2C4F14"/>
    <w:rsid w:val="3B374FEE"/>
    <w:rsid w:val="3B3D2A8B"/>
    <w:rsid w:val="3B4410EE"/>
    <w:rsid w:val="3B56159C"/>
    <w:rsid w:val="3B7D732B"/>
    <w:rsid w:val="3BA7084C"/>
    <w:rsid w:val="3BD30423"/>
    <w:rsid w:val="3C3A1750"/>
    <w:rsid w:val="3C6147F2"/>
    <w:rsid w:val="3C6C0B58"/>
    <w:rsid w:val="3CBE41D5"/>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4404C8E"/>
    <w:rsid w:val="447537F1"/>
    <w:rsid w:val="44870D07"/>
    <w:rsid w:val="45513D03"/>
    <w:rsid w:val="45541E1C"/>
    <w:rsid w:val="458931B6"/>
    <w:rsid w:val="45F657C2"/>
    <w:rsid w:val="46107AB9"/>
    <w:rsid w:val="461F0A8B"/>
    <w:rsid w:val="4648721E"/>
    <w:rsid w:val="46663E71"/>
    <w:rsid w:val="466A37AC"/>
    <w:rsid w:val="46CA117D"/>
    <w:rsid w:val="46CB071B"/>
    <w:rsid w:val="46DE140B"/>
    <w:rsid w:val="46E77334"/>
    <w:rsid w:val="46F22E29"/>
    <w:rsid w:val="46F7142F"/>
    <w:rsid w:val="47107AE3"/>
    <w:rsid w:val="473C62ED"/>
    <w:rsid w:val="47617242"/>
    <w:rsid w:val="47731896"/>
    <w:rsid w:val="4783216D"/>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5B28DC"/>
    <w:rsid w:val="4AA06B93"/>
    <w:rsid w:val="4ACC6C2B"/>
    <w:rsid w:val="4ADB18EB"/>
    <w:rsid w:val="4B0371D8"/>
    <w:rsid w:val="4B6D2F19"/>
    <w:rsid w:val="4B96118E"/>
    <w:rsid w:val="4BAE1B66"/>
    <w:rsid w:val="4BED4708"/>
    <w:rsid w:val="4BF133DC"/>
    <w:rsid w:val="4C507D4A"/>
    <w:rsid w:val="4CA02C5E"/>
    <w:rsid w:val="4CDF5563"/>
    <w:rsid w:val="4CFB2214"/>
    <w:rsid w:val="4D2C4D26"/>
    <w:rsid w:val="4D335E0E"/>
    <w:rsid w:val="4D4E4EA3"/>
    <w:rsid w:val="4D9A5B1B"/>
    <w:rsid w:val="4DA55D85"/>
    <w:rsid w:val="4DB74F29"/>
    <w:rsid w:val="4DBB20DB"/>
    <w:rsid w:val="4DDC3F22"/>
    <w:rsid w:val="4E1040C7"/>
    <w:rsid w:val="4E1760BF"/>
    <w:rsid w:val="4E4A7541"/>
    <w:rsid w:val="4E646AEA"/>
    <w:rsid w:val="4EBA03C3"/>
    <w:rsid w:val="4EBC5459"/>
    <w:rsid w:val="4ED94CB0"/>
    <w:rsid w:val="4EEC2ED3"/>
    <w:rsid w:val="4F037DB0"/>
    <w:rsid w:val="4F0B74A3"/>
    <w:rsid w:val="4F0E56EA"/>
    <w:rsid w:val="4F1863F5"/>
    <w:rsid w:val="4F2E11BC"/>
    <w:rsid w:val="4F3C4343"/>
    <w:rsid w:val="4F416688"/>
    <w:rsid w:val="4F5620B0"/>
    <w:rsid w:val="4F6654EE"/>
    <w:rsid w:val="4F7379C6"/>
    <w:rsid w:val="4F872183"/>
    <w:rsid w:val="4F872BDB"/>
    <w:rsid w:val="4F9111A0"/>
    <w:rsid w:val="4F9F566B"/>
    <w:rsid w:val="4FA033E9"/>
    <w:rsid w:val="4FA743DA"/>
    <w:rsid w:val="4FB3565A"/>
    <w:rsid w:val="4FCB76FB"/>
    <w:rsid w:val="4FED77BF"/>
    <w:rsid w:val="503D1C79"/>
    <w:rsid w:val="507A6406"/>
    <w:rsid w:val="50853863"/>
    <w:rsid w:val="508A4590"/>
    <w:rsid w:val="50F1461D"/>
    <w:rsid w:val="50FE5411"/>
    <w:rsid w:val="510B072E"/>
    <w:rsid w:val="511B0BF4"/>
    <w:rsid w:val="51264306"/>
    <w:rsid w:val="516123CE"/>
    <w:rsid w:val="51B177A9"/>
    <w:rsid w:val="51C4760A"/>
    <w:rsid w:val="51CF0D81"/>
    <w:rsid w:val="51E066EB"/>
    <w:rsid w:val="5267570A"/>
    <w:rsid w:val="52707792"/>
    <w:rsid w:val="52A12CDC"/>
    <w:rsid w:val="52DF0C92"/>
    <w:rsid w:val="52E1159C"/>
    <w:rsid w:val="52E34D6A"/>
    <w:rsid w:val="531E524E"/>
    <w:rsid w:val="534072EB"/>
    <w:rsid w:val="537F4776"/>
    <w:rsid w:val="538E2D0B"/>
    <w:rsid w:val="53922782"/>
    <w:rsid w:val="539C1424"/>
    <w:rsid w:val="53A639C0"/>
    <w:rsid w:val="53F00A24"/>
    <w:rsid w:val="53F63DBA"/>
    <w:rsid w:val="5448624E"/>
    <w:rsid w:val="546E2B1A"/>
    <w:rsid w:val="5482555F"/>
    <w:rsid w:val="551452C2"/>
    <w:rsid w:val="55363E67"/>
    <w:rsid w:val="555C4981"/>
    <w:rsid w:val="556E6DF7"/>
    <w:rsid w:val="559D47CE"/>
    <w:rsid w:val="55BE1959"/>
    <w:rsid w:val="56232437"/>
    <w:rsid w:val="56541A75"/>
    <w:rsid w:val="568832FC"/>
    <w:rsid w:val="568C4181"/>
    <w:rsid w:val="56B73A15"/>
    <w:rsid w:val="570725A9"/>
    <w:rsid w:val="5714693E"/>
    <w:rsid w:val="571D0C9C"/>
    <w:rsid w:val="573A16CE"/>
    <w:rsid w:val="579C7F80"/>
    <w:rsid w:val="57B30D7C"/>
    <w:rsid w:val="57D80EB0"/>
    <w:rsid w:val="58166B03"/>
    <w:rsid w:val="583E3C94"/>
    <w:rsid w:val="58721734"/>
    <w:rsid w:val="58900246"/>
    <w:rsid w:val="58977358"/>
    <w:rsid w:val="58D53944"/>
    <w:rsid w:val="58D65478"/>
    <w:rsid w:val="58F52487"/>
    <w:rsid w:val="58F778BC"/>
    <w:rsid w:val="590422E6"/>
    <w:rsid w:val="592257E5"/>
    <w:rsid w:val="59655E33"/>
    <w:rsid w:val="596655D3"/>
    <w:rsid w:val="59CF5BD9"/>
    <w:rsid w:val="59E20C3C"/>
    <w:rsid w:val="5A1D5B0A"/>
    <w:rsid w:val="5A3B4B4E"/>
    <w:rsid w:val="5A4804CA"/>
    <w:rsid w:val="5A594C85"/>
    <w:rsid w:val="5A7A11AE"/>
    <w:rsid w:val="5AEB1E3C"/>
    <w:rsid w:val="5B2507CA"/>
    <w:rsid w:val="5B2A474A"/>
    <w:rsid w:val="5B830730"/>
    <w:rsid w:val="5B871C49"/>
    <w:rsid w:val="5BBB2DD6"/>
    <w:rsid w:val="5BE065C4"/>
    <w:rsid w:val="5BE263B6"/>
    <w:rsid w:val="5C0B5402"/>
    <w:rsid w:val="5C8E5C5A"/>
    <w:rsid w:val="5C965E61"/>
    <w:rsid w:val="5D242A11"/>
    <w:rsid w:val="5D9217C2"/>
    <w:rsid w:val="5DAD06BF"/>
    <w:rsid w:val="5DE23CB3"/>
    <w:rsid w:val="5DE97EEC"/>
    <w:rsid w:val="5DF43138"/>
    <w:rsid w:val="5DFA5EB0"/>
    <w:rsid w:val="5E0B583E"/>
    <w:rsid w:val="5E201A7B"/>
    <w:rsid w:val="5EBD0484"/>
    <w:rsid w:val="5F04373C"/>
    <w:rsid w:val="5F2C5C7C"/>
    <w:rsid w:val="5FC5273F"/>
    <w:rsid w:val="60806DF2"/>
    <w:rsid w:val="61072DA5"/>
    <w:rsid w:val="611C0817"/>
    <w:rsid w:val="61224A52"/>
    <w:rsid w:val="61520CCB"/>
    <w:rsid w:val="61614E76"/>
    <w:rsid w:val="61851A29"/>
    <w:rsid w:val="61E5728B"/>
    <w:rsid w:val="622D1522"/>
    <w:rsid w:val="622E0574"/>
    <w:rsid w:val="62683B6B"/>
    <w:rsid w:val="62AC5944"/>
    <w:rsid w:val="632731DA"/>
    <w:rsid w:val="637279B4"/>
    <w:rsid w:val="63817D2B"/>
    <w:rsid w:val="63BD1FA9"/>
    <w:rsid w:val="63D27965"/>
    <w:rsid w:val="64095516"/>
    <w:rsid w:val="641A2468"/>
    <w:rsid w:val="64372F20"/>
    <w:rsid w:val="64DC72D7"/>
    <w:rsid w:val="653619A6"/>
    <w:rsid w:val="65610A02"/>
    <w:rsid w:val="65A11EA3"/>
    <w:rsid w:val="65AC3D66"/>
    <w:rsid w:val="65BB5334"/>
    <w:rsid w:val="663E1DBA"/>
    <w:rsid w:val="665D0213"/>
    <w:rsid w:val="669E59F1"/>
    <w:rsid w:val="66A2024B"/>
    <w:rsid w:val="66EA4BA0"/>
    <w:rsid w:val="6704732B"/>
    <w:rsid w:val="670F6731"/>
    <w:rsid w:val="67127C7D"/>
    <w:rsid w:val="67280F62"/>
    <w:rsid w:val="67585CB0"/>
    <w:rsid w:val="67770F0C"/>
    <w:rsid w:val="67B03535"/>
    <w:rsid w:val="6801775B"/>
    <w:rsid w:val="68174F69"/>
    <w:rsid w:val="682C436A"/>
    <w:rsid w:val="68382778"/>
    <w:rsid w:val="68391F41"/>
    <w:rsid w:val="68436B8C"/>
    <w:rsid w:val="684C37A9"/>
    <w:rsid w:val="68797358"/>
    <w:rsid w:val="6884624F"/>
    <w:rsid w:val="68A519DF"/>
    <w:rsid w:val="68C4160B"/>
    <w:rsid w:val="68C41C30"/>
    <w:rsid w:val="68CF3BA4"/>
    <w:rsid w:val="69257FA7"/>
    <w:rsid w:val="693711B0"/>
    <w:rsid w:val="693B5419"/>
    <w:rsid w:val="693F26C7"/>
    <w:rsid w:val="697E12B2"/>
    <w:rsid w:val="69C8706D"/>
    <w:rsid w:val="6A0E3FB4"/>
    <w:rsid w:val="6A292754"/>
    <w:rsid w:val="6A5E3B28"/>
    <w:rsid w:val="6A6B1EBE"/>
    <w:rsid w:val="6A8F43F7"/>
    <w:rsid w:val="6ABF79B7"/>
    <w:rsid w:val="6AD625F3"/>
    <w:rsid w:val="6B750BA9"/>
    <w:rsid w:val="6BB93285"/>
    <w:rsid w:val="6C0C698C"/>
    <w:rsid w:val="6C222401"/>
    <w:rsid w:val="6C56267F"/>
    <w:rsid w:val="6C826EF9"/>
    <w:rsid w:val="6CAE4C93"/>
    <w:rsid w:val="6D0B1869"/>
    <w:rsid w:val="6D61214D"/>
    <w:rsid w:val="6D65402D"/>
    <w:rsid w:val="6D683822"/>
    <w:rsid w:val="6D8D136C"/>
    <w:rsid w:val="6DBF2759"/>
    <w:rsid w:val="6DC96F36"/>
    <w:rsid w:val="6DE36C13"/>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21708A"/>
    <w:rsid w:val="713C4ED8"/>
    <w:rsid w:val="71407642"/>
    <w:rsid w:val="71641210"/>
    <w:rsid w:val="71D95B7C"/>
    <w:rsid w:val="71EA6A50"/>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272BC6"/>
    <w:rsid w:val="76C23B43"/>
    <w:rsid w:val="76FD6F97"/>
    <w:rsid w:val="770218E8"/>
    <w:rsid w:val="77C875A5"/>
    <w:rsid w:val="78A27DF6"/>
    <w:rsid w:val="79285B3A"/>
    <w:rsid w:val="79625CA9"/>
    <w:rsid w:val="79A91196"/>
    <w:rsid w:val="7A0B32D3"/>
    <w:rsid w:val="7A840476"/>
    <w:rsid w:val="7AC13CD3"/>
    <w:rsid w:val="7AE10264"/>
    <w:rsid w:val="7B086EDB"/>
    <w:rsid w:val="7B4A207F"/>
    <w:rsid w:val="7B936F45"/>
    <w:rsid w:val="7BA47419"/>
    <w:rsid w:val="7BB10D45"/>
    <w:rsid w:val="7BB44151"/>
    <w:rsid w:val="7BEC320B"/>
    <w:rsid w:val="7BF82951"/>
    <w:rsid w:val="7C3307AB"/>
    <w:rsid w:val="7C656A39"/>
    <w:rsid w:val="7CB93996"/>
    <w:rsid w:val="7CBE0F99"/>
    <w:rsid w:val="7D4E45F1"/>
    <w:rsid w:val="7D733448"/>
    <w:rsid w:val="7DFB6D82"/>
    <w:rsid w:val="7E1D71D1"/>
    <w:rsid w:val="7E246254"/>
    <w:rsid w:val="7E6D090F"/>
    <w:rsid w:val="7E78630F"/>
    <w:rsid w:val="7ECC66B2"/>
    <w:rsid w:val="7EF015E4"/>
    <w:rsid w:val="7F087006"/>
    <w:rsid w:val="7FA837EF"/>
    <w:rsid w:val="7FC36955"/>
    <w:rsid w:val="7FE822EB"/>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1">
    <w:name w:val="Default Paragraph Font"/>
    <w:semiHidden/>
    <w:unhideWhenUsed/>
    <w:qFormat/>
    <w:uiPriority w:val="1"/>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character" w:styleId="12">
    <w:name w:val="Strong"/>
    <w:basedOn w:val="11"/>
    <w:qFormat/>
    <w:uiPriority w:val="22"/>
    <w:rPr>
      <w:b/>
    </w:r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5">
    <w:name w:val="标题 2 字符"/>
    <w:link w:val="3"/>
    <w:qFormat/>
    <w:uiPriority w:val="0"/>
    <w:rPr>
      <w:rFonts w:ascii="Calibri Light" w:hAnsi="Calibri Light" w:eastAsia="宋体" w:cs="Times New Roman"/>
      <w:b/>
      <w:bCs/>
      <w:sz w:val="28"/>
      <w:szCs w:val="32"/>
    </w:rPr>
  </w:style>
  <w:style w:type="character" w:customStyle="1" w:styleId="16">
    <w:name w:val="页脚 字符"/>
    <w:basedOn w:val="11"/>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字符"/>
    <w:basedOn w:val="11"/>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1"/>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1"/>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1"/>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1"/>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1"/>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1"/>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字符"/>
    <w:basedOn w:val="11"/>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chart" Target="charts/chart12.xml"/><Relationship Id="rId21" Type="http://schemas.openxmlformats.org/officeDocument/2006/relationships/chart" Target="charts/chart11.xml"/><Relationship Id="rId20" Type="http://schemas.openxmlformats.org/officeDocument/2006/relationships/chart" Target="charts/chart10.xml"/><Relationship Id="rId2" Type="http://schemas.openxmlformats.org/officeDocument/2006/relationships/settings" Target="settings.xml"/><Relationship Id="rId19" Type="http://schemas.openxmlformats.org/officeDocument/2006/relationships/chart" Target="charts/chart9.xml"/><Relationship Id="rId18" Type="http://schemas.openxmlformats.org/officeDocument/2006/relationships/chart" Target="charts/chart8.xml"/><Relationship Id="rId17" Type="http://schemas.openxmlformats.org/officeDocument/2006/relationships/chart" Target="charts/chart7.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5.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10.xml.rels><?xml version="1.0" encoding="UTF-8" standalone="yes"?>
<Relationships xmlns="http://schemas.openxmlformats.org/package/2006/relationships"><Relationship Id="rId3" Type="http://schemas.microsoft.com/office/2011/relationships/chartColorStyle" Target="colors11.xml"/><Relationship Id="rId2" Type="http://schemas.microsoft.com/office/2011/relationships/chartStyle" Target="style11.xml"/><Relationship Id="rId1" Type="http://schemas.openxmlformats.org/officeDocument/2006/relationships/oleObject" Target="file:///F:\ysn\&#39044;&#20915;&#31639;\&#39044;&#20915;&#31639;\&#20915;&#31639;&#26609;&#29366;&#22270;.xls" TargetMode="External"/></Relationships>
</file>

<file path=word/charts/_rels/chart11.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package" Target="../embeddings/Workbook5.xlsx"/></Relationships>
</file>

<file path=word/charts/_rels/chart1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F:\ysn\&#39044;&#20915;&#31639;\&#39044;&#20915;&#31639;\&#20915;&#31639;&#26609;&#29366;&#22270;.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oleObject" Target="file:///F:\ysn\&#39044;&#20915;&#31639;\&#39044;&#20915;&#31639;\&#20915;&#31639;&#26609;&#29366;&#22270;.xls" TargetMode="External"/></Relationships>
</file>

<file path=word/charts/_rels/chart6.xml.rels><?xml version="1.0" encoding="UTF-8" standalone="yes"?>
<Relationships xmlns="http://schemas.openxmlformats.org/package/2006/relationships"><Relationship Id="rId3" Type="http://schemas.microsoft.com/office/2011/relationships/chartColorStyle" Target="colors8.xml"/><Relationship Id="rId2" Type="http://schemas.microsoft.com/office/2011/relationships/chartStyle" Target="style8.xml"/><Relationship Id="rId1" Type="http://schemas.openxmlformats.org/officeDocument/2006/relationships/oleObject" Target="file:///F:\ysn\&#39044;&#20915;&#31639;\&#39044;&#20915;&#31639;\&#20915;&#31639;&#26609;&#29366;&#22270;.xls" TargetMode="External"/></Relationships>
</file>

<file path=word/charts/_rels/chart7.xml.rels><?xml version="1.0" encoding="UTF-8" standalone="yes"?>
<Relationships xmlns="http://schemas.openxmlformats.org/package/2006/relationships"><Relationship Id="rId3" Type="http://schemas.microsoft.com/office/2011/relationships/chartColorStyle" Target="colors9.xml"/><Relationship Id="rId2" Type="http://schemas.microsoft.com/office/2011/relationships/chartStyle" Target="style9.xml"/><Relationship Id="rId1" Type="http://schemas.openxmlformats.org/officeDocument/2006/relationships/package" Target="../embeddings/Workbook6.xlsx"/></Relationships>
</file>

<file path=word/charts/_rels/chart8.xml.rels><?xml version="1.0" encoding="UTF-8" standalone="yes"?>
<Relationships xmlns="http://schemas.openxmlformats.org/package/2006/relationships"><Relationship Id="rId3" Type="http://schemas.microsoft.com/office/2011/relationships/chartColorStyle" Target="colors12.xml"/><Relationship Id="rId2" Type="http://schemas.microsoft.com/office/2011/relationships/chartStyle" Target="style12.xml"/><Relationship Id="rId1" Type="http://schemas.openxmlformats.org/officeDocument/2006/relationships/oleObject" Target="file:///F:\ysn\&#39044;&#20915;&#31639;\&#39044;&#20915;&#31639;\&#20915;&#31639;&#26609;&#29366;&#22270;.xls" TargetMode="External"/></Relationships>
</file>

<file path=word/charts/_rels/chart9.xml.rels><?xml version="1.0" encoding="UTF-8" standalone="yes"?>
<Relationships xmlns="http://schemas.openxmlformats.org/package/2006/relationships"><Relationship Id="rId3" Type="http://schemas.microsoft.com/office/2011/relationships/chartColorStyle" Target="colors10.xml"/><Relationship Id="rId2" Type="http://schemas.microsoft.com/office/2011/relationships/chartStyle" Target="style10.xml"/><Relationship Id="rId1" Type="http://schemas.openxmlformats.org/officeDocument/2006/relationships/oleObject" Target="file:///F:\ysn\&#39044;&#20915;&#31639;\&#39044;&#20915;&#31639;\&#20915;&#31639;&#26609;&#29366;&#2227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5640.24</c:v>
                </c:pt>
                <c:pt idx="1">
                  <c:v>4840.81</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t>图</a:t>
            </a:r>
            <a:r>
              <a:rPr lang="en-US" altLang="zh-CN"/>
              <a:t>10</a:t>
            </a:r>
            <a:r>
              <a:rPr altLang="en-US"/>
              <a:t>：</a:t>
            </a:r>
            <a:r>
              <a:t>政府性基金预算财政拨款收支决算与年初预算对比</a:t>
            </a:r>
          </a:p>
        </c:rich>
      </c:tx>
      <c:layout>
        <c:manualLayout>
          <c:xMode val="edge"/>
          <c:yMode val="edge"/>
          <c:x val="0.106447368421053"/>
          <c:y val="0.0486111111111111"/>
        </c:manualLayout>
      </c:layout>
      <c:overlay val="0"/>
      <c:spPr>
        <a:noFill/>
        <a:ln>
          <a:noFill/>
        </a:ln>
        <a:effectLst/>
      </c:spPr>
    </c:title>
    <c:autoTitleDeleted val="0"/>
    <c:plotArea>
      <c:layout>
        <c:manualLayout>
          <c:layoutTarget val="inner"/>
          <c:xMode val="edge"/>
          <c:yMode val="edge"/>
          <c:x val="0.0289473684210526"/>
          <c:y val="0.345833333333334"/>
          <c:w val="0.942105263157895"/>
          <c:h val="0.528333333333333"/>
        </c:manualLayout>
      </c:layout>
      <c:barChart>
        <c:barDir val="col"/>
        <c:grouping val="clustered"/>
        <c:varyColors val="0"/>
        <c:ser>
          <c:idx val="0"/>
          <c:order val="0"/>
          <c:tx>
            <c:strRef>
              <c:f>[决算柱状图.xls]Sheet1!$A$177</c:f>
              <c:strCache>
                <c:ptCount val="1"/>
                <c:pt idx="0">
                  <c:v>政府性基金预算财政拨款收入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预算</c:v>
                  </c:pt>
                  <c:pt idx="1">
                    <c:v>决算</c:v>
                  </c:pt>
                </c:lvl>
                <c:lvl/>
              </c:multiLvlStrCache>
            </c:multiLvlStrRef>
          </c:cat>
          <c:val>
            <c:numRef>
              <c:f>[决算柱状图.xls]Sheet1!$B$177:$C$177</c:f>
              <c:numCache>
                <c:formatCode>General</c:formatCode>
                <c:ptCount val="2"/>
                <c:pt idx="0">
                  <c:v>213.75</c:v>
                </c:pt>
                <c:pt idx="1">
                  <c:v>21.6</c:v>
                </c:pt>
              </c:numCache>
            </c:numRef>
          </c:val>
        </c:ser>
        <c:ser>
          <c:idx val="1"/>
          <c:order val="1"/>
          <c:tx>
            <c:strRef>
              <c:f>[决算柱状图.xls]Sheet1!$A$178</c:f>
              <c:strCache>
                <c:ptCount val="1"/>
                <c:pt idx="0">
                  <c:v>政府性基金预算财政拨款收入</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预算</c:v>
                  </c:pt>
                  <c:pt idx="1">
                    <c:v>决算</c:v>
                  </c:pt>
                </c:lvl>
                <c:lvl/>
              </c:multiLvlStrCache>
            </c:multiLvlStrRef>
          </c:cat>
          <c:val>
            <c:numRef>
              <c:f>[决算柱状图.xls]Sheet1!$B$178:$C$178</c:f>
              <c:numCache>
                <c:formatCode>General</c:formatCode>
                <c:ptCount val="2"/>
                <c:pt idx="0">
                  <c:v>213.75</c:v>
                </c:pt>
                <c:pt idx="1">
                  <c:v>21.6</c:v>
                </c:pt>
              </c:numCache>
            </c:numRef>
          </c:val>
        </c:ser>
        <c:dLbls>
          <c:showLegendKey val="0"/>
          <c:showVal val="1"/>
          <c:showCatName val="0"/>
          <c:showSerName val="0"/>
          <c:showPercent val="0"/>
          <c:showBubbleSize val="0"/>
        </c:dLbls>
        <c:gapWidth val="246"/>
        <c:overlap val="-28"/>
        <c:axId val="842885375"/>
        <c:axId val="749662715"/>
      </c:barChart>
      <c:catAx>
        <c:axId val="8428853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49662715"/>
        <c:crosses val="autoZero"/>
        <c:auto val="1"/>
        <c:lblAlgn val="ctr"/>
        <c:lblOffset val="100"/>
        <c:noMultiLvlLbl val="0"/>
      </c:catAx>
      <c:valAx>
        <c:axId val="749662715"/>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2885375"/>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11 :</a:t>
            </a:r>
            <a:r>
              <a:rPr lang="zh-CN" altLang="en-US"/>
              <a:t>财政拨款收支预算对比图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3703.45</c:v>
                </c:pt>
                <c:pt idx="1">
                  <c:v>3703.45</c:v>
                </c:pt>
                <c:pt idx="2">
                  <c:v>3489.7</c:v>
                </c:pt>
                <c:pt idx="3">
                  <c:v>3489.7</c:v>
                </c:pt>
                <c:pt idx="4">
                  <c:v>213.75</c:v>
                </c:pt>
                <c:pt idx="5">
                  <c:v>213.75</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4022.91</c:v>
                </c:pt>
                <c:pt idx="1">
                  <c:v>4022.91</c:v>
                </c:pt>
                <c:pt idx="2">
                  <c:v>4001.31</c:v>
                </c:pt>
                <c:pt idx="3">
                  <c:v>4001.31</c:v>
                </c:pt>
                <c:pt idx="4">
                  <c:v>21.6</c:v>
                </c:pt>
                <c:pt idx="5">
                  <c:v>21.6</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12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1617.05</c:v>
                </c:pt>
                <c:pt idx="1">
                  <c:v>0</c:v>
                </c:pt>
                <c:pt idx="2">
                  <c:v>0</c:v>
                </c:pt>
                <c:pt idx="3">
                  <c:v>261.91</c:v>
                </c:pt>
                <c:pt idx="4">
                  <c:v>0</c:v>
                </c:pt>
                <c:pt idx="5">
                  <c:v>40</c:v>
                </c:pt>
                <c:pt idx="6">
                  <c:v>335.84</c:v>
                </c:pt>
                <c:pt idx="7">
                  <c:v>128.51</c:v>
                </c:pt>
                <c:pt idx="8">
                  <c:v>20</c:v>
                </c:pt>
                <c:pt idx="9">
                  <c:v>1022.15</c:v>
                </c:pt>
                <c:pt idx="10">
                  <c:v>460.11</c:v>
                </c:pt>
                <c:pt idx="11">
                  <c:v>0</c:v>
                </c:pt>
                <c:pt idx="12">
                  <c:v>0</c:v>
                </c:pt>
                <c:pt idx="13">
                  <c:v>0</c:v>
                </c:pt>
                <c:pt idx="14">
                  <c:v>0</c:v>
                </c:pt>
                <c:pt idx="15">
                  <c:v>0</c:v>
                </c:pt>
                <c:pt idx="16">
                  <c:v>112.32</c:v>
                </c:pt>
                <c:pt idx="17">
                  <c:v>0</c:v>
                </c:pt>
                <c:pt idx="18">
                  <c:v>0</c:v>
                </c:pt>
                <c:pt idx="19">
                  <c:v>25</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egendEntry>
        <c:idx val="1"/>
        <c:delete val="1"/>
      </c:legendEntry>
      <c:legendEntry>
        <c:idx val="2"/>
        <c:delete val="1"/>
      </c:legendEntry>
      <c:legendEntry>
        <c:idx val="4"/>
        <c:delete val="1"/>
      </c:legendEntry>
      <c:legendEntry>
        <c:idx val="11"/>
        <c:delete val="1"/>
      </c:legendEntry>
      <c:legendEntry>
        <c:idx val="12"/>
        <c:delete val="1"/>
      </c:legendEntry>
      <c:legendEntry>
        <c:idx val="13"/>
        <c:delete val="1"/>
      </c:legendEntry>
      <c:legendEntry>
        <c:idx val="14"/>
        <c:delete val="1"/>
      </c:legendEntry>
      <c:legendEntry>
        <c:idx val="15"/>
        <c:delete val="1"/>
      </c:legendEntry>
      <c:legendEntry>
        <c:idx val="17"/>
        <c:delete val="1"/>
      </c:legendEntry>
      <c:legendEntry>
        <c:idx val="18"/>
        <c:delete val="1"/>
      </c:legendEntry>
      <c:legendEntry>
        <c:idx val="20"/>
        <c:delete val="1"/>
      </c:legendEntry>
      <c:legendEntry>
        <c:idx val="21"/>
        <c:delete val="1"/>
      </c:legendEntry>
      <c:layout>
        <c:manualLayout>
          <c:xMode val="edge"/>
          <c:yMode val="edge"/>
          <c:x val="0.689417733752114"/>
          <c:y val="0.242243943901402"/>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manualLayout>
          <c:xMode val="edge"/>
          <c:yMode val="edge"/>
          <c:x val="0.304904566320367"/>
          <c:y val="0.0254993625159371"/>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1"/>
              <c:delete val="1"/>
            </c:dLbl>
            <c:dLbl>
              <c:idx val="2"/>
              <c:delete val="1"/>
            </c:dLbl>
            <c:dLbl>
              <c:idx val="3"/>
              <c:delete val="1"/>
            </c:dLbl>
            <c:dLbl>
              <c:idx val="4"/>
              <c:delete val="1"/>
            </c:dLbl>
            <c:dLbl>
              <c:idx val="5"/>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40229073.71</c:v>
                </c:pt>
                <c:pt idx="1">
                  <c:v>0</c:v>
                </c:pt>
                <c:pt idx="2">
                  <c:v>0</c:v>
                </c:pt>
                <c:pt idx="3">
                  <c:v>0</c:v>
                </c:pt>
                <c:pt idx="4">
                  <c:v>0</c:v>
                </c:pt>
                <c:pt idx="5">
                  <c:v>701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manualLayout>
          <c:xMode val="edge"/>
          <c:yMode val="edge"/>
          <c:x val="0.295522210313207"/>
          <c:y val="0.0228876597367919"/>
        </c:manualLayout>
      </c:layout>
      <c:overlay val="0"/>
      <c:spPr>
        <a:noFill/>
        <a:ln>
          <a:noFill/>
        </a:ln>
        <a:effectLst/>
      </c:spPr>
    </c:title>
    <c:autoTitleDeleted val="0"/>
    <c:plotArea>
      <c:layout>
        <c:manualLayout>
          <c:layoutTarget val="inner"/>
          <c:xMode val="edge"/>
          <c:yMode val="edge"/>
          <c:x val="0.155694612225175"/>
          <c:y val="0.190897207367796"/>
          <c:w val="0.43202705967625"/>
          <c:h val="0.708322440087146"/>
        </c:manualLayout>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delete val="1"/>
            </c:dLbl>
            <c:dLbl>
              <c:idx val="3"/>
              <c:delete val="1"/>
            </c:dLbl>
            <c:dLbl>
              <c:idx val="4"/>
              <c:delete val="1"/>
            </c:dLbl>
            <c:spPr>
              <a:noFill/>
              <a:ln>
                <a:noFill/>
              </a:ln>
              <a:effectLst/>
            </c:spPr>
            <c:txPr>
              <a:bodyPr rot="0" spcFirstLastPara="0" vertOverflow="ellipsis" vert="horz" wrap="square" lIns="38100" tIns="19050" rIns="38100" bIns="19050" anchor="ctr" anchorCtr="1"/>
              <a:lstStyle/>
              <a:p>
                <a:pPr>
                  <a:defRPr lang="zh-CN" sz="1000" b="1"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14846017.9</c:v>
                </c:pt>
                <c:pt idx="1">
                  <c:v>25383756.81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egendEntry>
        <c:idx val="0"/>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Entry>
      <c:legendEntry>
        <c:idx val="2"/>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Entry>
      <c:legendEntry>
        <c:idx val="3"/>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Entry>
      <c:legendEntry>
        <c:idx val="4"/>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Entry>
      <c:layout/>
      <c:overlay val="0"/>
      <c:spPr>
        <a:noFill/>
        <a:ln>
          <a:noFill/>
        </a:ln>
        <a:effectLst/>
      </c:spPr>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b="1"/>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b="1"/>
              <a:t>图</a:t>
            </a:r>
            <a:r>
              <a:rPr lang="en-US" altLang="zh-CN" b="1"/>
              <a:t>4</a:t>
            </a:r>
            <a:r>
              <a:rPr altLang="en-US" b="1"/>
              <a:t>：</a:t>
            </a:r>
            <a:r>
              <a:rPr b="1"/>
              <a:t>2022年、2023年财政拨款收支对比情况</a:t>
            </a:r>
            <a:endParaRPr b="1"/>
          </a:p>
        </c:rich>
      </c:tx>
      <c:layout>
        <c:manualLayout>
          <c:xMode val="edge"/>
          <c:yMode val="edge"/>
          <c:x val="0.176842105263158"/>
          <c:y val="0.030787037037037"/>
        </c:manualLayout>
      </c:layout>
      <c:overlay val="0"/>
      <c:spPr>
        <a:noFill/>
        <a:ln>
          <a:noFill/>
        </a:ln>
        <a:effectLst/>
      </c:spPr>
    </c:title>
    <c:autoTitleDeleted val="0"/>
    <c:plotArea>
      <c:layout/>
      <c:barChart>
        <c:barDir val="col"/>
        <c:grouping val="clustered"/>
        <c:varyColors val="0"/>
        <c:ser>
          <c:idx val="0"/>
          <c:order val="0"/>
          <c:tx>
            <c:strRef>
              <c:f>[决算柱状图.xls]Sheet1!$A$177</c:f>
              <c:strCache>
                <c:ptCount val="1"/>
                <c:pt idx="0">
                  <c:v>财政拨款收入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1"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2022年</c:v>
                  </c:pt>
                  <c:pt idx="1">
                    <c:v>2023年</c:v>
                  </c:pt>
                </c:lvl>
                <c:lvl/>
              </c:multiLvlStrCache>
            </c:multiLvlStrRef>
          </c:cat>
          <c:val>
            <c:numRef>
              <c:f>[决算柱状图.xls]Sheet1!$B$177:$C$177</c:f>
              <c:numCache>
                <c:formatCode>General</c:formatCode>
                <c:ptCount val="2"/>
                <c:pt idx="0">
                  <c:v>4675.85</c:v>
                </c:pt>
                <c:pt idx="1">
                  <c:v>4022.91</c:v>
                </c:pt>
              </c:numCache>
            </c:numRef>
          </c:val>
        </c:ser>
        <c:ser>
          <c:idx val="1"/>
          <c:order val="1"/>
          <c:tx>
            <c:strRef>
              <c:f>[决算柱状图.xls]Sheet1!$A$178</c:f>
              <c:strCache>
                <c:ptCount val="1"/>
                <c:pt idx="0">
                  <c:v>财政拨款支出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1"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2022年</c:v>
                  </c:pt>
                  <c:pt idx="1">
                    <c:v>2023年</c:v>
                  </c:pt>
                </c:lvl>
                <c:lvl/>
              </c:multiLvlStrCache>
            </c:multiLvlStrRef>
          </c:cat>
          <c:val>
            <c:numRef>
              <c:f>[决算柱状图.xls]Sheet1!$B$178:$C$178</c:f>
              <c:numCache>
                <c:formatCode>General</c:formatCode>
                <c:ptCount val="2"/>
                <c:pt idx="0">
                  <c:v>4795.65</c:v>
                </c:pt>
                <c:pt idx="1">
                  <c:v>4022.91</c:v>
                </c:pt>
              </c:numCache>
            </c:numRef>
          </c:val>
        </c:ser>
        <c:dLbls>
          <c:showLegendKey val="0"/>
          <c:showVal val="1"/>
          <c:showCatName val="0"/>
          <c:showSerName val="0"/>
          <c:showPercent val="0"/>
          <c:showBubbleSize val="0"/>
        </c:dLbls>
        <c:gapWidth val="246"/>
        <c:overlap val="-28"/>
        <c:axId val="842885375"/>
        <c:axId val="749662715"/>
      </c:barChart>
      <c:catAx>
        <c:axId val="8428853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crossAx val="749662715"/>
        <c:crosses val="autoZero"/>
        <c:auto val="1"/>
        <c:lblAlgn val="ctr"/>
        <c:lblOffset val="100"/>
        <c:noMultiLvlLbl val="0"/>
      </c:catAx>
      <c:valAx>
        <c:axId val="749662715"/>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crossAx val="842885375"/>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Entry>
      <c:layout/>
      <c:overlay val="0"/>
      <c:spPr>
        <a:noFill/>
        <a:ln>
          <a:noFill/>
        </a:ln>
        <a:effectLst/>
      </c:spPr>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b="1"/>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b="1"/>
              <a:t>图</a:t>
            </a:r>
            <a:r>
              <a:rPr lang="en-US" altLang="zh-CN" b="1"/>
              <a:t>5</a:t>
            </a:r>
            <a:r>
              <a:rPr altLang="en-US" b="1"/>
              <a:t>：</a:t>
            </a:r>
            <a:r>
              <a:rPr b="1"/>
              <a:t>2022年、2023年财政拨款收支对比情况</a:t>
            </a:r>
            <a:endParaRPr b="1"/>
          </a:p>
        </c:rich>
      </c:tx>
      <c:layout>
        <c:manualLayout>
          <c:xMode val="edge"/>
          <c:yMode val="edge"/>
          <c:x val="0.173157894736842"/>
          <c:y val="0.00694444444444444"/>
        </c:manualLayout>
      </c:layout>
      <c:overlay val="0"/>
      <c:spPr>
        <a:noFill/>
        <a:ln>
          <a:noFill/>
        </a:ln>
        <a:effectLst/>
      </c:spPr>
    </c:title>
    <c:autoTitleDeleted val="0"/>
    <c:plotArea>
      <c:layout>
        <c:manualLayout>
          <c:layoutTarget val="inner"/>
          <c:xMode val="edge"/>
          <c:yMode val="edge"/>
          <c:x val="0.0328947368421053"/>
          <c:y val="0.325925925925926"/>
          <c:w val="0.942105263157895"/>
          <c:h val="0.606111111111111"/>
        </c:manualLayout>
      </c:layout>
      <c:barChart>
        <c:barDir val="col"/>
        <c:grouping val="clustered"/>
        <c:varyColors val="0"/>
        <c:ser>
          <c:idx val="0"/>
          <c:order val="0"/>
          <c:tx>
            <c:strRef>
              <c:f>[决算柱状图.xls]Sheet1!$A$177</c:f>
              <c:strCache>
                <c:ptCount val="1"/>
                <c:pt idx="0">
                  <c:v>财政拨款收入</c:v>
                </c:pt>
              </c:strCache>
            </c:strRef>
          </c:tx>
          <c:spPr>
            <a:gradFill>
              <a:gsLst>
                <a:gs pos="0">
                  <a:schemeClr val="accent1">
                    <a:lumMod val="40000"/>
                    <a:lumOff val="60000"/>
                  </a:schemeClr>
                </a:gs>
                <a:gs pos="90000">
                  <a:schemeClr val="accent1"/>
                </a:gs>
              </a:gsLst>
              <a:lin ang="5400000" scaled="0"/>
            </a:gradFill>
            <a:ln>
              <a:gradFill>
                <a:gsLst>
                  <a:gs pos="0">
                    <a:schemeClr val="accent1"/>
                  </a:gs>
                  <a:gs pos="100000">
                    <a:schemeClr val="accent1">
                      <a:lumMod val="75000"/>
                    </a:schemeClr>
                  </a:gs>
                </a:gsLst>
                <a:lin ang="5400000" scaled="1"/>
              </a:gradFill>
            </a:ln>
            <a:effectLst>
              <a:outerShdw blurRad="76200" dist="25400" dir="2700000" algn="tl" rotWithShape="0">
                <a:schemeClr val="accent1">
                  <a:lumMod val="50000"/>
                  <a:alpha val="30000"/>
                </a:schemeClr>
              </a:outerShdw>
            </a:effectLst>
          </c:spPr>
          <c:invertIfNegative val="0"/>
          <c:dLbls>
            <c:spPr>
              <a:noFill/>
              <a:ln>
                <a:noFill/>
              </a:ln>
              <a:effectLst/>
            </c:spPr>
            <c:txPr>
              <a:bodyPr rot="0" spcFirstLastPara="0" vertOverflow="ellipsis" vert="horz" wrap="square" lIns="38100" tIns="19050" rIns="38100" bIns="19050" anchor="ctr" anchorCtr="1"/>
              <a:lstStyle/>
              <a:p>
                <a:pPr>
                  <a:defRPr lang="zh-CN" sz="1000" b="1"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2022年</c:v>
                  </c:pt>
                  <c:pt idx="1">
                    <c:v>2023年</c:v>
                  </c:pt>
                </c:lvl>
                <c:lvl/>
              </c:multiLvlStrCache>
            </c:multiLvlStrRef>
          </c:cat>
          <c:val>
            <c:numRef>
              <c:f>[决算柱状图.xls]Sheet1!$B$177:$C$177</c:f>
              <c:numCache>
                <c:formatCode>General</c:formatCode>
                <c:ptCount val="2"/>
                <c:pt idx="0">
                  <c:v>4675.85</c:v>
                </c:pt>
                <c:pt idx="1">
                  <c:v>4001.31</c:v>
                </c:pt>
              </c:numCache>
            </c:numRef>
          </c:val>
        </c:ser>
        <c:ser>
          <c:idx val="1"/>
          <c:order val="1"/>
          <c:tx>
            <c:strRef>
              <c:f>[决算柱状图.xls]Sheet1!$A$178</c:f>
              <c:strCache>
                <c:ptCount val="1"/>
                <c:pt idx="0">
                  <c:v>财政拨款支出</c:v>
                </c:pt>
              </c:strCache>
            </c:strRef>
          </c:tx>
          <c:spPr>
            <a:gradFill>
              <a:gsLst>
                <a:gs pos="0">
                  <a:schemeClr val="accent2">
                    <a:lumMod val="40000"/>
                    <a:lumOff val="60000"/>
                  </a:schemeClr>
                </a:gs>
                <a:gs pos="90000">
                  <a:schemeClr val="accent2"/>
                </a:gs>
              </a:gsLst>
              <a:lin ang="5400000" scaled="0"/>
            </a:gradFill>
            <a:ln>
              <a:gradFill>
                <a:gsLst>
                  <a:gs pos="0">
                    <a:schemeClr val="accent2"/>
                  </a:gs>
                  <a:gs pos="100000">
                    <a:schemeClr val="accent2">
                      <a:lumMod val="75000"/>
                    </a:schemeClr>
                  </a:gs>
                </a:gsLst>
                <a:lin ang="5400000" scaled="1"/>
              </a:gradFill>
            </a:ln>
            <a:effectLst>
              <a:outerShdw blurRad="76200" dist="25400" dir="2700000" algn="tl" rotWithShape="0">
                <a:schemeClr val="accent2">
                  <a:lumMod val="50000"/>
                  <a:alpha val="30000"/>
                </a:schemeClr>
              </a:outerShdw>
            </a:effectLst>
          </c:spPr>
          <c:invertIfNegative val="0"/>
          <c:dLbls>
            <c:spPr>
              <a:noFill/>
              <a:ln>
                <a:noFill/>
              </a:ln>
              <a:effectLst/>
            </c:spPr>
            <c:txPr>
              <a:bodyPr rot="0" spcFirstLastPara="0" vertOverflow="ellipsis" vert="horz" wrap="square" lIns="38100" tIns="19050" rIns="38100" bIns="19050" anchor="ctr" anchorCtr="1"/>
              <a:lstStyle/>
              <a:p>
                <a:pPr>
                  <a:defRPr lang="zh-CN" sz="1000" b="1"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2022年</c:v>
                  </c:pt>
                  <c:pt idx="1">
                    <c:v>2023年</c:v>
                  </c:pt>
                </c:lvl>
                <c:lvl/>
              </c:multiLvlStrCache>
            </c:multiLvlStrRef>
          </c:cat>
          <c:val>
            <c:numRef>
              <c:f>[决算柱状图.xls]Sheet1!$B$178:$C$178</c:f>
              <c:numCache>
                <c:formatCode>General</c:formatCode>
                <c:ptCount val="2"/>
                <c:pt idx="0">
                  <c:v>4709.55</c:v>
                </c:pt>
                <c:pt idx="1">
                  <c:v>4001.31</c:v>
                </c:pt>
              </c:numCache>
            </c:numRef>
          </c:val>
        </c:ser>
        <c:dLbls>
          <c:showLegendKey val="0"/>
          <c:showVal val="1"/>
          <c:showCatName val="0"/>
          <c:showSerName val="0"/>
          <c:showPercent val="0"/>
          <c:showBubbleSize val="0"/>
        </c:dLbls>
        <c:gapWidth val="246"/>
        <c:overlap val="-28"/>
        <c:axId val="842885375"/>
        <c:axId val="749662715"/>
      </c:barChart>
      <c:catAx>
        <c:axId val="8428853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crossAx val="749662715"/>
        <c:crosses val="autoZero"/>
        <c:auto val="1"/>
        <c:lblAlgn val="ctr"/>
        <c:lblOffset val="100"/>
        <c:noMultiLvlLbl val="0"/>
      </c:catAx>
      <c:valAx>
        <c:axId val="749662715"/>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crossAx val="842885375"/>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Entry>
      <c:layout>
        <c:manualLayout>
          <c:xMode val="edge"/>
          <c:yMode val="edge"/>
          <c:x val="0.31125"/>
          <c:y val="0.142222222222222"/>
        </c:manualLayout>
      </c:layout>
      <c:overlay val="0"/>
      <c:spPr>
        <a:noFill/>
        <a:ln>
          <a:noFill/>
        </a:ln>
        <a:effectLst/>
      </c:spPr>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b="1"/>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b="1"/>
              <a:t>图</a:t>
            </a:r>
            <a:r>
              <a:rPr lang="en-US" altLang="zh-CN" b="1"/>
              <a:t>6</a:t>
            </a:r>
            <a:r>
              <a:rPr altLang="en-US" b="1"/>
              <a:t>：</a:t>
            </a:r>
            <a:r>
              <a:rPr b="1"/>
              <a:t>2022年、2023年政府性基金预算财政拨款收支对比</a:t>
            </a:r>
            <a:endParaRPr b="1"/>
          </a:p>
        </c:rich>
      </c:tx>
      <c:layout>
        <c:manualLayout>
          <c:xMode val="edge"/>
          <c:yMode val="edge"/>
          <c:x val="0.110526315789474"/>
          <c:y val="0.0277777777777778"/>
        </c:manualLayout>
      </c:layout>
      <c:overlay val="0"/>
      <c:spPr>
        <a:noFill/>
        <a:ln>
          <a:noFill/>
        </a:ln>
        <a:effectLst/>
      </c:spPr>
    </c:title>
    <c:autoTitleDeleted val="0"/>
    <c:plotArea>
      <c:layout>
        <c:manualLayout>
          <c:layoutTarget val="inner"/>
          <c:xMode val="edge"/>
          <c:yMode val="edge"/>
          <c:x val="0.025"/>
          <c:y val="0.35625"/>
          <c:w val="0.942105263157895"/>
          <c:h val="0.528333333333333"/>
        </c:manualLayout>
      </c:layout>
      <c:barChart>
        <c:barDir val="col"/>
        <c:grouping val="clustered"/>
        <c:varyColors val="0"/>
        <c:ser>
          <c:idx val="0"/>
          <c:order val="0"/>
          <c:tx>
            <c:strRef>
              <c:f>[决算柱状图.xls]Sheet1!$A$177</c:f>
              <c:strCache>
                <c:ptCount val="1"/>
                <c:pt idx="0">
                  <c:v>政府性基金预算财政拨款本年收入</c:v>
                </c:pt>
              </c:strCache>
            </c:strRef>
          </c:tx>
          <c:spPr>
            <a:gradFill>
              <a:gsLst>
                <a:gs pos="0">
                  <a:schemeClr val="accent1">
                    <a:lumMod val="40000"/>
                    <a:lumOff val="60000"/>
                  </a:schemeClr>
                </a:gs>
                <a:gs pos="90000">
                  <a:schemeClr val="accent1"/>
                </a:gs>
              </a:gsLst>
              <a:lin ang="5400000" scaled="0"/>
            </a:gradFill>
            <a:ln>
              <a:gradFill>
                <a:gsLst>
                  <a:gs pos="0">
                    <a:schemeClr val="accent1"/>
                  </a:gs>
                  <a:gs pos="100000">
                    <a:schemeClr val="accent1">
                      <a:lumMod val="75000"/>
                    </a:schemeClr>
                  </a:gs>
                </a:gsLst>
                <a:lin ang="5400000" scaled="1"/>
              </a:gradFill>
            </a:ln>
            <a:effectLst>
              <a:outerShdw blurRad="76200" dist="25400" dir="2700000" algn="tl" rotWithShape="0">
                <a:schemeClr val="accent1">
                  <a:lumMod val="50000"/>
                  <a:alpha val="30000"/>
                </a:schemeClr>
              </a:outerShdw>
            </a:effectLst>
          </c:spPr>
          <c:invertIfNegative val="0"/>
          <c:dLbls>
            <c:spPr>
              <a:noFill/>
              <a:ln>
                <a:noFill/>
              </a:ln>
              <a:effectLst/>
            </c:spPr>
            <c:txPr>
              <a:bodyPr rot="0" spcFirstLastPara="0" vertOverflow="ellipsis" vert="horz" wrap="square" lIns="38100" tIns="19050" rIns="38100" bIns="19050" anchor="ctr" anchorCtr="1"/>
              <a:lstStyle/>
              <a:p>
                <a:pPr>
                  <a:defRPr lang="zh-CN" sz="1000" b="1"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2022年</c:v>
                  </c:pt>
                  <c:pt idx="1">
                    <c:v>2023年</c:v>
                  </c:pt>
                </c:lvl>
                <c:lvl/>
              </c:multiLvlStrCache>
            </c:multiLvlStrRef>
          </c:cat>
          <c:val>
            <c:numRef>
              <c:f>[决算柱状图.xls]Sheet1!$B$177:$C$177</c:f>
              <c:numCache>
                <c:formatCode>General</c:formatCode>
                <c:ptCount val="2"/>
                <c:pt idx="0">
                  <c:v>86.1</c:v>
                </c:pt>
                <c:pt idx="1">
                  <c:v>21.6</c:v>
                </c:pt>
              </c:numCache>
            </c:numRef>
          </c:val>
        </c:ser>
        <c:ser>
          <c:idx val="1"/>
          <c:order val="1"/>
          <c:tx>
            <c:strRef>
              <c:f>[决算柱状图.xls]Sheet1!$A$178</c:f>
              <c:strCache>
                <c:ptCount val="1"/>
                <c:pt idx="0">
                  <c:v>政府性基金预算财政拨款本年支出</c:v>
                </c:pt>
              </c:strCache>
            </c:strRef>
          </c:tx>
          <c:spPr>
            <a:gradFill>
              <a:gsLst>
                <a:gs pos="0">
                  <a:schemeClr val="accent2">
                    <a:lumMod val="40000"/>
                    <a:lumOff val="60000"/>
                  </a:schemeClr>
                </a:gs>
                <a:gs pos="90000">
                  <a:schemeClr val="accent2"/>
                </a:gs>
              </a:gsLst>
              <a:lin ang="5400000" scaled="0"/>
            </a:gradFill>
            <a:ln>
              <a:gradFill>
                <a:gsLst>
                  <a:gs pos="0">
                    <a:schemeClr val="accent2"/>
                  </a:gs>
                  <a:gs pos="100000">
                    <a:schemeClr val="accent2">
                      <a:lumMod val="75000"/>
                    </a:schemeClr>
                  </a:gs>
                </a:gsLst>
                <a:lin ang="5400000" scaled="1"/>
              </a:gradFill>
            </a:ln>
            <a:effectLst>
              <a:outerShdw blurRad="76200" dist="25400" dir="2700000" algn="tl" rotWithShape="0">
                <a:schemeClr val="accent2">
                  <a:lumMod val="50000"/>
                  <a:alpha val="30000"/>
                </a:schemeClr>
              </a:outerShdw>
            </a:effectLst>
          </c:spPr>
          <c:invertIfNegative val="0"/>
          <c:dLbls>
            <c:spPr>
              <a:noFill/>
              <a:ln>
                <a:noFill/>
              </a:ln>
              <a:effectLst/>
            </c:spPr>
            <c:txPr>
              <a:bodyPr rot="0" spcFirstLastPara="0" vertOverflow="ellipsis" vert="horz" wrap="square" lIns="38100" tIns="19050" rIns="38100" bIns="19050" anchor="ctr" anchorCtr="1"/>
              <a:lstStyle/>
              <a:p>
                <a:pPr>
                  <a:defRPr lang="zh-CN" sz="1000" b="1"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2022年</c:v>
                  </c:pt>
                  <c:pt idx="1">
                    <c:v>2023年</c:v>
                  </c:pt>
                </c:lvl>
                <c:lvl/>
              </c:multiLvlStrCache>
            </c:multiLvlStrRef>
          </c:cat>
          <c:val>
            <c:numRef>
              <c:f>[决算柱状图.xls]Sheet1!$B$178:$C$178</c:f>
              <c:numCache>
                <c:formatCode>General</c:formatCode>
                <c:ptCount val="2"/>
                <c:pt idx="0">
                  <c:v>86.1</c:v>
                </c:pt>
                <c:pt idx="1">
                  <c:v>21.6</c:v>
                </c:pt>
              </c:numCache>
            </c:numRef>
          </c:val>
        </c:ser>
        <c:dLbls>
          <c:showLegendKey val="0"/>
          <c:showVal val="1"/>
          <c:showCatName val="0"/>
          <c:showSerName val="0"/>
          <c:showPercent val="0"/>
          <c:showBubbleSize val="0"/>
        </c:dLbls>
        <c:gapWidth val="246"/>
        <c:overlap val="-28"/>
        <c:axId val="842885375"/>
        <c:axId val="749662715"/>
      </c:barChart>
      <c:catAx>
        <c:axId val="8428853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crossAx val="749662715"/>
        <c:crosses val="autoZero"/>
        <c:auto val="1"/>
        <c:lblAlgn val="ctr"/>
        <c:lblOffset val="100"/>
        <c:noMultiLvlLbl val="0"/>
      </c:catAx>
      <c:valAx>
        <c:axId val="749662715"/>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crossAx val="842885375"/>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Entry>
      <c:layout>
        <c:manualLayout>
          <c:xMode val="edge"/>
          <c:yMode val="edge"/>
          <c:x val="0.121776315789474"/>
          <c:y val="0.218055555555556"/>
        </c:manualLayout>
      </c:layout>
      <c:overlay val="0"/>
      <c:spPr>
        <a:noFill/>
        <a:ln>
          <a:noFill/>
        </a:ln>
        <a:effectLst/>
      </c:spPr>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b="1"/>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b="1"/>
              <a:t>图 </a:t>
            </a:r>
            <a:r>
              <a:rPr lang="en-US" altLang="zh-CN" b="1"/>
              <a:t>7</a:t>
            </a:r>
            <a:r>
              <a:rPr lang="zh-CN" altLang="en-US" b="1"/>
              <a:t>：</a:t>
            </a:r>
            <a:r>
              <a:rPr lang="en-US" altLang="zh-CN" b="1"/>
              <a:t>2022-2023</a:t>
            </a:r>
            <a:r>
              <a:rPr lang="zh-CN" altLang="en-US" b="1"/>
              <a:t>年财政拨款收支对比图</a:t>
            </a:r>
            <a:endParaRPr lang="zh-CN" altLang="en-US" b="1"/>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1"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4761.95</c:v>
                </c:pt>
                <c:pt idx="1">
                  <c:v>4795.65</c:v>
                </c:pt>
                <c:pt idx="2">
                  <c:v>4675.85</c:v>
                </c:pt>
                <c:pt idx="3">
                  <c:v>4709.55</c:v>
                </c:pt>
                <c:pt idx="4">
                  <c:v>86.1</c:v>
                </c:pt>
                <c:pt idx="5">
                  <c:v>86.1</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1"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4022.91</c:v>
                </c:pt>
                <c:pt idx="1">
                  <c:v>4022.91</c:v>
                </c:pt>
                <c:pt idx="2">
                  <c:v>4001.31</c:v>
                </c:pt>
                <c:pt idx="3">
                  <c:v>4001.31</c:v>
                </c:pt>
                <c:pt idx="4">
                  <c:v>21.6</c:v>
                </c:pt>
                <c:pt idx="5">
                  <c:v>21.6</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egendEntry>
        <c:idx val="0"/>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Entry>
      <c:layout/>
      <c:overlay val="0"/>
      <c:spPr>
        <a:noFill/>
        <a:ln>
          <a:noFill/>
        </a:ln>
        <a:effectLst/>
      </c:spPr>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b="1"/>
      </a:pP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b="1"/>
              <a:t>图</a:t>
            </a:r>
            <a:r>
              <a:rPr lang="en-US" altLang="zh-CN" b="1"/>
              <a:t>8</a:t>
            </a:r>
            <a:r>
              <a:rPr altLang="en-US" b="1"/>
              <a:t>：</a:t>
            </a:r>
            <a:r>
              <a:rPr b="1"/>
              <a:t>2023年财政拨款收支决算与年初预算对比情况</a:t>
            </a:r>
            <a:endParaRPr b="1"/>
          </a:p>
        </c:rich>
      </c:tx>
      <c:layout>
        <c:manualLayout>
          <c:xMode val="edge"/>
          <c:yMode val="edge"/>
          <c:x val="0.0989473684210526"/>
          <c:y val="0.0416666666666667"/>
        </c:manualLayout>
      </c:layout>
      <c:overlay val="0"/>
      <c:spPr>
        <a:noFill/>
        <a:ln>
          <a:noFill/>
        </a:ln>
        <a:effectLst/>
      </c:spPr>
    </c:title>
    <c:autoTitleDeleted val="0"/>
    <c:plotArea>
      <c:layout>
        <c:manualLayout>
          <c:layoutTarget val="inner"/>
          <c:xMode val="edge"/>
          <c:yMode val="edge"/>
          <c:x val="0.025"/>
          <c:y val="0.35625"/>
          <c:w val="0.942105263157895"/>
          <c:h val="0.528333333333333"/>
        </c:manualLayout>
      </c:layout>
      <c:barChart>
        <c:barDir val="col"/>
        <c:grouping val="clustered"/>
        <c:varyColors val="0"/>
        <c:ser>
          <c:idx val="0"/>
          <c:order val="0"/>
          <c:tx>
            <c:strRef>
              <c:f>[决算柱状图.xls]Sheet1!$A$177</c:f>
              <c:strCache>
                <c:ptCount val="1"/>
                <c:pt idx="0">
                  <c:v>财政拨款收入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1"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预算</c:v>
                  </c:pt>
                  <c:pt idx="1">
                    <c:v>决算</c:v>
                  </c:pt>
                </c:lvl>
                <c:lvl/>
              </c:multiLvlStrCache>
            </c:multiLvlStrRef>
          </c:cat>
          <c:val>
            <c:numRef>
              <c:f>[决算柱状图.xls]Sheet1!$B$177:$C$177</c:f>
              <c:numCache>
                <c:formatCode>General</c:formatCode>
                <c:ptCount val="2"/>
                <c:pt idx="0">
                  <c:v>3703.45</c:v>
                </c:pt>
                <c:pt idx="1">
                  <c:v>4022.91</c:v>
                </c:pt>
              </c:numCache>
            </c:numRef>
          </c:val>
        </c:ser>
        <c:ser>
          <c:idx val="1"/>
          <c:order val="1"/>
          <c:tx>
            <c:strRef>
              <c:f>[决算柱状图.xls]Sheet1!$A$178</c:f>
              <c:strCache>
                <c:ptCount val="1"/>
                <c:pt idx="0">
                  <c:v>财政拨款支出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1"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预算</c:v>
                  </c:pt>
                  <c:pt idx="1">
                    <c:v>决算</c:v>
                  </c:pt>
                </c:lvl>
                <c:lvl/>
              </c:multiLvlStrCache>
            </c:multiLvlStrRef>
          </c:cat>
          <c:val>
            <c:numRef>
              <c:f>[决算柱状图.xls]Sheet1!$B$178:$C$178</c:f>
              <c:numCache>
                <c:formatCode>General</c:formatCode>
                <c:ptCount val="2"/>
                <c:pt idx="0">
                  <c:v>3703.45</c:v>
                </c:pt>
                <c:pt idx="1">
                  <c:v>4022.91</c:v>
                </c:pt>
              </c:numCache>
            </c:numRef>
          </c:val>
        </c:ser>
        <c:dLbls>
          <c:showLegendKey val="0"/>
          <c:showVal val="1"/>
          <c:showCatName val="0"/>
          <c:showSerName val="0"/>
          <c:showPercent val="0"/>
          <c:showBubbleSize val="0"/>
        </c:dLbls>
        <c:gapWidth val="150"/>
        <c:overlap val="-25"/>
        <c:axId val="842885375"/>
        <c:axId val="749662715"/>
      </c:barChart>
      <c:catAx>
        <c:axId val="8428853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crossAx val="749662715"/>
        <c:crosses val="autoZero"/>
        <c:auto val="1"/>
        <c:lblAlgn val="ctr"/>
        <c:lblOffset val="100"/>
        <c:noMultiLvlLbl val="0"/>
      </c:catAx>
      <c:valAx>
        <c:axId val="749662715"/>
        <c:scaling>
          <c:orientation val="minMax"/>
        </c:scaling>
        <c:delete val="1"/>
        <c:axPos val="l"/>
        <c:numFmt formatCode="General" sourceLinked="1"/>
        <c:majorTickMark val="none"/>
        <c:minorTickMark val="none"/>
        <c:tickLblPos val="nextTo"/>
        <c:txPr>
          <a:bodyPr rot="-6000000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crossAx val="842885375"/>
        <c:crosses val="autoZero"/>
        <c:crossBetween val="between"/>
      </c:valAx>
      <c:spPr>
        <a:noFill/>
        <a:ln>
          <a:noFill/>
        </a:ln>
        <a:effectLst/>
      </c:spPr>
    </c:plotArea>
    <c:legend>
      <c:legendPos val="t"/>
      <c:legendEntry>
        <c:idx val="0"/>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Entry>
      <c:layout/>
      <c:overlay val="0"/>
      <c:spPr>
        <a:noFill/>
        <a:ln>
          <a:noFill/>
        </a:ln>
        <a:effectLst/>
      </c:spPr>
      <c:txPr>
        <a:bodyPr rot="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b="1"/>
      </a:pPr>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t>图9：2023年一般公共预算财政拨款收支决算与上年决算对比</a:t>
            </a:r>
          </a:p>
        </c:rich>
      </c:tx>
      <c:layout>
        <c:manualLayout>
          <c:xMode val="edge"/>
          <c:yMode val="edge"/>
          <c:x val="0.0867105263157895"/>
          <c:y val="0.0416666666666667"/>
        </c:manualLayout>
      </c:layout>
      <c:overlay val="0"/>
      <c:spPr>
        <a:noFill/>
        <a:ln>
          <a:noFill/>
        </a:ln>
        <a:effectLst/>
      </c:spPr>
    </c:title>
    <c:autoTitleDeleted val="0"/>
    <c:plotArea>
      <c:layout>
        <c:manualLayout>
          <c:layoutTarget val="inner"/>
          <c:xMode val="edge"/>
          <c:yMode val="edge"/>
          <c:x val="0.0230263157894737"/>
          <c:y val="0.349305555555556"/>
          <c:w val="0.942105263157895"/>
          <c:h val="0.528333333333333"/>
        </c:manualLayout>
      </c:layout>
      <c:barChart>
        <c:barDir val="col"/>
        <c:grouping val="clustered"/>
        <c:varyColors val="0"/>
        <c:ser>
          <c:idx val="0"/>
          <c:order val="0"/>
          <c:tx>
            <c:strRef>
              <c:f>[决算柱状图.xls]Sheet1!$A$177</c:f>
              <c:strCache>
                <c:ptCount val="1"/>
                <c:pt idx="0">
                  <c:v>一般公共预算财政拨款收入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预算</c:v>
                  </c:pt>
                  <c:pt idx="1">
                    <c:v>决算</c:v>
                  </c:pt>
                </c:lvl>
                <c:lvl/>
              </c:multiLvlStrCache>
            </c:multiLvlStrRef>
          </c:cat>
          <c:val>
            <c:numRef>
              <c:f>[决算柱状图.xls]Sheet1!$B$177:$C$177</c:f>
              <c:numCache>
                <c:formatCode>General</c:formatCode>
                <c:ptCount val="2"/>
                <c:pt idx="0">
                  <c:v>3489.7</c:v>
                </c:pt>
                <c:pt idx="1">
                  <c:v>4001.31</c:v>
                </c:pt>
              </c:numCache>
            </c:numRef>
          </c:val>
        </c:ser>
        <c:ser>
          <c:idx val="1"/>
          <c:order val="1"/>
          <c:tx>
            <c:strRef>
              <c:f>[决算柱状图.xls]Sheet1!$A$178</c:f>
              <c:strCache>
                <c:ptCount val="1"/>
                <c:pt idx="0">
                  <c:v>一般公共预算财政拨款支出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[决算柱状图.xls]Sheet1!$B$175:$C$176</c:f>
              <c:multiLvlStrCache>
                <c:ptCount val="2"/>
                <c:lvl>
                  <c:pt idx="0">
                    <c:v>预算</c:v>
                  </c:pt>
                  <c:pt idx="1">
                    <c:v>决算</c:v>
                  </c:pt>
                </c:lvl>
                <c:lvl/>
              </c:multiLvlStrCache>
            </c:multiLvlStrRef>
          </c:cat>
          <c:val>
            <c:numRef>
              <c:f>[决算柱状图.xls]Sheet1!$B$178:$C$178</c:f>
              <c:numCache>
                <c:formatCode>General</c:formatCode>
                <c:ptCount val="2"/>
                <c:pt idx="0">
                  <c:v>3489.7</c:v>
                </c:pt>
                <c:pt idx="1">
                  <c:v>4001.31</c:v>
                </c:pt>
              </c:numCache>
            </c:numRef>
          </c:val>
        </c:ser>
        <c:dLbls>
          <c:showLegendKey val="0"/>
          <c:showVal val="1"/>
          <c:showCatName val="0"/>
          <c:showSerName val="0"/>
          <c:showPercent val="0"/>
          <c:showBubbleSize val="0"/>
        </c:dLbls>
        <c:gapWidth val="246"/>
        <c:overlap val="-28"/>
        <c:axId val="842885375"/>
        <c:axId val="749662715"/>
      </c:barChart>
      <c:catAx>
        <c:axId val="8428853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49662715"/>
        <c:crosses val="autoZero"/>
        <c:auto val="1"/>
        <c:lblAlgn val="ctr"/>
        <c:lblOffset val="100"/>
        <c:noMultiLvlLbl val="0"/>
      </c:catAx>
      <c:valAx>
        <c:axId val="749662715"/>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2885375"/>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4">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styleClr val="auto"/>
    </cs:effectRef>
    <cs:fontRef idx="minor">
      <a:schemeClr val="dk1"/>
    </cs:fontRef>
    <cs:spPr>
      <a:gradFill>
        <a:gsLst>
          <a:gs pos="0">
            <a:schemeClr val="phClr">
              <a:lumMod val="40000"/>
              <a:lumOff val="60000"/>
            </a:schemeClr>
          </a:gs>
          <a:gs pos="90000">
            <a:schemeClr val="phClr"/>
          </a:gs>
        </a:gsLst>
        <a:lin ang="5400000" scaled="0"/>
      </a:gradFill>
      <a:ln>
        <a:gradFill>
          <a:gsLst>
            <a:gs pos="0">
              <a:schemeClr val="phClr"/>
            </a:gs>
            <a:gs pos="100000">
              <a:schemeClr val="phClr">
                <a:lumMod val="75000"/>
              </a:schemeClr>
            </a:gs>
          </a:gsLst>
          <a:lin ang="5400000" scaled="1"/>
        </a:gradFill>
      </a:ln>
      <a:effectLst>
        <a:outerShdw blurRad="76200" dist="25400" dir="2700000" algn="tl" rotWithShape="0">
          <a:schemeClr val="phClr">
            <a:lumMod val="50000"/>
            <a:alpha val="30000"/>
          </a:schemeClr>
        </a:outerShdw>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10004">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styleClr val="auto"/>
    </cs:effectRef>
    <cs:fontRef idx="minor">
      <a:schemeClr val="dk1"/>
    </cs:fontRef>
    <cs:spPr>
      <a:gradFill>
        <a:gsLst>
          <a:gs pos="0">
            <a:schemeClr val="phClr">
              <a:lumMod val="40000"/>
              <a:lumOff val="60000"/>
            </a:schemeClr>
          </a:gs>
          <a:gs pos="90000">
            <a:schemeClr val="phClr"/>
          </a:gs>
        </a:gsLst>
        <a:lin ang="5400000" scaled="0"/>
      </a:gradFill>
      <a:ln>
        <a:gradFill>
          <a:gsLst>
            <a:gs pos="0">
              <a:schemeClr val="phClr"/>
            </a:gs>
            <a:gs pos="100000">
              <a:schemeClr val="phClr">
                <a:lumMod val="75000"/>
              </a:schemeClr>
            </a:gs>
          </a:gsLst>
          <a:lin ang="5400000" scaled="1"/>
        </a:gradFill>
      </a:ln>
      <a:effectLst>
        <a:outerShdw blurRad="76200" dist="25400" dir="2700000" algn="tl" rotWithShape="0">
          <a:schemeClr val="phClr">
            <a:lumMod val="50000"/>
            <a:alpha val="30000"/>
          </a:schemeClr>
        </a:outerShdw>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53</Pages>
  <Words>14145</Words>
  <Characters>18130</Characters>
  <Lines>261</Lines>
  <Paragraphs>73</Paragraphs>
  <TotalTime>8</TotalTime>
  <ScaleCrop>false</ScaleCrop>
  <LinksUpToDate>false</LinksUpToDate>
  <CharactersWithSpaces>18853</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2023-02-17T01:52:23Z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y fmtid="{D5CDD505-2E9C-101B-9397-08002B2CF9AE}" pid="3" name="ICV">
    <vt:lpwstr>11908761171D47159794255EFE416036_13</vt:lpwstr>
  </property>
  <property fmtid="{D5CDD505-2E9C-101B-9397-08002B2CF9AE}" pid="4" name="KSOTemplateUUID">
    <vt:lpwstr>v1.0_mb_S7ajbG3IpAnL1wSthNCxfw==</vt:lpwstr>
  </property>
</Properties>
</file>