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7619" w:rsidRDefault="008D7619">
      <w:pPr>
        <w:spacing w:line="578"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鹿泉区大河镇政府</w:t>
      </w:r>
      <w:r>
        <w:rPr>
          <w:rFonts w:ascii="方正小标宋简体" w:eastAsia="方正小标宋简体" w:hAnsi="方正小标宋简体" w:cs="方正小标宋简体"/>
          <w:sz w:val="44"/>
          <w:szCs w:val="44"/>
        </w:rPr>
        <w:t>2024</w:t>
      </w:r>
      <w:r>
        <w:rPr>
          <w:rFonts w:ascii="方正小标宋简体" w:eastAsia="方正小标宋简体" w:hAnsi="方正小标宋简体" w:cs="方正小标宋简体" w:hint="eastAsia"/>
          <w:sz w:val="44"/>
          <w:szCs w:val="44"/>
        </w:rPr>
        <w:t>年度整体支出绩效自评报告</w:t>
      </w:r>
    </w:p>
    <w:p w:rsidR="008D7619" w:rsidRDefault="008D7619">
      <w:pPr>
        <w:spacing w:line="578" w:lineRule="exact"/>
        <w:jc w:val="center"/>
        <w:rPr>
          <w:rFonts w:ascii="华文楷体" w:eastAsia="华文楷体"/>
          <w:sz w:val="32"/>
          <w:szCs w:val="32"/>
        </w:rPr>
      </w:pPr>
    </w:p>
    <w:p w:rsidR="008D7619" w:rsidRDefault="008D7619">
      <w:pPr>
        <w:adjustRightInd w:val="0"/>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贯彻落实石家庄市鹿泉区人民政府《关于全面实施预算绩效管理的实施意见》（鹿发〔</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号）文件精神，遵循“科学性、规范性、客观性和公正性”的原则，对鹿泉区大河镇政府</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年整体支出情况实施了财政支出绩效自评价，形成本评价报告。</w:t>
      </w:r>
    </w:p>
    <w:p w:rsidR="008D7619" w:rsidRDefault="008D7619">
      <w:pPr>
        <w:adjustRightInd w:val="0"/>
        <w:snapToGrid w:val="0"/>
        <w:spacing w:line="578" w:lineRule="exact"/>
        <w:rPr>
          <w:rFonts w:ascii="黑体" w:eastAsia="黑体" w:hAnsi="黑体"/>
          <w:b/>
          <w:bCs/>
          <w:sz w:val="32"/>
          <w:szCs w:val="36"/>
        </w:rPr>
      </w:pPr>
      <w:r>
        <w:rPr>
          <w:rFonts w:ascii="黑体" w:eastAsia="黑体" w:hAnsi="黑体"/>
          <w:sz w:val="32"/>
          <w:szCs w:val="32"/>
        </w:rPr>
        <w:t xml:space="preserve">     </w:t>
      </w:r>
      <w:r>
        <w:rPr>
          <w:rFonts w:ascii="黑体" w:eastAsia="黑体" w:hAnsi="黑体" w:hint="eastAsia"/>
          <w:sz w:val="32"/>
          <w:szCs w:val="32"/>
        </w:rPr>
        <w:t>一、部门</w:t>
      </w:r>
      <w:r>
        <w:rPr>
          <w:rFonts w:ascii="黑体" w:eastAsia="黑体" w:hAnsi="黑体" w:hint="eastAsia"/>
          <w:sz w:val="32"/>
          <w:szCs w:val="36"/>
        </w:rPr>
        <w:t>基本情况</w:t>
      </w:r>
    </w:p>
    <w:p w:rsidR="008D7619" w:rsidRDefault="008D7619">
      <w:pPr>
        <w:adjustRightInd w:val="0"/>
        <w:snapToGrid w:val="0"/>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（一）部门概况</w:t>
      </w:r>
    </w:p>
    <w:p w:rsidR="008D7619" w:rsidRDefault="008D7619">
      <w:pPr>
        <w:adjustRightInd w:val="0"/>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部门职责：根据中共石家庄市鹿泉区委办公室石家庄市鹿泉区人民政府办公室关于印发《石家庄市鹿泉区大河镇党委、人大、政府职能配置、内设机构和人员编制规定》，</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石家庄市鹿泉区大河镇人民政府的主要职责是：大河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rsidR="008D7619" w:rsidRDefault="008D7619">
      <w:pPr>
        <w:adjustRightInd w:val="0"/>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大河镇党委、人大、政府设</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个工作机构。（一）、内设机构</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个：</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党政综合办公室。负责机关日常工作的综合协调和督促检查；负责机关文电、值班、会务、机要、保密、档案、党务政务公开、对外联络、后勤保障等日常运转工作；负责机关和所属单位财务及国有资产管理等工作。</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个，规格为股级，所属类别为公益一类，经费形式为财政性资金基本保障：</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、综合行政执法队。核定财政性资金基本保障事业编制</w:t>
      </w:r>
      <w:r>
        <w:rPr>
          <w:rFonts w:ascii="仿宋_GB2312" w:eastAsia="仿宋_GB2312" w:hAnsi="仿宋_GB2312" w:cs="仿宋_GB2312"/>
          <w:sz w:val="32"/>
          <w:szCs w:val="32"/>
        </w:rPr>
        <w:t>16</w:t>
      </w:r>
      <w:r>
        <w:rPr>
          <w:rFonts w:ascii="仿宋_GB2312" w:eastAsia="仿宋_GB2312" w:hAnsi="仿宋_GB2312" w:cs="仿宋_GB2312" w:hint="eastAsia"/>
          <w:sz w:val="32"/>
          <w:szCs w:val="32"/>
        </w:rPr>
        <w:t>名，股级职数</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正</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副。根据有关法律法规和上级部门授权、委托，承担城乡建设、生态环境、文化市场、农业农村、安全生产、民族宗教等领域行政执法工作。</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、行政综合服务中心</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挂综合文化服务站、财政所牌子</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。核定财政性资金基本保障事业编制</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名，股级职数</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正</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、农业综合服务中心（挂经济发展办公室牌子）。核定财政性资金基本保障事业编制</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名，股级职数</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正</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、退役军人服务站。核定财政性资金基本保障事业编制</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名，股级职数</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名。负责退役军人就业创业扶持、拥军优属、优抚帮扶、走访慰问、信访接待、权益保障等工作；配合武装部做好征兵、民兵、预备役、国防教育、国民经济动员、人民防空、国防交通、国防设施保护等相关工作。</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、综合指挥和信息化网络中心</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挂社会治理办公室牌子</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核定财政性资金基本保障事业编制</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名，股级职数</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正</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监察办公室）。核定行政编制</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rsidR="008D7619" w:rsidRDefault="008D7619">
      <w:pPr>
        <w:adjustRightInd w:val="0"/>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截止</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年底，我镇在编人员</w:t>
      </w:r>
      <w:r>
        <w:rPr>
          <w:rFonts w:ascii="仿宋_GB2312" w:eastAsia="仿宋_GB2312" w:hAnsi="仿宋_GB2312" w:cs="仿宋_GB2312"/>
          <w:sz w:val="32"/>
          <w:szCs w:val="32"/>
        </w:rPr>
        <w:t>74</w:t>
      </w:r>
      <w:r>
        <w:rPr>
          <w:rFonts w:ascii="仿宋_GB2312" w:eastAsia="仿宋_GB2312" w:hAnsi="仿宋_GB2312" w:cs="仿宋_GB2312" w:hint="eastAsia"/>
          <w:sz w:val="32"/>
          <w:szCs w:val="32"/>
        </w:rPr>
        <w:t>人，资产合计</w:t>
      </w:r>
      <w:r>
        <w:rPr>
          <w:rFonts w:ascii="仿宋_GB2312" w:eastAsia="仿宋_GB2312" w:hAnsi="仿宋_GB2312" w:cs="仿宋_GB2312"/>
          <w:sz w:val="32"/>
          <w:szCs w:val="32"/>
        </w:rPr>
        <w:t>9686.98</w:t>
      </w:r>
      <w:r>
        <w:rPr>
          <w:rFonts w:ascii="仿宋_GB2312" w:eastAsia="仿宋_GB2312" w:hAnsi="仿宋_GB2312" w:cs="仿宋_GB2312" w:hint="eastAsia"/>
          <w:sz w:val="32"/>
          <w:szCs w:val="32"/>
        </w:rPr>
        <w:t>万元。</w:t>
      </w:r>
    </w:p>
    <w:p w:rsidR="008D7619" w:rsidRDefault="008D7619">
      <w:pPr>
        <w:numPr>
          <w:ilvl w:val="0"/>
          <w:numId w:val="1"/>
        </w:numPr>
        <w:adjustRightInd w:val="0"/>
        <w:snapToGrid w:val="0"/>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部门收支预决算情况。</w:t>
      </w:r>
    </w:p>
    <w:p w:rsidR="008D7619" w:rsidRDefault="008D7619">
      <w:pPr>
        <w:adjustRightInd w:val="0"/>
        <w:snapToGrid w:val="0"/>
        <w:spacing w:line="578" w:lineRule="exact"/>
        <w:ind w:firstLine="420"/>
        <w:rPr>
          <w:rFonts w:ascii="仿宋_GB2312" w:eastAsia="仿宋_GB2312" w:hAnsi="仿宋_GB2312" w:cs="仿宋_GB2312"/>
          <w:bCs/>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年年初预算收入、支出为</w:t>
      </w:r>
      <w:r>
        <w:rPr>
          <w:rFonts w:ascii="仿宋_GB2312" w:eastAsia="仿宋_GB2312" w:hAnsi="仿宋_GB2312" w:cs="仿宋_GB2312"/>
          <w:sz w:val="32"/>
          <w:szCs w:val="32"/>
        </w:rPr>
        <w:t>3703.45</w:t>
      </w:r>
      <w:r>
        <w:rPr>
          <w:rFonts w:ascii="仿宋_GB2312" w:eastAsia="仿宋_GB2312" w:hAnsi="仿宋_GB2312" w:cs="仿宋_GB2312" w:hint="eastAsia"/>
          <w:sz w:val="32"/>
          <w:szCs w:val="32"/>
        </w:rPr>
        <w:t>万元，决算年末收入、支出为</w:t>
      </w:r>
      <w:r>
        <w:rPr>
          <w:rFonts w:ascii="仿宋_GB2312" w:eastAsia="仿宋_GB2312" w:hAnsi="仿宋_GB2312" w:cs="仿宋_GB2312"/>
          <w:sz w:val="32"/>
          <w:szCs w:val="32"/>
        </w:rPr>
        <w:t>4840.81</w:t>
      </w:r>
      <w:r>
        <w:rPr>
          <w:rFonts w:ascii="仿宋_GB2312" w:eastAsia="仿宋_GB2312" w:hAnsi="仿宋_GB2312" w:cs="仿宋_GB2312" w:hint="eastAsia"/>
          <w:sz w:val="32"/>
          <w:szCs w:val="32"/>
        </w:rPr>
        <w:t>万元。</w:t>
      </w:r>
    </w:p>
    <w:p w:rsidR="008D7619" w:rsidRDefault="008D7619">
      <w:pPr>
        <w:adjustRightInd w:val="0"/>
        <w:snapToGrid w:val="0"/>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（三）部门整体支出绩效目标、指标</w:t>
      </w:r>
    </w:p>
    <w:p w:rsidR="008D7619" w:rsidRDefault="008D7619">
      <w:pPr>
        <w:adjustRightInd w:val="0"/>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严格执行预算管理制度，保证了各项财务活动的合规性和透明度。在预算执行方面按照年初制定的预算计划，合理安排资金的使用，通过严格的预算控制和审查机制，确保了预算执行的效率和效果。</w:t>
      </w:r>
    </w:p>
    <w:p w:rsidR="008D7619" w:rsidRDefault="008D7619">
      <w:pPr>
        <w:adjustRightInd w:val="0"/>
        <w:snapToGrid w:val="0"/>
        <w:spacing w:line="578"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8D7619" w:rsidRDefault="008D7619">
      <w:pPr>
        <w:spacing w:line="578" w:lineRule="exact"/>
        <w:rPr>
          <w:rFonts w:ascii="仿宋_GB2312" w:eastAsia="仿宋_GB2312" w:hAnsi="仿宋_GB2312" w:cs="仿宋_GB2312"/>
          <w:sz w:val="32"/>
          <w:szCs w:val="32"/>
        </w:rPr>
      </w:pPr>
      <w:r>
        <w:rPr>
          <w:rFonts w:ascii="仿宋" w:eastAsia="仿宋" w:hAnsi="仿宋" w:cs="楷体_GB2312"/>
          <w:b/>
          <w:bCs/>
          <w:sz w:val="32"/>
          <w:szCs w:val="32"/>
        </w:rPr>
        <w:t xml:space="preserve">    </w:t>
      </w:r>
      <w:r>
        <w:rPr>
          <w:rFonts w:ascii="仿宋_GB2312" w:eastAsia="仿宋_GB2312" w:hAnsi="仿宋_GB2312" w:cs="仿宋_GB2312" w:hint="eastAsia"/>
          <w:bCs/>
          <w:sz w:val="32"/>
          <w:szCs w:val="32"/>
        </w:rPr>
        <w:t>（一）自评的组织工作</w:t>
      </w:r>
    </w:p>
    <w:p w:rsidR="008D7619" w:rsidRDefault="008D7619">
      <w:pPr>
        <w:spacing w:line="578" w:lineRule="exact"/>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清晰的界定工作的内容与其需要达到的标准，使管理活动更加适宜，组织目标更加明确，达到项目设定的效果。前期进行大量的调查研究，在此基础上进行了项目战略规划的编制、绩效目标的设立、指标设定及论证，科学立项；精确编制建设项目预算；着重于计划管理、绩效监控、风险控制、资金筹措及绩效制度建设，认真组织实施；设立绩效自评工作组织，进行评价。</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bCs/>
          <w:sz w:val="32"/>
          <w:szCs w:val="32"/>
        </w:rPr>
        <w:t>（二）</w:t>
      </w:r>
      <w:r>
        <w:rPr>
          <w:rFonts w:ascii="仿宋_GB2312" w:eastAsia="仿宋_GB2312" w:hAnsi="仿宋_GB2312" w:cs="仿宋_GB2312" w:hint="eastAsia"/>
          <w:sz w:val="32"/>
          <w:szCs w:val="32"/>
        </w:rPr>
        <w:t>自评的方法和过程</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、绩效评价标准和评价方法。根据项目实际情况，选用恰当的标准进行评价，定量评价标准、定性评价标准、隶属度标准、客观标准等相结合，从多角度进行综合评价。</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、绩效评价实施过程。</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①前期准备。</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根据有关规定及要求，认真组织人员对项目自评资料进行收集、整理，针对指标完成情况进行绩效分析。为有效及时的完成项目绩效自评工作打下坚实的基础。</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②组织实施。</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加强过程控制，认真总结项目实现绩效目标过程中存在的问题和采取的改进措施，对项目的预算编制、工程施工、材料的采购进行认真的分析研究，整个过程严格按照绩效评价管理办法进行。</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③分析评价。</w:t>
      </w:r>
    </w:p>
    <w:p w:rsidR="008D7619" w:rsidRDefault="008D7619">
      <w:pPr>
        <w:spacing w:line="578" w:lineRule="exact"/>
        <w:ind w:firstLine="420"/>
        <w:rPr>
          <w:rFonts w:ascii="仿宋_GB2312" w:eastAsia="仿宋_GB2312" w:hAnsi="仿宋_GB2312" w:cs="仿宋_GB2312"/>
          <w:sz w:val="32"/>
          <w:szCs w:val="32"/>
        </w:rPr>
      </w:pPr>
      <w:r>
        <w:rPr>
          <w:rFonts w:ascii="仿宋_GB2312" w:eastAsia="仿宋_GB2312" w:hAnsi="仿宋_GB2312" w:cs="仿宋_GB2312" w:hint="eastAsia"/>
          <w:sz w:val="32"/>
          <w:szCs w:val="32"/>
        </w:rPr>
        <w:t>根据项目立身特点和已经确定的各项绩效指标，对照项目完成情况，逐一评价，确保评价结论真实、客观、公平、公正。</w:t>
      </w:r>
    </w:p>
    <w:p w:rsidR="008D7619" w:rsidRDefault="008D7619">
      <w:pPr>
        <w:spacing w:line="578" w:lineRule="exact"/>
        <w:rPr>
          <w:rFonts w:ascii="黑体" w:eastAsia="黑体" w:hAnsi="黑体"/>
          <w:b/>
          <w:bCs/>
          <w:sz w:val="32"/>
          <w:szCs w:val="32"/>
        </w:rPr>
      </w:pPr>
      <w:r>
        <w:rPr>
          <w:rFonts w:ascii="黑体" w:eastAsia="黑体" w:hAnsi="黑体"/>
          <w:sz w:val="32"/>
          <w:szCs w:val="32"/>
        </w:rPr>
        <w:t xml:space="preserve">    </w:t>
      </w:r>
      <w:r>
        <w:rPr>
          <w:rFonts w:ascii="黑体" w:eastAsia="黑体" w:hAnsi="黑体" w:hint="eastAsia"/>
          <w:sz w:val="32"/>
          <w:szCs w:val="32"/>
        </w:rPr>
        <w:t>三、部门整体支出绩效目标实现情况及指标分析</w:t>
      </w:r>
    </w:p>
    <w:p w:rsidR="008D7619" w:rsidRDefault="008D7619">
      <w:pPr>
        <w:numPr>
          <w:ilvl w:val="0"/>
          <w:numId w:val="2"/>
        </w:numPr>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总体绩效目标实现情况</w:t>
      </w:r>
    </w:p>
    <w:p w:rsidR="008D7619" w:rsidRDefault="008D7619">
      <w:pPr>
        <w:snapToGrid w:val="0"/>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ab/>
      </w:r>
      <w:r>
        <w:rPr>
          <w:rFonts w:ascii="仿宋_GB2312" w:eastAsia="仿宋_GB2312" w:hAnsi="仿宋_GB2312" w:cs="仿宋_GB2312" w:hint="eastAsia"/>
          <w:sz w:val="32"/>
          <w:szCs w:val="32"/>
        </w:rPr>
        <w:t>本部门积极响应上级财政部门的指导，严格执行预算管理制度，保证了各项财务活动的合规性和透明度。在预算执行方面按照年初制定的预算计划，合理安排资金的使用，通过严格的预算控制和审查机制，确保了预算执行的效率和效果；在绩效管理方面加强了对绩效的管理，尽力保证每一笔资金都能按照既定的目标和要求使用，并达到预期的效果。</w:t>
      </w:r>
    </w:p>
    <w:p w:rsidR="008D7619" w:rsidRDefault="008D7619">
      <w:pPr>
        <w:spacing w:line="578" w:lineRule="exact"/>
        <w:rPr>
          <w:rFonts w:ascii="仿宋_GB2312" w:eastAsia="仿宋_GB2312" w:hAnsi="仿宋_GB2312" w:cs="仿宋_GB2312"/>
          <w:bCs/>
          <w:sz w:val="32"/>
          <w:szCs w:val="32"/>
        </w:rPr>
      </w:pPr>
      <w:r>
        <w:rPr>
          <w:rFonts w:ascii="仿宋_GB2312" w:eastAsia="仿宋_GB2312" w:hAnsi="仿宋_GB2312" w:cs="仿宋_GB2312"/>
          <w:b/>
          <w:bCs/>
          <w:sz w:val="32"/>
          <w:szCs w:val="32"/>
        </w:rPr>
        <w:t xml:space="preserve">    </w:t>
      </w:r>
      <w:r>
        <w:rPr>
          <w:rFonts w:ascii="仿宋_GB2312" w:eastAsia="仿宋_GB2312" w:hAnsi="仿宋_GB2312" w:cs="仿宋_GB2312" w:hint="eastAsia"/>
          <w:bCs/>
          <w:sz w:val="32"/>
          <w:szCs w:val="32"/>
        </w:rPr>
        <w:t>（二）分项绩效目标实现情况及指标分析</w:t>
      </w:r>
    </w:p>
    <w:p w:rsidR="008D7619" w:rsidRDefault="008D7619">
      <w:p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参照预算绩效文本中分项绩效目标、指标，从完成数量、质量、时效、成本</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效益等方面，对分项目标指标完成情况进行评价，指标要细化、量化，得分依据要充分。</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农村生活垃圾清理资金项目。预算金额</w:t>
      </w:r>
      <w:r>
        <w:rPr>
          <w:rFonts w:ascii="仿宋_GB2312" w:eastAsia="仿宋_GB2312" w:hAnsi="仿宋_GB2312" w:cs="仿宋_GB2312"/>
          <w:sz w:val="32"/>
          <w:szCs w:val="32"/>
        </w:rPr>
        <w:t>339.124985</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339.124985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339.124985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分；数量、质量、时效、成本均全部完成预期指标值，清扫保洁行政村</w:t>
      </w:r>
      <w:r>
        <w:rPr>
          <w:rFonts w:ascii="仿宋_GB2312" w:eastAsia="仿宋_GB2312" w:hAnsi="仿宋_GB2312" w:cs="仿宋_GB2312"/>
          <w:sz w:val="32"/>
          <w:szCs w:val="32"/>
        </w:rPr>
        <w:t>26</w:t>
      </w:r>
      <w:r>
        <w:rPr>
          <w:rFonts w:ascii="仿宋_GB2312" w:eastAsia="仿宋_GB2312" w:hAnsi="仿宋_GB2312" w:cs="仿宋_GB2312" w:hint="eastAsia"/>
          <w:sz w:val="32"/>
          <w:szCs w:val="32"/>
        </w:rPr>
        <w:t>个，保洁面积达到</w:t>
      </w:r>
      <w:r>
        <w:rPr>
          <w:rFonts w:ascii="仿宋_GB2312" w:eastAsia="仿宋_GB2312" w:hAnsi="仿宋_GB2312" w:cs="仿宋_GB2312"/>
          <w:sz w:val="32"/>
          <w:szCs w:val="32"/>
        </w:rPr>
        <w:t>68</w:t>
      </w:r>
      <w:r>
        <w:rPr>
          <w:rFonts w:ascii="仿宋_GB2312" w:eastAsia="仿宋_GB2312" w:hAnsi="仿宋_GB2312" w:cs="仿宋_GB2312" w:hint="eastAsia"/>
          <w:sz w:val="32"/>
          <w:szCs w:val="32"/>
        </w:rPr>
        <w:t>平方公里，清扫面积覆盖率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，工作完成及时率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区级退役公益性岗位、派遣人员工资、社保项目。预算金额</w:t>
      </w:r>
      <w:r>
        <w:rPr>
          <w:rFonts w:ascii="仿宋_GB2312" w:eastAsia="仿宋_GB2312" w:hAnsi="仿宋_GB2312" w:cs="仿宋_GB2312"/>
          <w:sz w:val="32"/>
          <w:szCs w:val="32"/>
        </w:rPr>
        <w:t>80.32</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80.32</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80.32</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分；数量、质量、时效、成本均全部完成预期指标值，补贴人员数量</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人，资金发放到位率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资金发放及时率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提前下达</w:t>
      </w:r>
      <w:r>
        <w:rPr>
          <w:rFonts w:ascii="仿宋_GB2312" w:eastAsia="仿宋_GB2312" w:hAnsi="仿宋_GB2312" w:cs="仿宋_GB2312"/>
          <w:sz w:val="32"/>
          <w:szCs w:val="32"/>
        </w:rPr>
        <w:t>2022</w:t>
      </w:r>
      <w:r>
        <w:rPr>
          <w:rFonts w:ascii="仿宋_GB2312" w:eastAsia="仿宋_GB2312" w:hAnsi="仿宋_GB2312" w:cs="仿宋_GB2312" w:hint="eastAsia"/>
          <w:sz w:val="32"/>
          <w:szCs w:val="32"/>
        </w:rPr>
        <w:t>年省级农村综合改革转移支付资金（</w:t>
      </w:r>
      <w:r>
        <w:rPr>
          <w:rFonts w:ascii="仿宋_GB2312" w:eastAsia="仿宋_GB2312" w:hAnsi="仿宋_GB2312" w:cs="仿宋_GB2312"/>
          <w:sz w:val="32"/>
          <w:szCs w:val="32"/>
        </w:rPr>
        <w:t>2022</w:t>
      </w:r>
      <w:r>
        <w:rPr>
          <w:rFonts w:ascii="仿宋_GB2312" w:eastAsia="仿宋_GB2312" w:hAnsi="仿宋_GB2312" w:cs="仿宋_GB2312" w:hint="eastAsia"/>
          <w:sz w:val="32"/>
          <w:szCs w:val="32"/>
        </w:rPr>
        <w:t>年大河镇一事一议项目）项目。预算金额</w:t>
      </w:r>
      <w:r>
        <w:rPr>
          <w:rFonts w:ascii="仿宋_GB2312" w:eastAsia="仿宋_GB2312" w:hAnsi="仿宋_GB2312" w:cs="仿宋_GB2312"/>
          <w:sz w:val="32"/>
          <w:szCs w:val="32"/>
        </w:rPr>
        <w:t>39.187113</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39.187113</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39.187113</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分；数量、质量、时效、成本均全部完成预期指标值，新增路灯数量</w:t>
      </w:r>
      <w:r>
        <w:rPr>
          <w:rFonts w:ascii="仿宋_GB2312" w:eastAsia="仿宋_GB2312" w:hAnsi="仿宋_GB2312" w:cs="仿宋_GB2312"/>
          <w:sz w:val="32"/>
          <w:szCs w:val="32"/>
        </w:rPr>
        <w:t>127</w:t>
      </w:r>
      <w:r>
        <w:rPr>
          <w:rFonts w:ascii="仿宋_GB2312" w:eastAsia="仿宋_GB2312" w:hAnsi="仿宋_GB2312" w:cs="仿宋_GB2312" w:hint="eastAsia"/>
          <w:sz w:val="32"/>
          <w:szCs w:val="32"/>
        </w:rPr>
        <w:t>盏、道路硬化数量</w:t>
      </w:r>
      <w:r>
        <w:rPr>
          <w:rFonts w:ascii="仿宋_GB2312" w:eastAsia="仿宋_GB2312" w:hAnsi="仿宋_GB2312" w:cs="仿宋_GB2312"/>
          <w:sz w:val="32"/>
          <w:szCs w:val="32"/>
        </w:rPr>
        <w:t>5510</w:t>
      </w:r>
      <w:r>
        <w:rPr>
          <w:rFonts w:ascii="仿宋_GB2312" w:eastAsia="仿宋_GB2312" w:hAnsi="仿宋_GB2312" w:cs="仿宋_GB2312" w:hint="eastAsia"/>
          <w:sz w:val="32"/>
          <w:szCs w:val="32"/>
        </w:rPr>
        <w:t>平方米、铺设便道砖数量</w:t>
      </w:r>
      <w:r>
        <w:rPr>
          <w:rFonts w:ascii="仿宋_GB2312" w:eastAsia="仿宋_GB2312" w:hAnsi="仿宋_GB2312" w:cs="仿宋_GB2312"/>
          <w:sz w:val="32"/>
          <w:szCs w:val="32"/>
        </w:rPr>
        <w:t>728</w:t>
      </w:r>
      <w:r>
        <w:rPr>
          <w:rFonts w:ascii="仿宋_GB2312" w:eastAsia="仿宋_GB2312" w:hAnsi="仿宋_GB2312" w:cs="仿宋_GB2312" w:hint="eastAsia"/>
          <w:sz w:val="32"/>
          <w:szCs w:val="32"/>
        </w:rPr>
        <w:t>平方米、铺</w:t>
      </w:r>
      <w:bookmarkStart w:id="0" w:name="_GoBack"/>
      <w:bookmarkEnd w:id="0"/>
      <w:r>
        <w:rPr>
          <w:rFonts w:ascii="仿宋_GB2312" w:eastAsia="仿宋_GB2312" w:hAnsi="仿宋_GB2312" w:cs="仿宋_GB2312" w:hint="eastAsia"/>
          <w:sz w:val="32"/>
          <w:szCs w:val="32"/>
        </w:rPr>
        <w:t>设路牙石</w:t>
      </w:r>
      <w:r>
        <w:rPr>
          <w:rFonts w:ascii="仿宋_GB2312" w:eastAsia="仿宋_GB2312" w:hAnsi="仿宋_GB2312" w:cs="仿宋_GB2312"/>
          <w:sz w:val="32"/>
          <w:szCs w:val="32"/>
        </w:rPr>
        <w:t>645</w:t>
      </w:r>
      <w:r>
        <w:rPr>
          <w:rFonts w:ascii="仿宋_GB2312" w:eastAsia="仿宋_GB2312" w:hAnsi="仿宋_GB2312" w:cs="仿宋_GB2312" w:hint="eastAsia"/>
          <w:sz w:val="32"/>
          <w:szCs w:val="32"/>
        </w:rPr>
        <w:t>米、修建排水沟</w:t>
      </w:r>
      <w:r>
        <w:rPr>
          <w:rFonts w:ascii="仿宋_GB2312" w:eastAsia="仿宋_GB2312" w:hAnsi="仿宋_GB2312" w:cs="仿宋_GB2312"/>
          <w:sz w:val="32"/>
          <w:szCs w:val="32"/>
        </w:rPr>
        <w:t>1488</w:t>
      </w:r>
      <w:r>
        <w:rPr>
          <w:rFonts w:ascii="仿宋_GB2312" w:eastAsia="仿宋_GB2312" w:hAnsi="仿宋_GB2312" w:cs="仿宋_GB2312" w:hint="eastAsia"/>
          <w:sz w:val="32"/>
          <w:szCs w:val="32"/>
        </w:rPr>
        <w:t>米、绿化植树数量</w:t>
      </w:r>
      <w:r>
        <w:rPr>
          <w:rFonts w:ascii="仿宋_GB2312" w:eastAsia="仿宋_GB2312" w:hAnsi="仿宋_GB2312" w:cs="仿宋_GB2312"/>
          <w:sz w:val="32"/>
          <w:szCs w:val="32"/>
        </w:rPr>
        <w:t>218</w:t>
      </w:r>
      <w:r>
        <w:rPr>
          <w:rFonts w:ascii="仿宋_GB2312" w:eastAsia="仿宋_GB2312" w:hAnsi="仿宋_GB2312" w:cs="仿宋_GB2312" w:hint="eastAsia"/>
          <w:sz w:val="32"/>
          <w:szCs w:val="32"/>
        </w:rPr>
        <w:t>株，得分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提前下达</w:t>
      </w:r>
      <w:r>
        <w:rPr>
          <w:rFonts w:ascii="仿宋_GB2312" w:eastAsia="仿宋_GB2312" w:hAnsi="仿宋_GB2312" w:cs="仿宋_GB2312"/>
          <w:sz w:val="32"/>
          <w:szCs w:val="32"/>
        </w:rPr>
        <w:t>2022</w:t>
      </w:r>
      <w:r>
        <w:rPr>
          <w:rFonts w:ascii="仿宋_GB2312" w:eastAsia="仿宋_GB2312" w:hAnsi="仿宋_GB2312" w:cs="仿宋_GB2312" w:hint="eastAsia"/>
          <w:sz w:val="32"/>
          <w:szCs w:val="32"/>
        </w:rPr>
        <w:t>年省级农村综合改革转移支付资金（</w:t>
      </w:r>
      <w:r>
        <w:rPr>
          <w:rFonts w:ascii="仿宋_GB2312" w:eastAsia="仿宋_GB2312" w:hAnsi="仿宋_GB2312" w:cs="仿宋_GB2312"/>
          <w:sz w:val="32"/>
          <w:szCs w:val="32"/>
        </w:rPr>
        <w:t>2022</w:t>
      </w:r>
      <w:r>
        <w:rPr>
          <w:rFonts w:ascii="仿宋_GB2312" w:eastAsia="仿宋_GB2312" w:hAnsi="仿宋_GB2312" w:cs="仿宋_GB2312" w:hint="eastAsia"/>
          <w:sz w:val="32"/>
          <w:szCs w:val="32"/>
        </w:rPr>
        <w:t>年大河镇一事一议项目）项目。预算金额</w:t>
      </w:r>
      <w:r>
        <w:rPr>
          <w:rFonts w:ascii="仿宋_GB2312" w:eastAsia="仿宋_GB2312" w:hAnsi="仿宋_GB2312" w:cs="仿宋_GB2312"/>
          <w:sz w:val="32"/>
          <w:szCs w:val="32"/>
        </w:rPr>
        <w:t>136.473387</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136.473387</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136.473387</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分；数量、质量、时效、成本均全部完成预期指标值，新增路灯数量</w:t>
      </w:r>
      <w:r>
        <w:rPr>
          <w:rFonts w:ascii="仿宋_GB2312" w:eastAsia="仿宋_GB2312" w:hAnsi="仿宋_GB2312" w:cs="仿宋_GB2312"/>
          <w:sz w:val="32"/>
          <w:szCs w:val="32"/>
        </w:rPr>
        <w:t>127</w:t>
      </w:r>
      <w:r>
        <w:rPr>
          <w:rFonts w:ascii="仿宋_GB2312" w:eastAsia="仿宋_GB2312" w:hAnsi="仿宋_GB2312" w:cs="仿宋_GB2312" w:hint="eastAsia"/>
          <w:sz w:val="32"/>
          <w:szCs w:val="32"/>
        </w:rPr>
        <w:t>盏、道路硬化数量</w:t>
      </w:r>
      <w:r>
        <w:rPr>
          <w:rFonts w:ascii="仿宋_GB2312" w:eastAsia="仿宋_GB2312" w:hAnsi="仿宋_GB2312" w:cs="仿宋_GB2312"/>
          <w:sz w:val="32"/>
          <w:szCs w:val="32"/>
        </w:rPr>
        <w:t>5510</w:t>
      </w:r>
      <w:r>
        <w:rPr>
          <w:rFonts w:ascii="仿宋_GB2312" w:eastAsia="仿宋_GB2312" w:hAnsi="仿宋_GB2312" w:cs="仿宋_GB2312" w:hint="eastAsia"/>
          <w:sz w:val="32"/>
          <w:szCs w:val="32"/>
        </w:rPr>
        <w:t>平方米、铺设便道砖数量</w:t>
      </w:r>
      <w:r>
        <w:rPr>
          <w:rFonts w:ascii="仿宋_GB2312" w:eastAsia="仿宋_GB2312" w:hAnsi="仿宋_GB2312" w:cs="仿宋_GB2312"/>
          <w:sz w:val="32"/>
          <w:szCs w:val="32"/>
        </w:rPr>
        <w:t>728</w:t>
      </w:r>
      <w:r>
        <w:rPr>
          <w:rFonts w:ascii="仿宋_GB2312" w:eastAsia="仿宋_GB2312" w:hAnsi="仿宋_GB2312" w:cs="仿宋_GB2312" w:hint="eastAsia"/>
          <w:sz w:val="32"/>
          <w:szCs w:val="32"/>
        </w:rPr>
        <w:t>平方米、铺设路牙石</w:t>
      </w:r>
      <w:r>
        <w:rPr>
          <w:rFonts w:ascii="仿宋_GB2312" w:eastAsia="仿宋_GB2312" w:hAnsi="仿宋_GB2312" w:cs="仿宋_GB2312"/>
          <w:sz w:val="32"/>
          <w:szCs w:val="32"/>
        </w:rPr>
        <w:t>645</w:t>
      </w:r>
      <w:r>
        <w:rPr>
          <w:rFonts w:ascii="仿宋_GB2312" w:eastAsia="仿宋_GB2312" w:hAnsi="仿宋_GB2312" w:cs="仿宋_GB2312" w:hint="eastAsia"/>
          <w:sz w:val="32"/>
          <w:szCs w:val="32"/>
        </w:rPr>
        <w:t>米、修建排水沟</w:t>
      </w:r>
      <w:r>
        <w:rPr>
          <w:rFonts w:ascii="仿宋_GB2312" w:eastAsia="仿宋_GB2312" w:hAnsi="仿宋_GB2312" w:cs="仿宋_GB2312"/>
          <w:sz w:val="32"/>
          <w:szCs w:val="32"/>
        </w:rPr>
        <w:t>1488</w:t>
      </w:r>
      <w:r>
        <w:rPr>
          <w:rFonts w:ascii="仿宋_GB2312" w:eastAsia="仿宋_GB2312" w:hAnsi="仿宋_GB2312" w:cs="仿宋_GB2312" w:hint="eastAsia"/>
          <w:sz w:val="32"/>
          <w:szCs w:val="32"/>
        </w:rPr>
        <w:t>米、绿化植树数量</w:t>
      </w:r>
      <w:r>
        <w:rPr>
          <w:rFonts w:ascii="仿宋_GB2312" w:eastAsia="仿宋_GB2312" w:hAnsi="仿宋_GB2312" w:cs="仿宋_GB2312"/>
          <w:sz w:val="32"/>
          <w:szCs w:val="32"/>
        </w:rPr>
        <w:t>218</w:t>
      </w:r>
      <w:r>
        <w:rPr>
          <w:rFonts w:ascii="仿宋_GB2312" w:eastAsia="仿宋_GB2312" w:hAnsi="仿宋_GB2312" w:cs="仿宋_GB2312" w:hint="eastAsia"/>
          <w:sz w:val="32"/>
          <w:szCs w:val="32"/>
        </w:rPr>
        <w:t>株，得分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提前下达</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年省级农村综合改革转移支付资金（</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年大河镇一事一议项目）项目。预算金额</w:t>
      </w:r>
      <w:r>
        <w:rPr>
          <w:rFonts w:ascii="仿宋_GB2312" w:eastAsia="仿宋_GB2312" w:hAnsi="仿宋_GB2312" w:cs="仿宋_GB2312"/>
          <w:sz w:val="32"/>
          <w:szCs w:val="32"/>
        </w:rPr>
        <w:t>92.0627</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分；数量、质量、时效、成本均全部完成预期指标值，涉及村数量</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个，修建泄洪沟</w:t>
      </w:r>
      <w:r>
        <w:rPr>
          <w:rFonts w:ascii="仿宋_GB2312" w:eastAsia="仿宋_GB2312" w:hAnsi="仿宋_GB2312" w:cs="仿宋_GB2312"/>
          <w:sz w:val="32"/>
          <w:szCs w:val="32"/>
        </w:rPr>
        <w:t>240</w:t>
      </w:r>
      <w:r>
        <w:rPr>
          <w:rFonts w:ascii="仿宋_GB2312" w:eastAsia="仿宋_GB2312" w:hAnsi="仿宋_GB2312" w:cs="仿宋_GB2312" w:hint="eastAsia"/>
          <w:sz w:val="32"/>
          <w:szCs w:val="32"/>
        </w:rPr>
        <w:t>米、硬化路面</w:t>
      </w:r>
      <w:r>
        <w:rPr>
          <w:rFonts w:ascii="仿宋_GB2312" w:eastAsia="仿宋_GB2312" w:hAnsi="仿宋_GB2312" w:cs="仿宋_GB2312"/>
          <w:sz w:val="32"/>
          <w:szCs w:val="32"/>
        </w:rPr>
        <w:t>2640</w:t>
      </w:r>
      <w:r>
        <w:rPr>
          <w:rFonts w:ascii="仿宋_GB2312" w:eastAsia="仿宋_GB2312" w:hAnsi="仿宋_GB2312" w:cs="仿宋_GB2312" w:hint="eastAsia"/>
          <w:sz w:val="32"/>
          <w:szCs w:val="32"/>
        </w:rPr>
        <w:t>平方米、安装太阳能路灯</w:t>
      </w:r>
      <w:r>
        <w:rPr>
          <w:rFonts w:ascii="仿宋_GB2312" w:eastAsia="仿宋_GB2312" w:hAnsi="仿宋_GB2312" w:cs="仿宋_GB2312"/>
          <w:sz w:val="32"/>
          <w:szCs w:val="32"/>
        </w:rPr>
        <w:t>171</w:t>
      </w:r>
      <w:r>
        <w:rPr>
          <w:rFonts w:ascii="仿宋_GB2312" w:eastAsia="仿宋_GB2312" w:hAnsi="仿宋_GB2312" w:cs="仿宋_GB2312" w:hint="eastAsia"/>
          <w:sz w:val="32"/>
          <w:szCs w:val="32"/>
        </w:rPr>
        <w:t>盏、铺设便道砖</w:t>
      </w:r>
      <w:r>
        <w:rPr>
          <w:rFonts w:ascii="仿宋_GB2312" w:eastAsia="仿宋_GB2312" w:hAnsi="仿宋_GB2312" w:cs="仿宋_GB2312"/>
          <w:sz w:val="32"/>
          <w:szCs w:val="32"/>
        </w:rPr>
        <w:t>2940</w:t>
      </w:r>
      <w:r>
        <w:rPr>
          <w:rFonts w:ascii="仿宋_GB2312" w:eastAsia="仿宋_GB2312" w:hAnsi="仿宋_GB2312" w:cs="仿宋_GB2312" w:hint="eastAsia"/>
          <w:sz w:val="32"/>
          <w:szCs w:val="32"/>
        </w:rPr>
        <w:t>平方米得分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90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提前下达</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年省级农村综合改革转移支付资金（</w:t>
      </w: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年大河镇一事一议项目）项目。预算金额</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分；数量、质量、时效、成本均全部完成预期指标值，涉及村数量</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个，修建排水沟</w:t>
      </w:r>
      <w:r>
        <w:rPr>
          <w:rFonts w:ascii="仿宋_GB2312" w:eastAsia="仿宋_GB2312" w:hAnsi="仿宋_GB2312" w:cs="仿宋_GB2312"/>
          <w:sz w:val="32"/>
          <w:szCs w:val="32"/>
        </w:rPr>
        <w:t>120</w:t>
      </w:r>
      <w:r>
        <w:rPr>
          <w:rFonts w:ascii="仿宋_GB2312" w:eastAsia="仿宋_GB2312" w:hAnsi="仿宋_GB2312" w:cs="仿宋_GB2312" w:hint="eastAsia"/>
          <w:sz w:val="32"/>
          <w:szCs w:val="32"/>
        </w:rPr>
        <w:t>米、硬化路面</w:t>
      </w:r>
      <w:r>
        <w:rPr>
          <w:rFonts w:ascii="仿宋_GB2312" w:eastAsia="仿宋_GB2312" w:hAnsi="仿宋_GB2312" w:cs="仿宋_GB2312"/>
          <w:sz w:val="32"/>
          <w:szCs w:val="32"/>
        </w:rPr>
        <w:t>7068</w:t>
      </w:r>
      <w:r>
        <w:rPr>
          <w:rFonts w:ascii="仿宋_GB2312" w:eastAsia="仿宋_GB2312" w:hAnsi="仿宋_GB2312" w:cs="仿宋_GB2312" w:hint="eastAsia"/>
          <w:sz w:val="32"/>
          <w:szCs w:val="32"/>
        </w:rPr>
        <w:t>平方米、更换井盖</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套、安装太阳能路灯数量</w:t>
      </w:r>
      <w:r>
        <w:rPr>
          <w:rFonts w:ascii="仿宋_GB2312" w:eastAsia="仿宋_GB2312" w:hAnsi="仿宋_GB2312" w:cs="仿宋_GB2312"/>
          <w:sz w:val="32"/>
          <w:szCs w:val="32"/>
        </w:rPr>
        <w:t>53</w:t>
      </w:r>
      <w:r>
        <w:rPr>
          <w:rFonts w:ascii="仿宋_GB2312" w:eastAsia="仿宋_GB2312" w:hAnsi="仿宋_GB2312" w:cs="仿宋_GB2312" w:hint="eastAsia"/>
          <w:sz w:val="32"/>
          <w:szCs w:val="32"/>
        </w:rPr>
        <w:t>盏得分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92</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区级双庙营房污水管道项目。预算金额</w:t>
      </w:r>
      <w:r>
        <w:rPr>
          <w:rFonts w:ascii="仿宋_GB2312" w:eastAsia="仿宋_GB2312" w:hAnsi="仿宋_GB2312" w:cs="仿宋_GB2312"/>
          <w:sz w:val="32"/>
          <w:szCs w:val="32"/>
        </w:rPr>
        <w:t>43</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21.6</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21.6</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50.23%</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分；数量、质量、时效、成本均全部完成预期指标值，铺设管道</w:t>
      </w:r>
      <w:r>
        <w:rPr>
          <w:rFonts w:ascii="仿宋_GB2312" w:eastAsia="仿宋_GB2312" w:hAnsi="仿宋_GB2312" w:cs="仿宋_GB2312"/>
          <w:sz w:val="32"/>
          <w:szCs w:val="32"/>
        </w:rPr>
        <w:t>1000</w:t>
      </w:r>
      <w:r>
        <w:rPr>
          <w:rFonts w:ascii="仿宋_GB2312" w:eastAsia="仿宋_GB2312" w:hAnsi="仿宋_GB2312" w:cs="仿宋_GB2312" w:hint="eastAsia"/>
          <w:sz w:val="32"/>
          <w:szCs w:val="32"/>
        </w:rPr>
        <w:t>米、验收合格率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、工程按时完工率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7000</w:t>
      </w:r>
      <w:r>
        <w:rPr>
          <w:rFonts w:ascii="仿宋_GB2312" w:eastAsia="仿宋_GB2312" w:hAnsi="仿宋_GB2312" w:cs="仿宋_GB2312" w:hint="eastAsia"/>
          <w:sz w:val="32"/>
          <w:szCs w:val="32"/>
        </w:rPr>
        <w:t>人，得分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年区级宇缘纸品公司拆迁补偿（南故城村灵堂搬迁）项目。预算金额</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分；数量、质量、时效、成本均全部完成预期指标值，验收合格率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、工程按时完工率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3500</w:t>
      </w:r>
      <w:r>
        <w:rPr>
          <w:rFonts w:ascii="仿宋_GB2312" w:eastAsia="仿宋_GB2312" w:hAnsi="仿宋_GB2312" w:cs="仿宋_GB2312" w:hint="eastAsia"/>
          <w:sz w:val="32"/>
          <w:szCs w:val="32"/>
        </w:rPr>
        <w:t>人，得分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85</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年区级鹿泉大河路照明工程项目。预算金额</w:t>
      </w:r>
      <w:r>
        <w:rPr>
          <w:rFonts w:ascii="仿宋_GB2312" w:eastAsia="仿宋_GB2312" w:hAnsi="仿宋_GB2312" w:cs="仿宋_GB2312"/>
          <w:sz w:val="32"/>
          <w:szCs w:val="32"/>
        </w:rPr>
        <w:t>15.748791</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分；数量、质量、时效、成本均全部完成预期指标值，安装路灯数量</w:t>
      </w:r>
      <w:r>
        <w:rPr>
          <w:rFonts w:ascii="仿宋_GB2312" w:eastAsia="仿宋_GB2312" w:hAnsi="仿宋_GB2312" w:cs="仿宋_GB2312"/>
          <w:sz w:val="32"/>
          <w:szCs w:val="32"/>
        </w:rPr>
        <w:t>271</w:t>
      </w:r>
      <w:r>
        <w:rPr>
          <w:rFonts w:ascii="仿宋_GB2312" w:eastAsia="仿宋_GB2312" w:hAnsi="仿宋_GB2312" w:cs="仿宋_GB2312" w:hint="eastAsia"/>
          <w:sz w:val="32"/>
          <w:szCs w:val="32"/>
        </w:rPr>
        <w:t>盏、验收合格率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、工程按时完工率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40000</w:t>
      </w:r>
      <w:r>
        <w:rPr>
          <w:rFonts w:ascii="仿宋_GB2312" w:eastAsia="仿宋_GB2312" w:hAnsi="仿宋_GB2312" w:cs="仿宋_GB2312" w:hint="eastAsia"/>
          <w:sz w:val="32"/>
          <w:szCs w:val="32"/>
        </w:rPr>
        <w:t>人，得分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90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年区级故城旧工业区拆迁评估费项目。预算金额</w:t>
      </w:r>
      <w:r>
        <w:rPr>
          <w:rFonts w:ascii="仿宋_GB2312" w:eastAsia="仿宋_GB2312" w:hAnsi="仿宋_GB2312" w:cs="仿宋_GB2312"/>
          <w:sz w:val="32"/>
          <w:szCs w:val="32"/>
        </w:rPr>
        <w:t>60</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，得</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分；数量、质量、时效、成本具体为回收土地数量</w:t>
      </w:r>
      <w:r>
        <w:rPr>
          <w:rFonts w:ascii="仿宋_GB2312" w:eastAsia="仿宋_GB2312" w:hAnsi="仿宋_GB2312" w:cs="仿宋_GB2312"/>
          <w:sz w:val="32"/>
          <w:szCs w:val="32"/>
        </w:rPr>
        <w:t>1500</w:t>
      </w:r>
      <w:r>
        <w:rPr>
          <w:rFonts w:ascii="仿宋_GB2312" w:eastAsia="仿宋_GB2312" w:hAnsi="仿宋_GB2312" w:cs="仿宋_GB2312" w:hint="eastAsia"/>
          <w:sz w:val="32"/>
          <w:szCs w:val="32"/>
        </w:rPr>
        <w:t>亩、拆除总数</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家、验收合格率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、工程按时完工率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、申请资金数量</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32</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35000</w:t>
      </w:r>
      <w:r>
        <w:rPr>
          <w:rFonts w:ascii="仿宋_GB2312" w:eastAsia="仿宋_GB2312" w:hAnsi="仿宋_GB2312" w:cs="仿宋_GB2312" w:hint="eastAsia"/>
          <w:sz w:val="32"/>
          <w:szCs w:val="32"/>
        </w:rPr>
        <w:t>人，得分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82</w:t>
      </w:r>
      <w:r>
        <w:rPr>
          <w:rFonts w:ascii="仿宋_GB2312" w:eastAsia="仿宋_GB2312" w:hAnsi="仿宋_GB2312" w:cs="仿宋_GB2312" w:hint="eastAsia"/>
          <w:sz w:val="32"/>
          <w:szCs w:val="32"/>
        </w:rPr>
        <w:t>分，为良好。</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大河物流周边整治提升项目。预算金额</w:t>
      </w:r>
      <w:r>
        <w:rPr>
          <w:rFonts w:ascii="仿宋_GB2312" w:eastAsia="仿宋_GB2312" w:hAnsi="仿宋_GB2312" w:cs="仿宋_GB2312"/>
          <w:sz w:val="32"/>
          <w:szCs w:val="32"/>
        </w:rPr>
        <w:t>240</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240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240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分；数量、质量、时效、成本均全部完成预期指标值，项目提升覆盖面积</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亩、项目提升工程合格率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、项目提升完成及时率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、项目提升所需成本</w:t>
      </w:r>
      <w:r>
        <w:rPr>
          <w:rFonts w:ascii="仿宋_GB2312" w:eastAsia="仿宋_GB2312" w:hAnsi="仿宋_GB2312" w:cs="仿宋_GB2312"/>
          <w:sz w:val="32"/>
          <w:szCs w:val="32"/>
        </w:rPr>
        <w:t>240</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8000</w:t>
      </w:r>
      <w:r>
        <w:rPr>
          <w:rFonts w:ascii="仿宋_GB2312" w:eastAsia="仿宋_GB2312" w:hAnsi="仿宋_GB2312" w:cs="仿宋_GB2312" w:hint="eastAsia"/>
          <w:sz w:val="32"/>
          <w:szCs w:val="32"/>
        </w:rPr>
        <w:t>人，得分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hint="eastAsia"/>
          <w:sz w:val="32"/>
          <w:szCs w:val="32"/>
        </w:rPr>
        <w:t>公共文化设施免费开放（乡镇文化站）项目。预算金额</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分；数量、质量、时效、成本均全部完成预期指标值，开展群众文化活动次数</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次、群众文化活动参与率</w:t>
      </w:r>
      <w:r>
        <w:rPr>
          <w:rFonts w:ascii="仿宋_GB2312" w:eastAsia="仿宋_GB2312" w:hAnsi="仿宋_GB2312" w:cs="仿宋_GB2312"/>
          <w:sz w:val="32"/>
          <w:szCs w:val="32"/>
        </w:rPr>
        <w:t>90%</w:t>
      </w:r>
      <w:r>
        <w:rPr>
          <w:rFonts w:ascii="仿宋_GB2312" w:eastAsia="仿宋_GB2312" w:hAnsi="仿宋_GB2312" w:cs="仿宋_GB2312" w:hint="eastAsia"/>
          <w:sz w:val="32"/>
          <w:szCs w:val="32"/>
        </w:rPr>
        <w:t>、文化活动按期完成率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、购置图书杂志成本</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万元、开展群众文化活动成本，得分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镇级幼儿教师及代课教师劳务费支出项目。预算金额</w:t>
      </w:r>
      <w:r>
        <w:rPr>
          <w:rFonts w:ascii="仿宋_GB2312" w:eastAsia="仿宋_GB2312" w:hAnsi="仿宋_GB2312" w:cs="仿宋_GB2312"/>
          <w:sz w:val="32"/>
          <w:szCs w:val="32"/>
        </w:rPr>
        <w:t>229</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229</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229</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分；数量、质量、时效、成本均全部完成预期指标值，幼儿教师数量</w:t>
      </w:r>
      <w:r>
        <w:rPr>
          <w:rFonts w:ascii="仿宋_GB2312" w:eastAsia="仿宋_GB2312" w:hAnsi="仿宋_GB2312" w:cs="仿宋_GB2312"/>
          <w:sz w:val="32"/>
          <w:szCs w:val="32"/>
        </w:rPr>
        <w:t>26</w:t>
      </w:r>
      <w:r>
        <w:rPr>
          <w:rFonts w:ascii="仿宋_GB2312" w:eastAsia="仿宋_GB2312" w:hAnsi="仿宋_GB2312" w:cs="仿宋_GB2312" w:hint="eastAsia"/>
          <w:sz w:val="32"/>
          <w:szCs w:val="32"/>
        </w:rPr>
        <w:t>人、临时代课教师数量</w:t>
      </w:r>
      <w:r>
        <w:rPr>
          <w:rFonts w:ascii="仿宋_GB2312" w:eastAsia="仿宋_GB2312" w:hAnsi="仿宋_GB2312" w:cs="仿宋_GB2312"/>
          <w:sz w:val="32"/>
          <w:szCs w:val="32"/>
        </w:rPr>
        <w:t>72</w:t>
      </w:r>
      <w:r>
        <w:rPr>
          <w:rFonts w:ascii="仿宋_GB2312" w:eastAsia="仿宋_GB2312" w:hAnsi="仿宋_GB2312" w:cs="仿宋_GB2312" w:hint="eastAsia"/>
          <w:sz w:val="32"/>
          <w:szCs w:val="32"/>
        </w:rPr>
        <w:t>人、补助发放精准性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、补助发放及时性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、幼儿教师补助标准</w:t>
      </w:r>
      <w:r>
        <w:rPr>
          <w:rFonts w:ascii="仿宋_GB2312" w:eastAsia="仿宋_GB2312" w:hAnsi="仿宋_GB2312" w:cs="仿宋_GB2312"/>
          <w:sz w:val="32"/>
          <w:szCs w:val="32"/>
        </w:rPr>
        <w:t>1960</w:t>
      </w:r>
      <w:r>
        <w:rPr>
          <w:rFonts w:ascii="仿宋_GB2312" w:eastAsia="仿宋_GB2312" w:hAnsi="仿宋_GB2312" w:cs="仿宋_GB2312" w:hint="eastAsia"/>
          <w:sz w:val="32"/>
          <w:szCs w:val="32"/>
        </w:rPr>
        <w:t>元、临时代课教师补助标准</w:t>
      </w:r>
      <w:r>
        <w:rPr>
          <w:rFonts w:ascii="仿宋_GB2312" w:eastAsia="仿宋_GB2312" w:hAnsi="仿宋_GB2312" w:cs="仿宋_GB2312"/>
          <w:sz w:val="32"/>
          <w:szCs w:val="32"/>
        </w:rPr>
        <w:t>1950</w:t>
      </w:r>
      <w:r>
        <w:rPr>
          <w:rFonts w:ascii="仿宋_GB2312" w:eastAsia="仿宋_GB2312" w:hAnsi="仿宋_GB2312" w:cs="仿宋_GB2312" w:hint="eastAsia"/>
          <w:sz w:val="32"/>
          <w:szCs w:val="32"/>
        </w:rPr>
        <w:t>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年镇级幼儿教师及代课教师补发劳务费项目。预算金额</w:t>
      </w:r>
      <w:r>
        <w:rPr>
          <w:rFonts w:ascii="仿宋_GB2312" w:eastAsia="仿宋_GB2312" w:hAnsi="仿宋_GB2312" w:cs="仿宋_GB2312"/>
          <w:sz w:val="32"/>
          <w:szCs w:val="32"/>
        </w:rPr>
        <w:t>33</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32.910696</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32.910696</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99.73%</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分；数量、质量、时效、成本均全部完成预期指标值，幼儿教师数量</w:t>
      </w:r>
      <w:r>
        <w:rPr>
          <w:rFonts w:ascii="仿宋_GB2312" w:eastAsia="仿宋_GB2312" w:hAnsi="仿宋_GB2312" w:cs="仿宋_GB2312"/>
          <w:sz w:val="32"/>
          <w:szCs w:val="32"/>
        </w:rPr>
        <w:t>26</w:t>
      </w:r>
      <w:r>
        <w:rPr>
          <w:rFonts w:ascii="仿宋_GB2312" w:eastAsia="仿宋_GB2312" w:hAnsi="仿宋_GB2312" w:cs="仿宋_GB2312" w:hint="eastAsia"/>
          <w:sz w:val="32"/>
          <w:szCs w:val="32"/>
        </w:rPr>
        <w:t>人、临时代课教师数量</w:t>
      </w:r>
      <w:r>
        <w:rPr>
          <w:rFonts w:ascii="仿宋_GB2312" w:eastAsia="仿宋_GB2312" w:hAnsi="仿宋_GB2312" w:cs="仿宋_GB2312"/>
          <w:sz w:val="32"/>
          <w:szCs w:val="32"/>
        </w:rPr>
        <w:t>72</w:t>
      </w:r>
      <w:r>
        <w:rPr>
          <w:rFonts w:ascii="仿宋_GB2312" w:eastAsia="仿宋_GB2312" w:hAnsi="仿宋_GB2312" w:cs="仿宋_GB2312" w:hint="eastAsia"/>
          <w:sz w:val="32"/>
          <w:szCs w:val="32"/>
        </w:rPr>
        <w:t>人、补助发放精准性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、补助发放及时性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、幼儿教师补助标准</w:t>
      </w:r>
      <w:r>
        <w:rPr>
          <w:rFonts w:ascii="仿宋_GB2312" w:eastAsia="仿宋_GB2312" w:hAnsi="仿宋_GB2312" w:cs="仿宋_GB2312"/>
          <w:sz w:val="32"/>
          <w:szCs w:val="32"/>
        </w:rPr>
        <w:t>300</w:t>
      </w:r>
      <w:r>
        <w:rPr>
          <w:rFonts w:ascii="仿宋_GB2312" w:eastAsia="仿宋_GB2312" w:hAnsi="仿宋_GB2312" w:cs="仿宋_GB2312" w:hint="eastAsia"/>
          <w:sz w:val="32"/>
          <w:szCs w:val="32"/>
        </w:rPr>
        <w:t>元、临时代课教师补助标准</w:t>
      </w:r>
      <w:r>
        <w:rPr>
          <w:rFonts w:ascii="仿宋_GB2312" w:eastAsia="仿宋_GB2312" w:hAnsi="仿宋_GB2312" w:cs="仿宋_GB2312"/>
          <w:sz w:val="32"/>
          <w:szCs w:val="32"/>
        </w:rPr>
        <w:t>300</w:t>
      </w:r>
      <w:r>
        <w:rPr>
          <w:rFonts w:ascii="仿宋_GB2312" w:eastAsia="仿宋_GB2312" w:hAnsi="仿宋_GB2312" w:cs="仿宋_GB2312" w:hint="eastAsia"/>
          <w:sz w:val="32"/>
          <w:szCs w:val="32"/>
        </w:rPr>
        <w:t>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镇级应急管理事务支出项目。预算金额</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分；数量、质量、时效、成本均全部完成预期指标值，应急灭火水桶</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个、购买铁锹</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把、购买消防服装数量</w:t>
      </w:r>
      <w:r>
        <w:rPr>
          <w:rFonts w:ascii="仿宋_GB2312" w:eastAsia="仿宋_GB2312" w:hAnsi="仿宋_GB2312" w:cs="仿宋_GB2312"/>
          <w:sz w:val="32"/>
          <w:szCs w:val="32"/>
        </w:rPr>
        <w:t>200</w:t>
      </w:r>
      <w:r>
        <w:rPr>
          <w:rFonts w:ascii="仿宋_GB2312" w:eastAsia="仿宋_GB2312" w:hAnsi="仿宋_GB2312" w:cs="仿宋_GB2312" w:hint="eastAsia"/>
          <w:sz w:val="32"/>
          <w:szCs w:val="32"/>
        </w:rPr>
        <w:t>套、购买灭火器数量</w:t>
      </w:r>
      <w:r>
        <w:rPr>
          <w:rFonts w:ascii="仿宋_GB2312" w:eastAsia="仿宋_GB2312" w:hAnsi="仿宋_GB2312" w:cs="仿宋_GB2312"/>
          <w:sz w:val="32"/>
          <w:szCs w:val="32"/>
        </w:rPr>
        <w:t>400</w:t>
      </w:r>
      <w:r>
        <w:rPr>
          <w:rFonts w:ascii="仿宋_GB2312" w:eastAsia="仿宋_GB2312" w:hAnsi="仿宋_GB2312" w:cs="仿宋_GB2312" w:hint="eastAsia"/>
          <w:sz w:val="32"/>
          <w:szCs w:val="32"/>
        </w:rPr>
        <w:t>个、防火宣传页</w:t>
      </w:r>
      <w:r>
        <w:rPr>
          <w:rFonts w:ascii="仿宋_GB2312" w:eastAsia="仿宋_GB2312" w:hAnsi="仿宋_GB2312" w:cs="仿宋_GB2312"/>
          <w:sz w:val="32"/>
          <w:szCs w:val="32"/>
        </w:rPr>
        <w:t>30000</w:t>
      </w:r>
      <w:r>
        <w:rPr>
          <w:rFonts w:ascii="仿宋_GB2312" w:eastAsia="仿宋_GB2312" w:hAnsi="仿宋_GB2312" w:cs="仿宋_GB2312" w:hint="eastAsia"/>
          <w:sz w:val="32"/>
          <w:szCs w:val="32"/>
        </w:rPr>
        <w:t>张、补助发放村个数</w:t>
      </w:r>
      <w:r>
        <w:rPr>
          <w:rFonts w:ascii="仿宋_GB2312" w:eastAsia="仿宋_GB2312" w:hAnsi="仿宋_GB2312" w:cs="仿宋_GB2312"/>
          <w:sz w:val="32"/>
          <w:szCs w:val="32"/>
        </w:rPr>
        <w:t>26</w:t>
      </w:r>
      <w:r>
        <w:rPr>
          <w:rFonts w:ascii="仿宋_GB2312" w:eastAsia="仿宋_GB2312" w:hAnsi="仿宋_GB2312" w:cs="仿宋_GB2312" w:hint="eastAsia"/>
          <w:sz w:val="32"/>
          <w:szCs w:val="32"/>
        </w:rPr>
        <w:t>个、消防防火知识宣传覆盖率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镇级卫生及计划生育事物支出。预算金额</w:t>
      </w:r>
      <w:r>
        <w:rPr>
          <w:rFonts w:ascii="仿宋_GB2312" w:eastAsia="仿宋_GB2312" w:hAnsi="仿宋_GB2312" w:cs="仿宋_GB2312"/>
          <w:sz w:val="32"/>
          <w:szCs w:val="32"/>
        </w:rPr>
        <w:t>44</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44</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44</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分；数量、质量、时效、成本均全部完成预期指标值，购买测温枪</w:t>
      </w:r>
      <w:r>
        <w:rPr>
          <w:rFonts w:ascii="仿宋_GB2312" w:eastAsia="仿宋_GB2312" w:hAnsi="仿宋_GB2312" w:cs="仿宋_GB2312"/>
          <w:sz w:val="32"/>
          <w:szCs w:val="32"/>
        </w:rPr>
        <w:t>150</w:t>
      </w:r>
      <w:r>
        <w:rPr>
          <w:rFonts w:ascii="仿宋_GB2312" w:eastAsia="仿宋_GB2312" w:hAnsi="仿宋_GB2312" w:cs="仿宋_GB2312" w:hint="eastAsia"/>
          <w:sz w:val="32"/>
          <w:szCs w:val="32"/>
        </w:rPr>
        <w:t>个、购买消毒液</w:t>
      </w:r>
      <w:r>
        <w:rPr>
          <w:rFonts w:ascii="仿宋_GB2312" w:eastAsia="仿宋_GB2312" w:hAnsi="仿宋_GB2312" w:cs="仿宋_GB2312"/>
          <w:sz w:val="32"/>
          <w:szCs w:val="32"/>
        </w:rPr>
        <w:t>300</w:t>
      </w:r>
      <w:r>
        <w:rPr>
          <w:rFonts w:ascii="仿宋_GB2312" w:eastAsia="仿宋_GB2312" w:hAnsi="仿宋_GB2312" w:cs="仿宋_GB2312" w:hint="eastAsia"/>
          <w:sz w:val="32"/>
          <w:szCs w:val="32"/>
        </w:rPr>
        <w:t>桶、购买口罩</w:t>
      </w:r>
      <w:r>
        <w:rPr>
          <w:rFonts w:ascii="仿宋_GB2312" w:eastAsia="仿宋_GB2312" w:hAnsi="仿宋_GB2312" w:cs="仿宋_GB2312"/>
          <w:sz w:val="32"/>
          <w:szCs w:val="32"/>
        </w:rPr>
        <w:t>50000</w:t>
      </w:r>
      <w:r>
        <w:rPr>
          <w:rFonts w:ascii="仿宋_GB2312" w:eastAsia="仿宋_GB2312" w:hAnsi="仿宋_GB2312" w:cs="仿宋_GB2312" w:hint="eastAsia"/>
          <w:sz w:val="32"/>
          <w:szCs w:val="32"/>
        </w:rPr>
        <w:t>个、独生子女</w:t>
      </w:r>
      <w:r>
        <w:rPr>
          <w:rFonts w:ascii="仿宋_GB2312" w:eastAsia="仿宋_GB2312" w:hAnsi="仿宋_GB2312" w:cs="仿宋_GB2312"/>
          <w:sz w:val="32"/>
          <w:szCs w:val="32"/>
        </w:rPr>
        <w:t>937</w:t>
      </w:r>
      <w:r>
        <w:rPr>
          <w:rFonts w:ascii="仿宋_GB2312" w:eastAsia="仿宋_GB2312" w:hAnsi="仿宋_GB2312" w:cs="仿宋_GB2312" w:hint="eastAsia"/>
          <w:sz w:val="32"/>
          <w:szCs w:val="32"/>
        </w:rPr>
        <w:t>人、失独家庭</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家、失独家庭慰问补助</w:t>
      </w:r>
      <w:r>
        <w:rPr>
          <w:rFonts w:ascii="仿宋_GB2312" w:eastAsia="仿宋_GB2312" w:hAnsi="仿宋_GB2312" w:cs="仿宋_GB2312"/>
          <w:sz w:val="32"/>
          <w:szCs w:val="32"/>
        </w:rPr>
        <w:t>2000</w:t>
      </w:r>
      <w:r>
        <w:rPr>
          <w:rFonts w:ascii="仿宋_GB2312" w:eastAsia="仿宋_GB2312" w:hAnsi="仿宋_GB2312" w:cs="仿宋_GB2312" w:hint="eastAsia"/>
          <w:sz w:val="32"/>
          <w:szCs w:val="32"/>
        </w:rPr>
        <w:t>元、农村独生子女补助</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万元、补助发放及时率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镇级社会保障农村救济支出项目。预算金额</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41.762</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41.762</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84%</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分；数量、质量、时效、成本均全部完成预期指标值，困难家庭</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户、低保人员</w:t>
      </w:r>
      <w:r>
        <w:rPr>
          <w:rFonts w:ascii="仿宋_GB2312" w:eastAsia="仿宋_GB2312" w:hAnsi="仿宋_GB2312" w:cs="仿宋_GB2312"/>
          <w:sz w:val="32"/>
          <w:szCs w:val="32"/>
        </w:rPr>
        <w:t>310</w:t>
      </w:r>
      <w:r>
        <w:rPr>
          <w:rFonts w:ascii="仿宋_GB2312" w:eastAsia="仿宋_GB2312" w:hAnsi="仿宋_GB2312" w:cs="仿宋_GB2312" w:hint="eastAsia"/>
          <w:sz w:val="32"/>
          <w:szCs w:val="32"/>
        </w:rPr>
        <w:t>人、五保户人数</w:t>
      </w:r>
      <w:r>
        <w:rPr>
          <w:rFonts w:ascii="仿宋_GB2312" w:eastAsia="仿宋_GB2312" w:hAnsi="仿宋_GB2312" w:cs="仿宋_GB2312"/>
          <w:sz w:val="32"/>
          <w:szCs w:val="32"/>
        </w:rPr>
        <w:t>23</w:t>
      </w:r>
      <w:r>
        <w:rPr>
          <w:rFonts w:ascii="仿宋_GB2312" w:eastAsia="仿宋_GB2312" w:hAnsi="仿宋_GB2312" w:cs="仿宋_GB2312" w:hint="eastAsia"/>
          <w:sz w:val="32"/>
          <w:szCs w:val="32"/>
        </w:rPr>
        <w:t>人、补助发放精准率和覆盖率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镇级群众文化宣传资料及条幅、展牌等支出项目。预算金额</w:t>
      </w:r>
      <w:r>
        <w:rPr>
          <w:rFonts w:ascii="仿宋_GB2312" w:eastAsia="仿宋_GB2312" w:hAnsi="仿宋_GB2312" w:cs="仿宋_GB2312"/>
          <w:sz w:val="32"/>
          <w:szCs w:val="32"/>
        </w:rPr>
        <w:t>38.5</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38.5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38.5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分；数量、质量、时效、成本均全部完成预期指标值，宣传到位村</w:t>
      </w:r>
      <w:r>
        <w:rPr>
          <w:rFonts w:ascii="仿宋_GB2312" w:eastAsia="仿宋_GB2312" w:hAnsi="仿宋_GB2312" w:cs="仿宋_GB2312"/>
          <w:sz w:val="32"/>
          <w:szCs w:val="32"/>
        </w:rPr>
        <w:t>26</w:t>
      </w:r>
      <w:r>
        <w:rPr>
          <w:rFonts w:ascii="仿宋_GB2312" w:eastAsia="仿宋_GB2312" w:hAnsi="仿宋_GB2312" w:cs="仿宋_GB2312" w:hint="eastAsia"/>
          <w:sz w:val="32"/>
          <w:szCs w:val="32"/>
        </w:rPr>
        <w:t>个、制作展牌数量</w:t>
      </w:r>
      <w:r>
        <w:rPr>
          <w:rFonts w:ascii="仿宋_GB2312" w:eastAsia="仿宋_GB2312" w:hAnsi="仿宋_GB2312" w:cs="仿宋_GB2312"/>
          <w:sz w:val="32"/>
          <w:szCs w:val="32"/>
        </w:rPr>
        <w:t>300</w:t>
      </w:r>
      <w:r>
        <w:rPr>
          <w:rFonts w:ascii="仿宋_GB2312" w:eastAsia="仿宋_GB2312" w:hAnsi="仿宋_GB2312" w:cs="仿宋_GB2312" w:hint="eastAsia"/>
          <w:sz w:val="32"/>
          <w:szCs w:val="32"/>
        </w:rPr>
        <w:t>个、制作宣传画册数量</w:t>
      </w:r>
      <w:r>
        <w:rPr>
          <w:rFonts w:ascii="仿宋_GB2312" w:eastAsia="仿宋_GB2312" w:hAnsi="仿宋_GB2312" w:cs="仿宋_GB2312"/>
          <w:sz w:val="32"/>
          <w:szCs w:val="32"/>
        </w:rPr>
        <w:t>2000</w:t>
      </w:r>
      <w:r>
        <w:rPr>
          <w:rFonts w:ascii="仿宋_GB2312" w:eastAsia="仿宋_GB2312" w:hAnsi="仿宋_GB2312" w:cs="仿宋_GB2312" w:hint="eastAsia"/>
          <w:sz w:val="32"/>
          <w:szCs w:val="32"/>
        </w:rPr>
        <w:t>册、制作明白纸数量</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万张、宣传工作完成率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、宣传到位及时性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镇级绿化、防汛等事务支出项目。预算金额</w:t>
      </w:r>
      <w:r>
        <w:rPr>
          <w:rFonts w:ascii="仿宋_GB2312" w:eastAsia="仿宋_GB2312" w:hAnsi="仿宋_GB2312" w:cs="仿宋_GB2312"/>
          <w:sz w:val="32"/>
          <w:szCs w:val="32"/>
        </w:rPr>
        <w:t>20.11</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20.11</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20.11</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分；数量、质量、时效、成本均全部完成预期指标值，每村每天防火巡逻人员数量</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人、植树造林数量</w:t>
      </w:r>
      <w:r>
        <w:rPr>
          <w:rFonts w:ascii="仿宋_GB2312" w:eastAsia="仿宋_GB2312" w:hAnsi="仿宋_GB2312" w:cs="仿宋_GB2312"/>
          <w:sz w:val="32"/>
          <w:szCs w:val="32"/>
        </w:rPr>
        <w:t>2000</w:t>
      </w:r>
      <w:r>
        <w:rPr>
          <w:rFonts w:ascii="仿宋_GB2312" w:eastAsia="仿宋_GB2312" w:hAnsi="仿宋_GB2312" w:cs="仿宋_GB2312" w:hint="eastAsia"/>
          <w:sz w:val="32"/>
          <w:szCs w:val="32"/>
        </w:rPr>
        <w:t>棵、购置防汛物资数量</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套、美国白蛾防治树木数量</w:t>
      </w:r>
      <w:r>
        <w:rPr>
          <w:rFonts w:ascii="仿宋_GB2312" w:eastAsia="仿宋_GB2312" w:hAnsi="仿宋_GB2312" w:cs="仿宋_GB2312"/>
          <w:sz w:val="32"/>
          <w:szCs w:val="32"/>
        </w:rPr>
        <w:t>20</w:t>
      </w:r>
      <w:r>
        <w:rPr>
          <w:rFonts w:ascii="仿宋_GB2312" w:eastAsia="仿宋_GB2312" w:hAnsi="仿宋_GB2312" w:cs="仿宋_GB2312" w:hint="eastAsia"/>
          <w:sz w:val="32"/>
          <w:szCs w:val="32"/>
        </w:rPr>
        <w:t>万棵、辖区内防火耕地面积总数</w:t>
      </w:r>
      <w:r>
        <w:rPr>
          <w:rFonts w:ascii="仿宋_GB2312" w:eastAsia="仿宋_GB2312" w:hAnsi="仿宋_GB2312" w:cs="仿宋_GB2312"/>
          <w:sz w:val="32"/>
          <w:szCs w:val="32"/>
        </w:rPr>
        <w:t>4.8</w:t>
      </w:r>
      <w:r>
        <w:rPr>
          <w:rFonts w:ascii="仿宋_GB2312" w:eastAsia="仿宋_GB2312" w:hAnsi="仿宋_GB2312" w:cs="仿宋_GB2312" w:hint="eastAsia"/>
          <w:sz w:val="32"/>
          <w:szCs w:val="32"/>
        </w:rPr>
        <w:t>万亩、全年防火巡查覆盖率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、项目按时完工率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、防火巡逻人员补贴成本</w:t>
      </w:r>
      <w:r>
        <w:rPr>
          <w:rFonts w:ascii="仿宋_GB2312" w:eastAsia="仿宋_GB2312" w:hAnsi="仿宋_GB2312" w:cs="仿宋_GB2312"/>
          <w:sz w:val="32"/>
          <w:szCs w:val="32"/>
        </w:rPr>
        <w:t>30</w:t>
      </w:r>
      <w:r>
        <w:rPr>
          <w:rFonts w:ascii="仿宋_GB2312" w:eastAsia="仿宋_GB2312" w:hAnsi="仿宋_GB2312" w:cs="仿宋_GB2312" w:hint="eastAsia"/>
          <w:sz w:val="32"/>
          <w:szCs w:val="32"/>
        </w:rPr>
        <w:t>元、项目总支出</w:t>
      </w:r>
      <w:r>
        <w:rPr>
          <w:rFonts w:ascii="仿宋_GB2312" w:eastAsia="仿宋_GB2312" w:hAnsi="仿宋_GB2312" w:cs="仿宋_GB2312"/>
          <w:sz w:val="32"/>
          <w:szCs w:val="32"/>
        </w:rPr>
        <w:t>20.11</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分；效益指标、满意度指标达到预期指标值，受益人口数</w:t>
      </w:r>
      <w:r>
        <w:rPr>
          <w:rFonts w:ascii="仿宋_GB2312" w:eastAsia="仿宋_GB2312" w:hAnsi="仿宋_GB2312" w:cs="仿宋_GB2312"/>
          <w:sz w:val="32"/>
          <w:szCs w:val="32"/>
        </w:rPr>
        <w:t>45000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镇级节能环保大气污染防治支出项目。预算金额</w:t>
      </w:r>
      <w:r>
        <w:rPr>
          <w:rFonts w:ascii="仿宋_GB2312" w:eastAsia="仿宋_GB2312" w:hAnsi="仿宋_GB2312" w:cs="仿宋_GB2312"/>
          <w:sz w:val="32"/>
          <w:szCs w:val="32"/>
        </w:rPr>
        <w:t>20</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分，受益人口数</w:t>
      </w:r>
      <w:r>
        <w:rPr>
          <w:rFonts w:ascii="仿宋_GB2312" w:eastAsia="仿宋_GB2312" w:hAnsi="仿宋_GB2312" w:cs="仿宋_GB2312"/>
          <w:sz w:val="32"/>
          <w:szCs w:val="32"/>
        </w:rPr>
        <w:t>45000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镇级机关运转经费项目。预算金额</w:t>
      </w:r>
      <w:r>
        <w:rPr>
          <w:rFonts w:ascii="仿宋_GB2312" w:eastAsia="仿宋_GB2312" w:hAnsi="仿宋_GB2312" w:cs="仿宋_GB2312"/>
          <w:sz w:val="32"/>
          <w:szCs w:val="32"/>
        </w:rPr>
        <w:t>573</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543.121027</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543.121027</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94.79%</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分；数量、质量、时效、成本均全部完成预期指标值，保障办公人数</w:t>
      </w:r>
      <w:r>
        <w:rPr>
          <w:rFonts w:ascii="仿宋_GB2312" w:eastAsia="仿宋_GB2312" w:hAnsi="仿宋_GB2312" w:cs="仿宋_GB2312"/>
          <w:sz w:val="32"/>
          <w:szCs w:val="32"/>
        </w:rPr>
        <w:t>160</w:t>
      </w:r>
      <w:r>
        <w:rPr>
          <w:rFonts w:ascii="仿宋_GB2312" w:eastAsia="仿宋_GB2312" w:hAnsi="仿宋_GB2312" w:cs="仿宋_GB2312" w:hint="eastAsia"/>
          <w:sz w:val="32"/>
          <w:szCs w:val="32"/>
        </w:rPr>
        <w:t>人、运转保障率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、经费保障及时性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、委托业务费支出成本</w:t>
      </w:r>
      <w:r>
        <w:rPr>
          <w:rFonts w:ascii="仿宋_GB2312" w:eastAsia="仿宋_GB2312" w:hAnsi="仿宋_GB2312" w:cs="仿宋_GB2312"/>
          <w:sz w:val="32"/>
          <w:szCs w:val="32"/>
        </w:rPr>
        <w:t>126</w:t>
      </w:r>
      <w:r>
        <w:rPr>
          <w:rFonts w:ascii="仿宋_GB2312" w:eastAsia="仿宋_GB2312" w:hAnsi="仿宋_GB2312" w:cs="仿宋_GB2312" w:hint="eastAsia"/>
          <w:sz w:val="32"/>
          <w:szCs w:val="32"/>
        </w:rPr>
        <w:t>万元、劳务费支出成本</w:t>
      </w:r>
      <w:r>
        <w:rPr>
          <w:rFonts w:ascii="仿宋_GB2312" w:eastAsia="仿宋_GB2312" w:hAnsi="仿宋_GB2312" w:cs="仿宋_GB2312"/>
          <w:sz w:val="32"/>
          <w:szCs w:val="32"/>
        </w:rPr>
        <w:t>282</w:t>
      </w:r>
      <w:r>
        <w:rPr>
          <w:rFonts w:ascii="仿宋_GB2312" w:eastAsia="仿宋_GB2312" w:hAnsi="仿宋_GB2312" w:cs="仿宋_GB2312" w:hint="eastAsia"/>
          <w:sz w:val="32"/>
          <w:szCs w:val="32"/>
        </w:rPr>
        <w:t>万元、电费支出成本</w:t>
      </w:r>
      <w:r>
        <w:rPr>
          <w:rFonts w:ascii="仿宋_GB2312" w:eastAsia="仿宋_GB2312" w:hAnsi="仿宋_GB2312" w:cs="仿宋_GB2312"/>
          <w:sz w:val="32"/>
          <w:szCs w:val="32"/>
        </w:rPr>
        <w:tab/>
        <w:t>20</w:t>
      </w:r>
      <w:r>
        <w:rPr>
          <w:rFonts w:ascii="仿宋_GB2312" w:eastAsia="仿宋_GB2312" w:hAnsi="仿宋_GB2312" w:cs="仿宋_GB2312" w:hint="eastAsia"/>
          <w:sz w:val="32"/>
          <w:szCs w:val="32"/>
        </w:rPr>
        <w:t>万元、物业费支出成本</w:t>
      </w:r>
      <w:r>
        <w:rPr>
          <w:rFonts w:ascii="仿宋_GB2312" w:eastAsia="仿宋_GB2312" w:hAnsi="仿宋_GB2312" w:cs="仿宋_GB2312"/>
          <w:sz w:val="32"/>
          <w:szCs w:val="32"/>
        </w:rPr>
        <w:t>15</w:t>
      </w:r>
      <w:r>
        <w:rPr>
          <w:rFonts w:ascii="仿宋_GB2312" w:eastAsia="仿宋_GB2312" w:hAnsi="仿宋_GB2312" w:cs="仿宋_GB2312" w:hint="eastAsia"/>
          <w:sz w:val="32"/>
          <w:szCs w:val="32"/>
        </w:rPr>
        <w:t>万元、维修费支出成本</w:t>
      </w:r>
      <w:r>
        <w:rPr>
          <w:rFonts w:ascii="仿宋_GB2312" w:eastAsia="仿宋_GB2312" w:hAnsi="仿宋_GB2312" w:cs="仿宋_GB2312"/>
          <w:sz w:val="32"/>
          <w:szCs w:val="32"/>
        </w:rPr>
        <w:t>55</w:t>
      </w:r>
      <w:r>
        <w:rPr>
          <w:rFonts w:ascii="仿宋_GB2312" w:eastAsia="仿宋_GB2312" w:hAnsi="仿宋_GB2312" w:cs="仿宋_GB2312" w:hint="eastAsia"/>
          <w:sz w:val="32"/>
          <w:szCs w:val="32"/>
        </w:rPr>
        <w:t>万元、差旅费支出成本</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ab/>
      </w:r>
      <w:r>
        <w:rPr>
          <w:rFonts w:ascii="仿宋_GB2312" w:eastAsia="仿宋_GB2312" w:hAnsi="仿宋_GB2312" w:cs="仿宋_GB2312" w:hint="eastAsia"/>
          <w:sz w:val="32"/>
          <w:szCs w:val="32"/>
        </w:rPr>
        <w:t>、办公设备购置支出成本</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分，受益人口数</w:t>
      </w:r>
      <w:r>
        <w:rPr>
          <w:rFonts w:ascii="仿宋_GB2312" w:eastAsia="仿宋_GB2312" w:hAnsi="仿宋_GB2312" w:cs="仿宋_GB2312"/>
          <w:sz w:val="32"/>
          <w:szCs w:val="32"/>
        </w:rPr>
        <w:t>45000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镇级各村村级补助支出项目。预算金额</w:t>
      </w:r>
      <w:r>
        <w:rPr>
          <w:rFonts w:ascii="仿宋_GB2312" w:eastAsia="仿宋_GB2312" w:hAnsi="仿宋_GB2312" w:cs="仿宋_GB2312"/>
          <w:sz w:val="32"/>
          <w:szCs w:val="32"/>
        </w:rPr>
        <w:t>200</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200</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200</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分；数量、质量、时效、成本均全部完成预期指标值，美丽乡村发放资金成本</w:t>
      </w:r>
      <w:r>
        <w:rPr>
          <w:rFonts w:ascii="仿宋_GB2312" w:eastAsia="仿宋_GB2312" w:hAnsi="仿宋_GB2312" w:cs="仿宋_GB2312"/>
          <w:sz w:val="32"/>
          <w:szCs w:val="32"/>
        </w:rPr>
        <w:t>30</w:t>
      </w:r>
      <w:r>
        <w:rPr>
          <w:rFonts w:ascii="仿宋_GB2312" w:eastAsia="仿宋_GB2312" w:hAnsi="仿宋_GB2312" w:cs="仿宋_GB2312" w:hint="eastAsia"/>
          <w:sz w:val="32"/>
          <w:szCs w:val="32"/>
        </w:rPr>
        <w:t>万元、美丽乡村建设数量</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个、清运垃圾数量</w:t>
      </w:r>
      <w:r>
        <w:rPr>
          <w:rFonts w:ascii="仿宋_GB2312" w:eastAsia="仿宋_GB2312" w:hAnsi="仿宋_GB2312" w:cs="仿宋_GB2312"/>
          <w:sz w:val="32"/>
          <w:szCs w:val="32"/>
        </w:rPr>
        <w:t>3000</w:t>
      </w:r>
      <w:r>
        <w:rPr>
          <w:rFonts w:ascii="仿宋_GB2312" w:eastAsia="仿宋_GB2312" w:hAnsi="仿宋_GB2312" w:cs="仿宋_GB2312" w:hint="eastAsia"/>
          <w:sz w:val="32"/>
          <w:szCs w:val="32"/>
        </w:rPr>
        <w:t>立方米、购买垃圾桶数量</w:t>
      </w:r>
      <w:r>
        <w:rPr>
          <w:rFonts w:ascii="仿宋_GB2312" w:eastAsia="仿宋_GB2312" w:hAnsi="仿宋_GB2312" w:cs="仿宋_GB2312"/>
          <w:sz w:val="32"/>
          <w:szCs w:val="32"/>
        </w:rPr>
        <w:t>500</w:t>
      </w:r>
      <w:r>
        <w:rPr>
          <w:rFonts w:ascii="仿宋_GB2312" w:eastAsia="仿宋_GB2312" w:hAnsi="仿宋_GB2312" w:cs="仿宋_GB2312" w:hint="eastAsia"/>
          <w:sz w:val="32"/>
          <w:szCs w:val="32"/>
        </w:rPr>
        <w:t>个、修补村内破损道路数量</w:t>
      </w:r>
      <w:r>
        <w:rPr>
          <w:rFonts w:ascii="仿宋_GB2312" w:eastAsia="仿宋_GB2312" w:hAnsi="仿宋_GB2312" w:cs="仿宋_GB2312"/>
          <w:sz w:val="32"/>
          <w:szCs w:val="32"/>
        </w:rPr>
        <w:t>3000</w:t>
      </w:r>
      <w:r>
        <w:rPr>
          <w:rFonts w:ascii="仿宋_GB2312" w:eastAsia="仿宋_GB2312" w:hAnsi="仿宋_GB2312" w:cs="仿宋_GB2312" w:hint="eastAsia"/>
          <w:sz w:val="32"/>
          <w:szCs w:val="32"/>
        </w:rPr>
        <w:t>平方米、补助发放覆盖率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、项目验收合格率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、补助发放及时性</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、项目所需成本</w:t>
      </w:r>
      <w:r>
        <w:rPr>
          <w:rFonts w:ascii="仿宋_GB2312" w:eastAsia="仿宋_GB2312" w:hAnsi="仿宋_GB2312" w:cs="仿宋_GB2312"/>
          <w:sz w:val="32"/>
          <w:szCs w:val="32"/>
        </w:rPr>
        <w:t>200</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分，受益人口数</w:t>
      </w:r>
      <w:r>
        <w:rPr>
          <w:rFonts w:ascii="仿宋_GB2312" w:eastAsia="仿宋_GB2312" w:hAnsi="仿宋_GB2312" w:cs="仿宋_GB2312"/>
          <w:sz w:val="32"/>
          <w:szCs w:val="32"/>
        </w:rPr>
        <w:t>45000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镇级城乡社区其他事务支出项目。预算金额</w:t>
      </w:r>
      <w:r>
        <w:rPr>
          <w:rFonts w:ascii="仿宋_GB2312" w:eastAsia="仿宋_GB2312" w:hAnsi="仿宋_GB2312" w:cs="仿宋_GB2312"/>
          <w:sz w:val="32"/>
          <w:szCs w:val="32"/>
        </w:rPr>
        <w:t>305.736532</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218.503005</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218.503005</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71%</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分；数量、质量、时效、成本均全部完成预期指标值，粉刷树木数量</w:t>
      </w:r>
      <w:r>
        <w:rPr>
          <w:rFonts w:ascii="仿宋_GB2312" w:eastAsia="仿宋_GB2312" w:hAnsi="仿宋_GB2312" w:cs="仿宋_GB2312"/>
          <w:sz w:val="32"/>
          <w:szCs w:val="32"/>
        </w:rPr>
        <w:t>500</w:t>
      </w:r>
      <w:r>
        <w:rPr>
          <w:rFonts w:ascii="仿宋_GB2312" w:eastAsia="仿宋_GB2312" w:hAnsi="仿宋_GB2312" w:cs="仿宋_GB2312" w:hint="eastAsia"/>
          <w:sz w:val="32"/>
          <w:szCs w:val="32"/>
        </w:rPr>
        <w:t>棵、铺设便道砖数量</w:t>
      </w:r>
      <w:r>
        <w:rPr>
          <w:rFonts w:ascii="仿宋_GB2312" w:eastAsia="仿宋_GB2312" w:hAnsi="仿宋_GB2312" w:cs="仿宋_GB2312"/>
          <w:sz w:val="32"/>
          <w:szCs w:val="32"/>
        </w:rPr>
        <w:t>7500</w:t>
      </w:r>
      <w:r>
        <w:rPr>
          <w:rFonts w:ascii="仿宋_GB2312" w:eastAsia="仿宋_GB2312" w:hAnsi="仿宋_GB2312" w:cs="仿宋_GB2312" w:hint="eastAsia"/>
          <w:sz w:val="32"/>
          <w:szCs w:val="32"/>
        </w:rPr>
        <w:t>平方米、铺设路牙石数量</w:t>
      </w:r>
      <w:r>
        <w:rPr>
          <w:rFonts w:ascii="仿宋_GB2312" w:eastAsia="仿宋_GB2312" w:hAnsi="仿宋_GB2312" w:cs="仿宋_GB2312"/>
          <w:sz w:val="32"/>
          <w:szCs w:val="32"/>
        </w:rPr>
        <w:t>18000</w:t>
      </w:r>
      <w:r>
        <w:rPr>
          <w:rFonts w:ascii="仿宋_GB2312" w:eastAsia="仿宋_GB2312" w:hAnsi="仿宋_GB2312" w:cs="仿宋_GB2312" w:hint="eastAsia"/>
          <w:sz w:val="32"/>
          <w:szCs w:val="32"/>
        </w:rPr>
        <w:t>米、绿化面积数量</w:t>
      </w:r>
      <w:r>
        <w:rPr>
          <w:rFonts w:ascii="仿宋_GB2312" w:eastAsia="仿宋_GB2312" w:hAnsi="仿宋_GB2312" w:cs="仿宋_GB2312"/>
          <w:sz w:val="32"/>
          <w:szCs w:val="32"/>
        </w:rPr>
        <w:t>3000</w:t>
      </w:r>
      <w:r>
        <w:rPr>
          <w:rFonts w:ascii="仿宋_GB2312" w:eastAsia="仿宋_GB2312" w:hAnsi="仿宋_GB2312" w:cs="仿宋_GB2312" w:hint="eastAsia"/>
          <w:sz w:val="32"/>
          <w:szCs w:val="32"/>
        </w:rPr>
        <w:t>平方米、拆除私搭乱建数量</w:t>
      </w:r>
      <w:r>
        <w:rPr>
          <w:rFonts w:ascii="仿宋_GB2312" w:eastAsia="仿宋_GB2312" w:hAnsi="仿宋_GB2312" w:cs="仿宋_GB2312"/>
          <w:sz w:val="32"/>
          <w:szCs w:val="32"/>
        </w:rPr>
        <w:t>360</w:t>
      </w:r>
      <w:r>
        <w:rPr>
          <w:rFonts w:ascii="仿宋_GB2312" w:eastAsia="仿宋_GB2312" w:hAnsi="仿宋_GB2312" w:cs="仿宋_GB2312" w:hint="eastAsia"/>
          <w:sz w:val="32"/>
          <w:szCs w:val="32"/>
        </w:rPr>
        <w:t>处、粉刷墙体数量</w:t>
      </w:r>
      <w:r>
        <w:rPr>
          <w:rFonts w:ascii="仿宋_GB2312" w:eastAsia="仿宋_GB2312" w:hAnsi="仿宋_GB2312" w:cs="仿宋_GB2312"/>
          <w:sz w:val="32"/>
          <w:szCs w:val="32"/>
        </w:rPr>
        <w:t>11000</w:t>
      </w:r>
      <w:r>
        <w:rPr>
          <w:rFonts w:ascii="仿宋_GB2312" w:eastAsia="仿宋_GB2312" w:hAnsi="仿宋_GB2312" w:cs="仿宋_GB2312" w:hint="eastAsia"/>
          <w:sz w:val="32"/>
          <w:szCs w:val="32"/>
        </w:rPr>
        <w:t>平方米、工程质量合格率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、工程按计划完工率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、工程建设成本</w:t>
      </w:r>
      <w:r>
        <w:rPr>
          <w:rFonts w:ascii="仿宋_GB2312" w:eastAsia="仿宋_GB2312" w:hAnsi="仿宋_GB2312" w:cs="仿宋_GB2312"/>
          <w:sz w:val="32"/>
          <w:szCs w:val="32"/>
        </w:rPr>
        <w:t>305.736532</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39</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分，受益人口数</w:t>
      </w:r>
      <w:r>
        <w:rPr>
          <w:rFonts w:ascii="仿宋_GB2312" w:eastAsia="仿宋_GB2312" w:hAnsi="仿宋_GB2312" w:cs="仿宋_GB2312"/>
          <w:sz w:val="32"/>
          <w:szCs w:val="32"/>
        </w:rPr>
        <w:t>25000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，自评得分</w:t>
      </w:r>
      <w:r>
        <w:rPr>
          <w:rFonts w:ascii="仿宋_GB2312" w:eastAsia="仿宋_GB2312" w:hAnsi="仿宋_GB2312" w:cs="仿宋_GB2312"/>
          <w:sz w:val="32"/>
          <w:szCs w:val="32"/>
        </w:rPr>
        <w:t>96</w:t>
      </w:r>
      <w:r>
        <w:rPr>
          <w:rFonts w:ascii="仿宋_GB2312" w:eastAsia="仿宋_GB2312" w:hAnsi="仿宋_GB2312" w:cs="仿宋_GB2312" w:hint="eastAsia"/>
          <w:sz w:val="32"/>
          <w:szCs w:val="32"/>
        </w:rPr>
        <w:t>分，为优秀。</w:t>
      </w:r>
    </w:p>
    <w:p w:rsidR="008D7619" w:rsidRDefault="008D7619">
      <w:pPr>
        <w:numPr>
          <w:ilvl w:val="0"/>
          <w:numId w:val="3"/>
        </w:numPr>
        <w:spacing w:line="578" w:lineRule="exact"/>
        <w:ind w:firstLineChars="250" w:firstLine="800"/>
        <w:rPr>
          <w:rFonts w:ascii="仿宋_GB2312" w:eastAsia="仿宋_GB2312" w:hAnsi="仿宋_GB2312" w:cs="仿宋_GB2312"/>
          <w:sz w:val="32"/>
          <w:szCs w:val="32"/>
        </w:rPr>
      </w:pPr>
      <w:r>
        <w:rPr>
          <w:rFonts w:ascii="仿宋_GB2312" w:eastAsia="仿宋_GB2312" w:hAnsi="仿宋_GB2312" w:cs="仿宋_GB2312"/>
          <w:sz w:val="32"/>
          <w:szCs w:val="32"/>
        </w:rPr>
        <w:t>2023</w:t>
      </w:r>
      <w:r>
        <w:rPr>
          <w:rFonts w:ascii="仿宋_GB2312" w:eastAsia="仿宋_GB2312" w:hAnsi="仿宋_GB2312" w:cs="仿宋_GB2312" w:hint="eastAsia"/>
          <w:sz w:val="32"/>
          <w:szCs w:val="32"/>
        </w:rPr>
        <w:t>年镇级城乡社区其他事物支出项目。预算金额</w:t>
      </w:r>
      <w:r>
        <w:rPr>
          <w:rFonts w:ascii="仿宋_GB2312" w:eastAsia="仿宋_GB2312" w:hAnsi="仿宋_GB2312" w:cs="仿宋_GB2312"/>
          <w:sz w:val="32"/>
          <w:szCs w:val="32"/>
        </w:rPr>
        <w:t>252.263468</w:t>
      </w:r>
      <w:r>
        <w:rPr>
          <w:rFonts w:ascii="仿宋_GB2312" w:eastAsia="仿宋_GB2312" w:hAnsi="仿宋_GB2312" w:cs="仿宋_GB2312" w:hint="eastAsia"/>
          <w:sz w:val="32"/>
          <w:szCs w:val="32"/>
        </w:rPr>
        <w:t>万元，资金到位数</w:t>
      </w:r>
      <w:r>
        <w:rPr>
          <w:rFonts w:ascii="仿宋_GB2312" w:eastAsia="仿宋_GB2312" w:hAnsi="仿宋_GB2312" w:cs="仿宋_GB2312"/>
          <w:sz w:val="32"/>
          <w:szCs w:val="32"/>
        </w:rPr>
        <w:t>252.263468</w:t>
      </w:r>
      <w:r>
        <w:rPr>
          <w:rFonts w:ascii="仿宋_GB2312" w:eastAsia="仿宋_GB2312" w:hAnsi="仿宋_GB2312" w:cs="仿宋_GB2312" w:hint="eastAsia"/>
          <w:sz w:val="32"/>
          <w:szCs w:val="32"/>
        </w:rPr>
        <w:t>万元，预算执行</w:t>
      </w:r>
      <w:r>
        <w:rPr>
          <w:rFonts w:ascii="仿宋_GB2312" w:eastAsia="仿宋_GB2312" w:hAnsi="仿宋_GB2312" w:cs="仿宋_GB2312"/>
          <w:sz w:val="32"/>
          <w:szCs w:val="32"/>
        </w:rPr>
        <w:t>252.263468</w:t>
      </w:r>
      <w:r>
        <w:rPr>
          <w:rFonts w:ascii="仿宋_GB2312" w:eastAsia="仿宋_GB2312" w:hAnsi="仿宋_GB2312" w:cs="仿宋_GB2312" w:hint="eastAsia"/>
          <w:sz w:val="32"/>
          <w:szCs w:val="32"/>
        </w:rPr>
        <w:t>万元，预算执行率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分；数量、质量、时效、成本均全部完成预期指标值，粉刷树木数量</w:t>
      </w:r>
      <w:r>
        <w:rPr>
          <w:rFonts w:ascii="仿宋_GB2312" w:eastAsia="仿宋_GB2312" w:hAnsi="仿宋_GB2312" w:cs="仿宋_GB2312"/>
          <w:sz w:val="32"/>
          <w:szCs w:val="32"/>
        </w:rPr>
        <w:t>700</w:t>
      </w:r>
      <w:r>
        <w:rPr>
          <w:rFonts w:ascii="仿宋_GB2312" w:eastAsia="仿宋_GB2312" w:hAnsi="仿宋_GB2312" w:cs="仿宋_GB2312" w:hint="eastAsia"/>
          <w:sz w:val="32"/>
          <w:szCs w:val="32"/>
        </w:rPr>
        <w:t>棵、铺设便道砖数量</w:t>
      </w:r>
      <w:r>
        <w:rPr>
          <w:rFonts w:ascii="仿宋_GB2312" w:eastAsia="仿宋_GB2312" w:hAnsi="仿宋_GB2312" w:cs="仿宋_GB2312"/>
          <w:sz w:val="32"/>
          <w:szCs w:val="32"/>
        </w:rPr>
        <w:t>6000</w:t>
      </w:r>
      <w:r>
        <w:rPr>
          <w:rFonts w:ascii="仿宋_GB2312" w:eastAsia="仿宋_GB2312" w:hAnsi="仿宋_GB2312" w:cs="仿宋_GB2312" w:hint="eastAsia"/>
          <w:sz w:val="32"/>
          <w:szCs w:val="32"/>
        </w:rPr>
        <w:t>平方米、铺设路牙石数量</w:t>
      </w:r>
      <w:r>
        <w:rPr>
          <w:rFonts w:ascii="仿宋_GB2312" w:eastAsia="仿宋_GB2312" w:hAnsi="仿宋_GB2312" w:cs="仿宋_GB2312"/>
          <w:sz w:val="32"/>
          <w:szCs w:val="32"/>
        </w:rPr>
        <w:t>16000</w:t>
      </w:r>
      <w:r>
        <w:rPr>
          <w:rFonts w:ascii="仿宋_GB2312" w:eastAsia="仿宋_GB2312" w:hAnsi="仿宋_GB2312" w:cs="仿宋_GB2312" w:hint="eastAsia"/>
          <w:sz w:val="32"/>
          <w:szCs w:val="32"/>
        </w:rPr>
        <w:t>米、绿化面积数量</w:t>
      </w:r>
      <w:r>
        <w:rPr>
          <w:rFonts w:ascii="仿宋_GB2312" w:eastAsia="仿宋_GB2312" w:hAnsi="仿宋_GB2312" w:cs="仿宋_GB2312"/>
          <w:sz w:val="32"/>
          <w:szCs w:val="32"/>
        </w:rPr>
        <w:t>4500</w:t>
      </w:r>
      <w:r>
        <w:rPr>
          <w:rFonts w:ascii="仿宋_GB2312" w:eastAsia="仿宋_GB2312" w:hAnsi="仿宋_GB2312" w:cs="仿宋_GB2312" w:hint="eastAsia"/>
          <w:sz w:val="32"/>
          <w:szCs w:val="32"/>
        </w:rPr>
        <w:t>平方米、拆除私搭乱建数量</w:t>
      </w:r>
      <w:r>
        <w:rPr>
          <w:rFonts w:ascii="仿宋_GB2312" w:eastAsia="仿宋_GB2312" w:hAnsi="仿宋_GB2312" w:cs="仿宋_GB2312"/>
          <w:sz w:val="32"/>
          <w:szCs w:val="32"/>
        </w:rPr>
        <w:t>280</w:t>
      </w:r>
      <w:r>
        <w:rPr>
          <w:rFonts w:ascii="仿宋_GB2312" w:eastAsia="仿宋_GB2312" w:hAnsi="仿宋_GB2312" w:cs="仿宋_GB2312" w:hint="eastAsia"/>
          <w:sz w:val="32"/>
          <w:szCs w:val="32"/>
        </w:rPr>
        <w:t>处、粉刷墙体数量</w:t>
      </w:r>
      <w:r>
        <w:rPr>
          <w:rFonts w:ascii="仿宋_GB2312" w:eastAsia="仿宋_GB2312" w:hAnsi="仿宋_GB2312" w:cs="仿宋_GB2312"/>
          <w:sz w:val="32"/>
          <w:szCs w:val="32"/>
        </w:rPr>
        <w:t>9000</w:t>
      </w:r>
      <w:r>
        <w:rPr>
          <w:rFonts w:ascii="仿宋_GB2312" w:eastAsia="仿宋_GB2312" w:hAnsi="仿宋_GB2312" w:cs="仿宋_GB2312" w:hint="eastAsia"/>
          <w:sz w:val="32"/>
          <w:szCs w:val="32"/>
        </w:rPr>
        <w:t>平方米、工程质量合格率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、工程按计划完工率</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、工程建设成本</w:t>
      </w:r>
      <w:r>
        <w:rPr>
          <w:rFonts w:ascii="仿宋_GB2312" w:eastAsia="仿宋_GB2312" w:hAnsi="仿宋_GB2312" w:cs="仿宋_GB2312"/>
          <w:sz w:val="32"/>
          <w:szCs w:val="32"/>
        </w:rPr>
        <w:t>252.2635</w:t>
      </w:r>
      <w:r>
        <w:rPr>
          <w:rFonts w:ascii="仿宋_GB2312" w:eastAsia="仿宋_GB2312" w:hAnsi="仿宋_GB2312" w:cs="仿宋_GB2312" w:hint="eastAsia"/>
          <w:sz w:val="32"/>
          <w:szCs w:val="32"/>
        </w:rPr>
        <w:t>万元，得分</w:t>
      </w:r>
      <w:r>
        <w:rPr>
          <w:rFonts w:ascii="仿宋_GB2312" w:eastAsia="仿宋_GB2312" w:hAnsi="仿宋_GB2312" w:cs="仿宋_GB2312"/>
          <w:sz w:val="32"/>
          <w:szCs w:val="32"/>
        </w:rPr>
        <w:t>40</w:t>
      </w:r>
      <w:r>
        <w:rPr>
          <w:rFonts w:ascii="仿宋_GB2312" w:eastAsia="仿宋_GB2312" w:hAnsi="仿宋_GB2312" w:cs="仿宋_GB2312" w:hint="eastAsia"/>
          <w:sz w:val="32"/>
          <w:szCs w:val="32"/>
        </w:rPr>
        <w:t>分；效益指标、满意度指标达到预期指标值得分</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分，受益人口数</w:t>
      </w:r>
      <w:r>
        <w:rPr>
          <w:rFonts w:ascii="仿宋_GB2312" w:eastAsia="仿宋_GB2312" w:hAnsi="仿宋_GB2312" w:cs="仿宋_GB2312"/>
          <w:sz w:val="32"/>
          <w:szCs w:val="32"/>
        </w:rPr>
        <w:t>25000</w:t>
      </w:r>
      <w:r>
        <w:rPr>
          <w:rFonts w:ascii="仿宋_GB2312" w:eastAsia="仿宋_GB2312" w:hAnsi="仿宋_GB2312" w:cs="仿宋_GB2312" w:hint="eastAsia"/>
          <w:sz w:val="32"/>
          <w:szCs w:val="32"/>
        </w:rPr>
        <w:t>人、可持续影响时间</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年、受益群众满意度</w:t>
      </w:r>
      <w:r>
        <w:rPr>
          <w:rFonts w:ascii="仿宋_GB2312" w:eastAsia="仿宋_GB2312" w:hAnsi="仿宋_GB2312" w:cs="仿宋_GB2312"/>
          <w:sz w:val="32"/>
          <w:szCs w:val="32"/>
        </w:rPr>
        <w:t>95%</w:t>
      </w:r>
      <w:r>
        <w:rPr>
          <w:rFonts w:ascii="仿宋_GB2312" w:eastAsia="仿宋_GB2312" w:hAnsi="仿宋_GB2312" w:cs="仿宋_GB2312" w:hint="eastAsia"/>
          <w:sz w:val="32"/>
          <w:szCs w:val="32"/>
        </w:rPr>
        <w:t>，自评得分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分，为优秀。</w:t>
      </w:r>
    </w:p>
    <w:p w:rsidR="008D7619" w:rsidRDefault="008D7619">
      <w:pPr>
        <w:spacing w:line="578"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8D7619" w:rsidRDefault="008D7619">
      <w:pPr>
        <w:spacing w:line="578" w:lineRule="exact"/>
        <w:ind w:firstLineChars="200" w:firstLine="640"/>
        <w:rPr>
          <w:rFonts w:ascii="仿宋" w:eastAsia="仿宋" w:hAnsi="仿宋"/>
          <w:sz w:val="32"/>
          <w:szCs w:val="32"/>
        </w:rPr>
      </w:pPr>
      <w:r>
        <w:rPr>
          <w:rFonts w:ascii="仿宋_GB2312" w:eastAsia="仿宋_GB2312" w:hAnsi="仿宋_GB2312" w:cs="仿宋_GB2312" w:hint="eastAsia"/>
          <w:sz w:val="32"/>
          <w:szCs w:val="32"/>
        </w:rPr>
        <w:t>根据部门职责定位和各项工作履职情况进行综合评价，给出总得分，满分</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分，得出综合绩效评价等级。部门整体支出综合绩效评价分为</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个等级：得分≥</w:t>
      </w:r>
      <w:r>
        <w:rPr>
          <w:rFonts w:ascii="仿宋_GB2312" w:eastAsia="仿宋_GB2312" w:hAnsi="仿宋_GB2312" w:cs="仿宋_GB2312"/>
          <w:sz w:val="32"/>
          <w:szCs w:val="32"/>
        </w:rPr>
        <w:t>85</w:t>
      </w:r>
      <w:r>
        <w:rPr>
          <w:rFonts w:ascii="仿宋_GB2312" w:eastAsia="仿宋_GB2312" w:hAnsi="仿宋_GB2312" w:cs="仿宋_GB2312" w:hint="eastAsia"/>
          <w:sz w:val="32"/>
          <w:szCs w:val="32"/>
        </w:rPr>
        <w:t>分为优秀；</w:t>
      </w:r>
      <w:r>
        <w:rPr>
          <w:rFonts w:ascii="仿宋_GB2312" w:eastAsia="仿宋_GB2312" w:hAnsi="仿宋_GB2312" w:cs="仿宋_GB2312"/>
          <w:sz w:val="32"/>
          <w:szCs w:val="32"/>
        </w:rPr>
        <w:t>75</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85</w:t>
      </w:r>
      <w:r>
        <w:rPr>
          <w:rFonts w:ascii="仿宋_GB2312" w:eastAsia="仿宋_GB2312" w:hAnsi="仿宋_GB2312" w:cs="仿宋_GB2312" w:hint="eastAsia"/>
          <w:sz w:val="32"/>
          <w:szCs w:val="32"/>
        </w:rPr>
        <w:t>分为良好；</w:t>
      </w:r>
      <w:r>
        <w:rPr>
          <w:rFonts w:ascii="仿宋_GB2312" w:eastAsia="仿宋_GB2312" w:hAnsi="仿宋_GB2312" w:cs="仿宋_GB2312"/>
          <w:sz w:val="32"/>
          <w:szCs w:val="32"/>
        </w:rPr>
        <w:t>60</w:t>
      </w:r>
      <w:r>
        <w:rPr>
          <w:rFonts w:ascii="仿宋_GB2312" w:eastAsia="仿宋_GB2312" w:hAnsi="仿宋_GB2312" w:cs="仿宋_GB2312" w:hint="eastAsia"/>
          <w:sz w:val="32"/>
          <w:szCs w:val="32"/>
        </w:rPr>
        <w:t>≤得分＜</w:t>
      </w:r>
      <w:r>
        <w:rPr>
          <w:rFonts w:ascii="仿宋_GB2312" w:eastAsia="仿宋_GB2312" w:hAnsi="仿宋_GB2312" w:cs="仿宋_GB2312"/>
          <w:sz w:val="32"/>
          <w:szCs w:val="32"/>
        </w:rPr>
        <w:t>75</w:t>
      </w:r>
      <w:r>
        <w:rPr>
          <w:rFonts w:ascii="仿宋_GB2312" w:eastAsia="仿宋_GB2312" w:hAnsi="仿宋_GB2312" w:cs="仿宋_GB2312" w:hint="eastAsia"/>
          <w:sz w:val="32"/>
          <w:szCs w:val="32"/>
        </w:rPr>
        <w:t>分为一般；得分＜</w:t>
      </w:r>
      <w:r>
        <w:rPr>
          <w:rFonts w:ascii="仿宋_GB2312" w:eastAsia="仿宋_GB2312" w:hAnsi="仿宋_GB2312" w:cs="仿宋_GB2312"/>
          <w:sz w:val="32"/>
          <w:szCs w:val="32"/>
        </w:rPr>
        <w:t>60</w:t>
      </w:r>
      <w:r>
        <w:rPr>
          <w:rFonts w:ascii="仿宋_GB2312" w:eastAsia="仿宋_GB2312" w:hAnsi="仿宋_GB2312" w:cs="仿宋_GB2312" w:hint="eastAsia"/>
          <w:sz w:val="32"/>
          <w:szCs w:val="32"/>
        </w:rPr>
        <w:t>分为较差。我镇评价结果如下</w:t>
      </w:r>
      <w:r>
        <w:rPr>
          <w:rFonts w:ascii="仿宋" w:eastAsia="仿宋" w:hAnsi="仿宋" w:hint="eastAsia"/>
          <w:sz w:val="32"/>
          <w:szCs w:val="32"/>
        </w:rPr>
        <w:t>：</w:t>
      </w:r>
    </w:p>
    <w:tbl>
      <w:tblPr>
        <w:tblW w:w="9061" w:type="dxa"/>
        <w:tblLayout w:type="fixed"/>
        <w:tblLook w:val="00A0"/>
      </w:tblPr>
      <w:tblGrid>
        <w:gridCol w:w="783"/>
        <w:gridCol w:w="5737"/>
        <w:gridCol w:w="1269"/>
        <w:gridCol w:w="1272"/>
      </w:tblGrid>
      <w:tr w:rsidR="008D7619">
        <w:trPr>
          <w:trHeight w:val="840"/>
        </w:trPr>
        <w:tc>
          <w:tcPr>
            <w:tcW w:w="9061" w:type="dxa"/>
            <w:gridSpan w:val="4"/>
            <w:tcBorders>
              <w:top w:val="nil"/>
              <w:left w:val="nil"/>
              <w:bottom w:val="nil"/>
              <w:right w:val="nil"/>
            </w:tcBorders>
            <w:vAlign w:val="center"/>
          </w:tcPr>
          <w:p w:rsidR="008D7619" w:rsidRDefault="008D7619">
            <w:pPr>
              <w:widowControl/>
              <w:spacing w:line="578" w:lineRule="exact"/>
              <w:jc w:val="center"/>
              <w:textAlignment w:val="center"/>
              <w:rPr>
                <w:rFonts w:ascii="宋体" w:cs="宋体"/>
                <w:b/>
                <w:bCs/>
                <w:color w:val="000000"/>
                <w:sz w:val="44"/>
                <w:szCs w:val="44"/>
              </w:rPr>
            </w:pPr>
            <w:r>
              <w:rPr>
                <w:rFonts w:ascii="黑体" w:eastAsia="黑体" w:hAnsi="黑体" w:hint="eastAsia"/>
                <w:b/>
                <w:bCs/>
                <w:color w:val="000000"/>
                <w:kern w:val="0"/>
                <w:sz w:val="32"/>
                <w:szCs w:val="32"/>
                <w:lang/>
              </w:rPr>
              <w:t>部门绩效自评结果公开汇总表</w:t>
            </w:r>
          </w:p>
        </w:tc>
      </w:tr>
      <w:tr w:rsidR="008D7619">
        <w:trPr>
          <w:trHeight w:val="360"/>
        </w:trPr>
        <w:tc>
          <w:tcPr>
            <w:tcW w:w="6520" w:type="dxa"/>
            <w:gridSpan w:val="2"/>
            <w:tcBorders>
              <w:top w:val="nil"/>
              <w:left w:val="nil"/>
              <w:bottom w:val="single" w:sz="4" w:space="0" w:color="000000"/>
              <w:right w:val="nil"/>
            </w:tcBorders>
            <w:vAlign w:val="center"/>
          </w:tcPr>
          <w:p w:rsidR="008D7619" w:rsidRDefault="008D7619">
            <w:pPr>
              <w:widowControl/>
              <w:spacing w:line="578" w:lineRule="exact"/>
              <w:jc w:val="left"/>
              <w:textAlignment w:val="center"/>
              <w:rPr>
                <w:rFonts w:ascii="仿宋" w:eastAsia="仿宋" w:hAnsi="仿宋" w:cs="仿宋"/>
                <w:color w:val="000000"/>
                <w:sz w:val="22"/>
              </w:rPr>
            </w:pPr>
            <w:r>
              <w:rPr>
                <w:rFonts w:ascii="仿宋" w:eastAsia="仿宋" w:hAnsi="仿宋" w:cs="仿宋" w:hint="eastAsia"/>
                <w:color w:val="000000"/>
                <w:kern w:val="0"/>
                <w:sz w:val="22"/>
                <w:lang/>
              </w:rPr>
              <w:t>主管部门：大河镇人民政府</w:t>
            </w:r>
          </w:p>
        </w:tc>
        <w:tc>
          <w:tcPr>
            <w:tcW w:w="2541" w:type="dxa"/>
            <w:gridSpan w:val="2"/>
            <w:tcBorders>
              <w:top w:val="nil"/>
              <w:left w:val="nil"/>
              <w:bottom w:val="single" w:sz="4" w:space="0" w:color="000000"/>
              <w:right w:val="nil"/>
            </w:tcBorders>
            <w:vAlign w:val="center"/>
          </w:tcPr>
          <w:p w:rsidR="008D7619" w:rsidRDefault="008D7619">
            <w:pPr>
              <w:spacing w:line="578" w:lineRule="exact"/>
              <w:jc w:val="center"/>
              <w:rPr>
                <w:rFonts w:ascii="仿宋" w:eastAsia="仿宋" w:hAnsi="仿宋" w:cs="仿宋"/>
                <w:color w:val="000000"/>
                <w:sz w:val="22"/>
              </w:rPr>
            </w:pPr>
          </w:p>
        </w:tc>
      </w:tr>
      <w:tr w:rsidR="008D7619">
        <w:trPr>
          <w:trHeight w:val="578"/>
        </w:trPr>
        <w:tc>
          <w:tcPr>
            <w:tcW w:w="783" w:type="dxa"/>
            <w:vMerge w:val="restart"/>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序号</w:t>
            </w:r>
          </w:p>
        </w:tc>
        <w:tc>
          <w:tcPr>
            <w:tcW w:w="5737" w:type="dxa"/>
            <w:vMerge w:val="restart"/>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项目名称</w:t>
            </w:r>
          </w:p>
        </w:tc>
        <w:tc>
          <w:tcPr>
            <w:tcW w:w="1269" w:type="dxa"/>
            <w:vMerge w:val="restart"/>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自评得分</w:t>
            </w:r>
          </w:p>
        </w:tc>
        <w:tc>
          <w:tcPr>
            <w:tcW w:w="1272" w:type="dxa"/>
            <w:vMerge w:val="restart"/>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自评结果应用意见</w:t>
            </w:r>
          </w:p>
        </w:tc>
      </w:tr>
      <w:tr w:rsidR="008D7619">
        <w:trPr>
          <w:trHeight w:val="578"/>
        </w:trPr>
        <w:tc>
          <w:tcPr>
            <w:tcW w:w="783" w:type="dxa"/>
            <w:vMerge/>
            <w:tcBorders>
              <w:top w:val="single" w:sz="4" w:space="0" w:color="000000"/>
              <w:left w:val="single" w:sz="4" w:space="0" w:color="000000"/>
              <w:bottom w:val="single" w:sz="4" w:space="0" w:color="000000"/>
              <w:right w:val="single" w:sz="4" w:space="0" w:color="000000"/>
            </w:tcBorders>
            <w:vAlign w:val="center"/>
          </w:tcPr>
          <w:p w:rsidR="008D7619" w:rsidRDefault="008D7619">
            <w:pPr>
              <w:spacing w:line="578" w:lineRule="exact"/>
              <w:jc w:val="center"/>
              <w:rPr>
                <w:rFonts w:ascii="仿宋" w:eastAsia="仿宋" w:hAnsi="仿宋" w:cs="仿宋"/>
                <w:color w:val="000000"/>
                <w:sz w:val="24"/>
                <w:szCs w:val="24"/>
              </w:rPr>
            </w:pPr>
          </w:p>
        </w:tc>
        <w:tc>
          <w:tcPr>
            <w:tcW w:w="5737" w:type="dxa"/>
            <w:vMerge/>
            <w:tcBorders>
              <w:top w:val="single" w:sz="4" w:space="0" w:color="000000"/>
              <w:left w:val="single" w:sz="4" w:space="0" w:color="000000"/>
              <w:bottom w:val="single" w:sz="4" w:space="0" w:color="000000"/>
              <w:right w:val="single" w:sz="4" w:space="0" w:color="000000"/>
            </w:tcBorders>
            <w:vAlign w:val="center"/>
          </w:tcPr>
          <w:p w:rsidR="008D7619" w:rsidRDefault="008D7619">
            <w:pPr>
              <w:spacing w:line="578" w:lineRule="exact"/>
              <w:jc w:val="center"/>
              <w:rPr>
                <w:rFonts w:ascii="仿宋" w:eastAsia="仿宋" w:hAnsi="仿宋" w:cs="仿宋"/>
                <w:color w:val="000000"/>
                <w:sz w:val="24"/>
                <w:szCs w:val="24"/>
              </w:rPr>
            </w:pPr>
          </w:p>
        </w:tc>
        <w:tc>
          <w:tcPr>
            <w:tcW w:w="1269" w:type="dxa"/>
            <w:vMerge/>
            <w:tcBorders>
              <w:top w:val="single" w:sz="4" w:space="0" w:color="000000"/>
              <w:left w:val="single" w:sz="4" w:space="0" w:color="000000"/>
              <w:bottom w:val="single" w:sz="4" w:space="0" w:color="000000"/>
              <w:right w:val="single" w:sz="4" w:space="0" w:color="000000"/>
            </w:tcBorders>
            <w:vAlign w:val="center"/>
          </w:tcPr>
          <w:p w:rsidR="008D7619" w:rsidRDefault="008D7619">
            <w:pPr>
              <w:spacing w:line="578" w:lineRule="exact"/>
              <w:jc w:val="center"/>
              <w:rPr>
                <w:rFonts w:ascii="仿宋" w:eastAsia="仿宋" w:hAnsi="仿宋" w:cs="仿宋"/>
                <w:color w:val="000000"/>
                <w:sz w:val="24"/>
                <w:szCs w:val="24"/>
              </w:rPr>
            </w:pPr>
          </w:p>
        </w:tc>
        <w:tc>
          <w:tcPr>
            <w:tcW w:w="1272" w:type="dxa"/>
            <w:vMerge/>
            <w:tcBorders>
              <w:top w:val="single" w:sz="4" w:space="0" w:color="000000"/>
              <w:left w:val="single" w:sz="4" w:space="0" w:color="000000"/>
              <w:bottom w:val="single" w:sz="4" w:space="0" w:color="000000"/>
              <w:right w:val="single" w:sz="4" w:space="0" w:color="000000"/>
            </w:tcBorders>
            <w:vAlign w:val="center"/>
          </w:tcPr>
          <w:p w:rsidR="008D7619" w:rsidRDefault="008D7619">
            <w:pPr>
              <w:spacing w:line="578" w:lineRule="exact"/>
              <w:jc w:val="center"/>
              <w:rPr>
                <w:rFonts w:ascii="仿宋" w:eastAsia="仿宋" w:hAnsi="仿宋" w:cs="仿宋"/>
                <w:color w:val="000000"/>
                <w:sz w:val="24"/>
                <w:szCs w:val="24"/>
              </w:rPr>
            </w:pP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农村生活垃圾清理资金</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区级退役公益性岗位、派遣人员工资、社保</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620"/>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3</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提前下达</w:t>
            </w:r>
            <w:r>
              <w:rPr>
                <w:rFonts w:ascii="宋体" w:hAnsi="宋体" w:cs="宋体"/>
                <w:color w:val="000000"/>
                <w:kern w:val="0"/>
                <w:sz w:val="22"/>
                <w:lang/>
              </w:rPr>
              <w:t>2022</w:t>
            </w:r>
            <w:r>
              <w:rPr>
                <w:rFonts w:ascii="宋体" w:hAnsi="宋体" w:cs="宋体" w:hint="eastAsia"/>
                <w:color w:val="000000"/>
                <w:kern w:val="0"/>
                <w:sz w:val="22"/>
                <w:lang/>
              </w:rPr>
              <w:t>年省级农村综合改革转移支付资金（</w:t>
            </w:r>
            <w:r>
              <w:rPr>
                <w:rFonts w:ascii="宋体" w:hAnsi="宋体" w:cs="宋体"/>
                <w:color w:val="000000"/>
                <w:kern w:val="0"/>
                <w:sz w:val="22"/>
                <w:lang/>
              </w:rPr>
              <w:t>2022</w:t>
            </w:r>
            <w:r>
              <w:rPr>
                <w:rFonts w:ascii="宋体" w:hAnsi="宋体" w:cs="宋体" w:hint="eastAsia"/>
                <w:color w:val="000000"/>
                <w:kern w:val="0"/>
                <w:sz w:val="22"/>
                <w:lang/>
              </w:rPr>
              <w:t>年大河镇一事一议项目）</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540"/>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4</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提前下达</w:t>
            </w:r>
            <w:r>
              <w:rPr>
                <w:rFonts w:ascii="宋体" w:hAnsi="宋体" w:cs="宋体"/>
                <w:color w:val="000000"/>
                <w:kern w:val="0"/>
                <w:sz w:val="22"/>
                <w:lang/>
              </w:rPr>
              <w:t>2022</w:t>
            </w:r>
            <w:r>
              <w:rPr>
                <w:rFonts w:ascii="宋体" w:hAnsi="宋体" w:cs="宋体" w:hint="eastAsia"/>
                <w:color w:val="000000"/>
                <w:kern w:val="0"/>
                <w:sz w:val="22"/>
                <w:lang/>
              </w:rPr>
              <w:t>年省级农村综合改革转移支付资金（</w:t>
            </w:r>
            <w:r>
              <w:rPr>
                <w:rFonts w:ascii="宋体" w:hAnsi="宋体" w:cs="宋体"/>
                <w:color w:val="000000"/>
                <w:kern w:val="0"/>
                <w:sz w:val="22"/>
                <w:lang/>
              </w:rPr>
              <w:t>2022</w:t>
            </w:r>
            <w:r>
              <w:rPr>
                <w:rFonts w:ascii="宋体" w:hAnsi="宋体" w:cs="宋体" w:hint="eastAsia"/>
                <w:color w:val="000000"/>
                <w:kern w:val="0"/>
                <w:sz w:val="22"/>
                <w:lang/>
              </w:rPr>
              <w:t>年大河镇一事一议项目）</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540"/>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5</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提前下达</w:t>
            </w:r>
            <w:r>
              <w:rPr>
                <w:rFonts w:ascii="宋体" w:hAnsi="宋体" w:cs="宋体"/>
                <w:color w:val="000000"/>
                <w:kern w:val="0"/>
                <w:sz w:val="22"/>
                <w:lang/>
              </w:rPr>
              <w:t>2023</w:t>
            </w:r>
            <w:r>
              <w:rPr>
                <w:rFonts w:ascii="宋体" w:hAnsi="宋体" w:cs="宋体" w:hint="eastAsia"/>
                <w:color w:val="000000"/>
                <w:kern w:val="0"/>
                <w:sz w:val="22"/>
                <w:lang/>
              </w:rPr>
              <w:t>年省级农村综合改革转移支付资金（</w:t>
            </w:r>
            <w:r>
              <w:rPr>
                <w:rFonts w:ascii="宋体" w:hAnsi="宋体" w:cs="宋体"/>
                <w:color w:val="000000"/>
                <w:kern w:val="0"/>
                <w:sz w:val="22"/>
                <w:lang/>
              </w:rPr>
              <w:t>2023</w:t>
            </w:r>
            <w:r>
              <w:rPr>
                <w:rFonts w:ascii="宋体" w:hAnsi="宋体" w:cs="宋体" w:hint="eastAsia"/>
                <w:color w:val="000000"/>
                <w:kern w:val="0"/>
                <w:sz w:val="22"/>
                <w:lang/>
              </w:rPr>
              <w:t>年大河镇一事一议项目）</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92</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540"/>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6</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提前下达</w:t>
            </w:r>
            <w:r>
              <w:rPr>
                <w:rFonts w:ascii="宋体" w:hAnsi="宋体" w:cs="宋体"/>
                <w:color w:val="000000"/>
                <w:kern w:val="0"/>
                <w:sz w:val="22"/>
                <w:lang/>
              </w:rPr>
              <w:t>2023</w:t>
            </w:r>
            <w:r>
              <w:rPr>
                <w:rFonts w:ascii="宋体" w:hAnsi="宋体" w:cs="宋体" w:hint="eastAsia"/>
                <w:color w:val="000000"/>
                <w:kern w:val="0"/>
                <w:sz w:val="22"/>
                <w:lang/>
              </w:rPr>
              <w:t>年省级农村综合改革转移支付资金（</w:t>
            </w:r>
            <w:r>
              <w:rPr>
                <w:rFonts w:ascii="宋体" w:hAnsi="宋体" w:cs="宋体"/>
                <w:color w:val="000000"/>
                <w:kern w:val="0"/>
                <w:sz w:val="22"/>
                <w:lang/>
              </w:rPr>
              <w:t>2023</w:t>
            </w:r>
            <w:r>
              <w:rPr>
                <w:rFonts w:ascii="宋体" w:hAnsi="宋体" w:cs="宋体" w:hint="eastAsia"/>
                <w:color w:val="000000"/>
                <w:kern w:val="0"/>
                <w:sz w:val="22"/>
                <w:lang/>
              </w:rPr>
              <w:t>年大河镇一事一议项目）</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7</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区级双庙营房污水管道项目</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95</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8</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年区级宇缘纸品公司拆迁补偿（南故城村灵堂搬迁）</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85</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年区级鹿泉大河路照明工程</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年区级故城旧工业区拆迁评估费</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82</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良好</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11</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大河物流周边整治提升</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12</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公共文化设施免费开放（乡镇文化站）</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13</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镇级幼儿教师及代课教师劳务费支出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14</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年镇级幼儿教师及代课教师补发劳务费</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15</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镇级应急管理事务支出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16</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镇级卫生及计划生育事物支出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17</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镇级社会保障农村救济支出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98</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18</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镇级群众文化宣传资料及条幅、展牌等支出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19</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镇级绿化、防汛等事务支出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20</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镇级节能环保大气污染防治支出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21</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镇级机关运转经费</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22</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镇级各村村级补助支出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23</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镇级城乡社区其他事务支出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96</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r w:rsidR="008D7619">
        <w:trPr>
          <w:trHeight w:val="402"/>
        </w:trPr>
        <w:tc>
          <w:tcPr>
            <w:tcW w:w="783"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24</w:t>
            </w:r>
          </w:p>
        </w:tc>
        <w:tc>
          <w:tcPr>
            <w:tcW w:w="5737"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color w:val="000000"/>
                <w:kern w:val="0"/>
                <w:sz w:val="22"/>
                <w:lang/>
              </w:rPr>
              <w:t>2023</w:t>
            </w:r>
            <w:r>
              <w:rPr>
                <w:rFonts w:ascii="宋体" w:hAnsi="宋体" w:cs="宋体" w:hint="eastAsia"/>
                <w:color w:val="000000"/>
                <w:kern w:val="0"/>
                <w:sz w:val="22"/>
                <w:lang/>
              </w:rPr>
              <w:t>年镇级城乡社区其他事物支出</w:t>
            </w:r>
          </w:p>
        </w:tc>
        <w:tc>
          <w:tcPr>
            <w:tcW w:w="1269"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color w:val="000000"/>
                <w:kern w:val="0"/>
                <w:sz w:val="22"/>
                <w:lang/>
              </w:rPr>
              <w:t>100</w:t>
            </w:r>
          </w:p>
        </w:tc>
        <w:tc>
          <w:tcPr>
            <w:tcW w:w="1272" w:type="dxa"/>
            <w:tcBorders>
              <w:top w:val="single" w:sz="4" w:space="0" w:color="000000"/>
              <w:left w:val="single" w:sz="4" w:space="0" w:color="000000"/>
              <w:bottom w:val="single" w:sz="4" w:space="0" w:color="000000"/>
              <w:right w:val="single" w:sz="4" w:space="0" w:color="000000"/>
            </w:tcBorders>
            <w:vAlign w:val="center"/>
          </w:tcPr>
          <w:p w:rsidR="008D7619" w:rsidRDefault="008D7619">
            <w:pPr>
              <w:widowControl/>
              <w:spacing w:line="578" w:lineRule="exact"/>
              <w:jc w:val="center"/>
              <w:textAlignment w:val="center"/>
              <w:rPr>
                <w:rFonts w:ascii="宋体" w:cs="宋体"/>
                <w:color w:val="000000"/>
                <w:sz w:val="22"/>
              </w:rPr>
            </w:pPr>
            <w:r>
              <w:rPr>
                <w:rFonts w:ascii="宋体" w:hAnsi="宋体" w:cs="宋体" w:hint="eastAsia"/>
                <w:color w:val="000000"/>
                <w:kern w:val="0"/>
                <w:sz w:val="22"/>
                <w:lang/>
              </w:rPr>
              <w:t>优秀</w:t>
            </w:r>
          </w:p>
        </w:tc>
      </w:tr>
    </w:tbl>
    <w:p w:rsidR="008D7619" w:rsidRDefault="008D7619">
      <w:pPr>
        <w:spacing w:line="578" w:lineRule="exact"/>
        <w:ind w:firstLineChars="200" w:firstLine="640"/>
        <w:rPr>
          <w:rFonts w:ascii="仿宋" w:eastAsia="仿宋" w:hAnsi="仿宋"/>
          <w:sz w:val="32"/>
          <w:szCs w:val="32"/>
        </w:rPr>
      </w:pPr>
    </w:p>
    <w:p w:rsidR="008D7619" w:rsidRDefault="008D7619">
      <w:pPr>
        <w:spacing w:line="578"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8D7619" w:rsidRDefault="008D7619">
      <w:pPr>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（一）存在的主要问题</w:t>
      </w:r>
    </w:p>
    <w:p w:rsidR="008D7619" w:rsidRDefault="008D7619">
      <w:pPr>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sz w:val="32"/>
          <w:szCs w:val="32"/>
        </w:rPr>
        <w:t>指标体系不够完善，难以满足不同层面不同性质的绩效评价需求，特别是部分项目效益指标定性指标多定量指标少，主观判断的多，具体可衡量的少。</w:t>
      </w:r>
    </w:p>
    <w:p w:rsidR="008D7619" w:rsidRDefault="008D7619">
      <w:pPr>
        <w:spacing w:line="578" w:lineRule="exact"/>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（二）针对问题提出具体的改进措施或建议</w:t>
      </w:r>
    </w:p>
    <w:p w:rsidR="008D7619" w:rsidRDefault="008D7619">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加强培训学习。加强内部学习培训的同时，积极参加财政局组织的绩效管理业务培训，学习借鉴，多举措、多渠道提升绩效管理认识和能力水平。</w:t>
      </w:r>
    </w:p>
    <w:p w:rsidR="008D7619" w:rsidRDefault="008D7619">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完善管理制度建设。我委根据省财政厅的相关文件要求，制定年度预算绩效管理工作计划和实施方案，制定本部门全面实施预算绩效管理意见、办法，为部门预算绩效管理的工作顺利实施提供制度依据。</w:t>
      </w:r>
    </w:p>
    <w:p w:rsidR="008D7619" w:rsidRDefault="008D7619">
      <w:pPr>
        <w:spacing w:line="578"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加强绩效运行监控。加强预算执行进度管理，督促资金使用处室（单位）加快项目实施进度的同时，严格按照相关要求，启动了</w:t>
      </w:r>
      <w:r>
        <w:rPr>
          <w:rFonts w:ascii="仿宋_GB2312" w:eastAsia="仿宋_GB2312" w:hAnsi="仿宋_GB2312" w:cs="仿宋_GB2312"/>
          <w:sz w:val="32"/>
          <w:szCs w:val="32"/>
        </w:rPr>
        <w:t>1-7</w:t>
      </w:r>
      <w:r>
        <w:rPr>
          <w:rFonts w:ascii="仿宋_GB2312" w:eastAsia="仿宋_GB2312" w:hAnsi="仿宋_GB2312" w:cs="仿宋_GB2312" w:hint="eastAsia"/>
          <w:sz w:val="32"/>
          <w:szCs w:val="32"/>
        </w:rPr>
        <w:t>月绩效运行监控工作，及时掌握项目资金支出进度和绩效目标实现情况，并针对监控发现的问题及时整改，确保财政资金切实发挥效益。</w:t>
      </w:r>
    </w:p>
    <w:p w:rsidR="008D7619" w:rsidRDefault="008D7619">
      <w:pPr>
        <w:adjustRightInd w:val="0"/>
        <w:snapToGrid w:val="0"/>
        <w:spacing w:line="578"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tbl>
      <w:tblPr>
        <w:tblpPr w:leftFromText="180" w:rightFromText="180" w:vertAnchor="text" w:horzAnchor="page" w:tblpX="4120" w:tblpY="382"/>
        <w:tblOverlap w:val="never"/>
        <w:tblW w:w="3908" w:type="dxa"/>
        <w:tblLayout w:type="fixed"/>
        <w:tblLook w:val="00A0"/>
      </w:tblPr>
      <w:tblGrid>
        <w:gridCol w:w="1043"/>
        <w:gridCol w:w="1320"/>
        <w:gridCol w:w="1545"/>
      </w:tblGrid>
      <w:tr w:rsidR="008D7619">
        <w:trPr>
          <w:trHeight w:val="420"/>
        </w:trPr>
        <w:tc>
          <w:tcPr>
            <w:tcW w:w="1043"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姓名</w:t>
            </w:r>
          </w:p>
        </w:tc>
        <w:tc>
          <w:tcPr>
            <w:tcW w:w="1320"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工作单位</w:t>
            </w:r>
          </w:p>
        </w:tc>
        <w:tc>
          <w:tcPr>
            <w:tcW w:w="1545"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职务</w:t>
            </w:r>
          </w:p>
        </w:tc>
      </w:tr>
      <w:tr w:rsidR="008D7619">
        <w:trPr>
          <w:trHeight w:val="420"/>
        </w:trPr>
        <w:tc>
          <w:tcPr>
            <w:tcW w:w="1043"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王俊艳</w:t>
            </w:r>
          </w:p>
        </w:tc>
        <w:tc>
          <w:tcPr>
            <w:tcW w:w="1320"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大河镇政府</w:t>
            </w:r>
          </w:p>
        </w:tc>
        <w:tc>
          <w:tcPr>
            <w:tcW w:w="1545"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财政所所长</w:t>
            </w:r>
          </w:p>
        </w:tc>
      </w:tr>
      <w:tr w:rsidR="008D7619">
        <w:trPr>
          <w:trHeight w:val="420"/>
        </w:trPr>
        <w:tc>
          <w:tcPr>
            <w:tcW w:w="1043"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侯祺琦</w:t>
            </w:r>
          </w:p>
        </w:tc>
        <w:tc>
          <w:tcPr>
            <w:tcW w:w="1320"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大河镇政府</w:t>
            </w:r>
          </w:p>
        </w:tc>
        <w:tc>
          <w:tcPr>
            <w:tcW w:w="1545" w:type="dxa"/>
            <w:tcBorders>
              <w:top w:val="nil"/>
              <w:left w:val="nil"/>
              <w:bottom w:val="nil"/>
              <w:right w:val="nil"/>
            </w:tcBorders>
            <w:vAlign w:val="center"/>
          </w:tcPr>
          <w:p w:rsidR="008D7619" w:rsidRDefault="008D7619">
            <w:pPr>
              <w:widowControl/>
              <w:spacing w:line="578" w:lineRule="exact"/>
              <w:jc w:val="left"/>
              <w:textAlignment w:val="center"/>
              <w:rPr>
                <w:rFonts w:ascii="宋体" w:cs="宋体"/>
                <w:color w:val="000000"/>
                <w:sz w:val="22"/>
              </w:rPr>
            </w:pPr>
            <w:r>
              <w:rPr>
                <w:rFonts w:ascii="宋体" w:hAnsi="宋体" w:cs="宋体" w:hint="eastAsia"/>
                <w:color w:val="000000"/>
                <w:kern w:val="0"/>
                <w:sz w:val="22"/>
                <w:lang/>
              </w:rPr>
              <w:t>会计</w:t>
            </w:r>
          </w:p>
        </w:tc>
      </w:tr>
    </w:tbl>
    <w:p w:rsidR="008D7619" w:rsidRDefault="008D7619">
      <w:pPr>
        <w:adjustRightInd w:val="0"/>
        <w:snapToGrid w:val="0"/>
        <w:spacing w:line="578" w:lineRule="exact"/>
        <w:ind w:firstLineChars="200" w:firstLine="640"/>
        <w:rPr>
          <w:rFonts w:ascii="黑体" w:eastAsia="黑体" w:hAnsi="黑体"/>
          <w:sz w:val="32"/>
          <w:szCs w:val="32"/>
        </w:rPr>
      </w:pPr>
    </w:p>
    <w:p w:rsidR="008D7619" w:rsidRDefault="008D7619">
      <w:pPr>
        <w:adjustRightInd w:val="0"/>
        <w:snapToGrid w:val="0"/>
        <w:spacing w:line="578" w:lineRule="exact"/>
        <w:ind w:firstLineChars="200" w:firstLine="640"/>
        <w:rPr>
          <w:rFonts w:ascii="黑体" w:eastAsia="黑体" w:hAnsi="黑体"/>
          <w:sz w:val="32"/>
          <w:szCs w:val="32"/>
        </w:rPr>
      </w:pPr>
    </w:p>
    <w:p w:rsidR="008D7619" w:rsidRDefault="008D7619">
      <w:pPr>
        <w:spacing w:line="578" w:lineRule="exact"/>
        <w:rPr>
          <w:rFonts w:ascii="仿宋" w:eastAsia="仿宋" w:hAnsi="仿宋"/>
        </w:rPr>
      </w:pPr>
    </w:p>
    <w:sectPr w:rsidR="008D7619" w:rsidSect="00F0680C">
      <w:footerReference w:type="default" r:id="rId7"/>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7619" w:rsidRDefault="008D7619" w:rsidP="00F0680C">
      <w:r>
        <w:separator/>
      </w:r>
    </w:p>
  </w:endnote>
  <w:endnote w:type="continuationSeparator" w:id="0">
    <w:p w:rsidR="008D7619" w:rsidRDefault="008D7619" w:rsidP="00F068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es New Roma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um"/>
    <w:panose1 w:val="02010609060101010101"/>
    <w:charset w:val="86"/>
    <w:family w:val="modern"/>
    <w:pitch w:val="fixed"/>
    <w:sig w:usb0="800002BF" w:usb1="38CF7CFA" w:usb2="00000016" w:usb3="00000000" w:csb0="00040001" w:csb1="00000000"/>
  </w:font>
  <w:font w:name="方正小标宋简体">
    <w:altName w:val="黑体"/>
    <w:panose1 w:val="00000000000000000000"/>
    <w:charset w:val="86"/>
    <w:family w:val="auto"/>
    <w:notTrueType/>
    <w:pitch w:val="default"/>
    <w:sig w:usb0="00000001" w:usb1="080E0000" w:usb2="00000010" w:usb3="00000000" w:csb0="00040000" w:csb1="00000000"/>
  </w:font>
  <w:font w:name="华文楷体">
    <w:altName w:val="宋体"/>
    <w:panose1 w:val="00000000000000000000"/>
    <w:charset w:val="86"/>
    <w:family w:val="auto"/>
    <w:notTrueType/>
    <w:pitch w:val="default"/>
    <w:sig w:usb0="00000287" w:usb1="080E0000" w:usb2="00000010" w:usb3="00000000" w:csb0="0004009F" w:csb1="00000000"/>
  </w:font>
  <w:font w:name="仿宋_GB2312">
    <w:altName w:val="仿宋"/>
    <w:panose1 w:val="00000000000000000000"/>
    <w:charset w:val="86"/>
    <w:family w:val="moder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619" w:rsidRDefault="008D7619">
    <w:pPr>
      <w:pStyle w:val="Footer"/>
    </w:pPr>
    <w:r>
      <w:rPr>
        <w:noProof/>
      </w:rPr>
      <w:pict>
        <v:shapetype id="_x0000_t202" coordsize="21600,21600" o:spt="202" path="m,l,21600r21600,l21600,xe">
          <v:stroke joinstyle="miter"/>
          <v:path gradientshapeok="t" o:connecttype="rect"/>
        </v:shapetype>
        <v:shape id="Quad Arrow 3073" o:spid="_x0000_s2049" type="#_x0000_t202" style="position:absolute;margin-left:0;margin-top:0;width:2in;height:2in;z-index:25166028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8D7619" w:rsidRDefault="008D7619">
                <w:pPr>
                  <w:snapToGrid w:val="0"/>
                  <w:rPr>
                    <w:sz w:val="18"/>
                  </w:rPr>
                </w:pPr>
                <w:fldSimple w:instr=" PAGE  \* MERGEFORMAT ">
                  <w:r>
                    <w:rPr>
                      <w:noProof/>
                    </w:rPr>
                    <w:t>- 17 -</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7619" w:rsidRDefault="008D7619" w:rsidP="00F0680C">
      <w:r>
        <w:separator/>
      </w:r>
    </w:p>
  </w:footnote>
  <w:footnote w:type="continuationSeparator" w:id="0">
    <w:p w:rsidR="008D7619" w:rsidRDefault="008D7619" w:rsidP="00F0680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638B5D"/>
    <w:multiLevelType w:val="singleLevel"/>
    <w:tmpl w:val="2F638B5D"/>
    <w:lvl w:ilvl="0">
      <w:start w:val="1"/>
      <w:numFmt w:val="decimal"/>
      <w:lvlText w:val="%1."/>
      <w:lvlJc w:val="left"/>
      <w:pPr>
        <w:tabs>
          <w:tab w:val="left" w:pos="312"/>
        </w:tabs>
      </w:pPr>
      <w:rPr>
        <w:rFonts w:cs="Times New Roman"/>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cs="Times New Roman"/>
      </w:rPr>
    </w:lvl>
  </w:abstractNum>
  <w:abstractNum w:abstractNumId="2">
    <w:nsid w:val="6C90598E"/>
    <w:multiLevelType w:val="singleLevel"/>
    <w:tmpl w:val="6C90598E"/>
    <w:lvl w:ilvl="0">
      <w:start w:val="2"/>
      <w:numFmt w:val="chineseCounting"/>
      <w:suff w:val="nothing"/>
      <w:lvlText w:val="（%1）"/>
      <w:lvlJc w:val="left"/>
      <w:rPr>
        <w:rFonts w:cs="Times New Roman" w:hint="eastAsia"/>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420"/>
  <w:drawingGridVerticalSpacing w:val="156"/>
  <w:noPunctuationKerning/>
  <w:characterSpacingControl w:val="compressPunctuation"/>
  <w:noLineBreaksAfter w:lang="zh-CN" w:val="$([{£¥·‘“〈《「『【〔〖〝﹙﹛﹝＄（．［｛￡￥"/>
  <w:noLineBreaksBefore w:lang="zh-CN" w:val="!%),.:;&gt;?]}¢¨°·ˇˉ―‖’”…‰′″›℃∶、。〃〉》」』】〕〗〞︶︺︾﹀﹄﹚﹜﹞！＂％＇），．：；？］｀｜｝～￠"/>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NjYxNjA2YTVkODBmMTA4Y2Y2YjBiMjljNTM5NDRiYzQifQ=="/>
  </w:docVars>
  <w:rsids>
    <w:rsidRoot w:val="0EBD2122"/>
    <w:rsid w:val="000B0260"/>
    <w:rsid w:val="00256056"/>
    <w:rsid w:val="007E6C1F"/>
    <w:rsid w:val="008D7619"/>
    <w:rsid w:val="00956A93"/>
    <w:rsid w:val="009E575C"/>
    <w:rsid w:val="00AF167E"/>
    <w:rsid w:val="00AF566A"/>
    <w:rsid w:val="00B478EA"/>
    <w:rsid w:val="00B6553A"/>
    <w:rsid w:val="00BC6576"/>
    <w:rsid w:val="00CE06BA"/>
    <w:rsid w:val="00D659BB"/>
    <w:rsid w:val="00F0680C"/>
    <w:rsid w:val="00F11517"/>
    <w:rsid w:val="00F441CC"/>
    <w:rsid w:val="01B104CA"/>
    <w:rsid w:val="02106AB0"/>
    <w:rsid w:val="02B43A28"/>
    <w:rsid w:val="04133956"/>
    <w:rsid w:val="046F331E"/>
    <w:rsid w:val="05276553"/>
    <w:rsid w:val="071805CC"/>
    <w:rsid w:val="07956271"/>
    <w:rsid w:val="09721397"/>
    <w:rsid w:val="0A8D6DFB"/>
    <w:rsid w:val="0BB63BED"/>
    <w:rsid w:val="0EB97A43"/>
    <w:rsid w:val="0EBD2122"/>
    <w:rsid w:val="0F214EAE"/>
    <w:rsid w:val="11B71E6A"/>
    <w:rsid w:val="178A5BB1"/>
    <w:rsid w:val="1AAF0063"/>
    <w:rsid w:val="1BE140DE"/>
    <w:rsid w:val="24423B6B"/>
    <w:rsid w:val="248C197D"/>
    <w:rsid w:val="252959AF"/>
    <w:rsid w:val="277A6671"/>
    <w:rsid w:val="292D35B7"/>
    <w:rsid w:val="305B117B"/>
    <w:rsid w:val="323808A8"/>
    <w:rsid w:val="32417144"/>
    <w:rsid w:val="32817910"/>
    <w:rsid w:val="33EB6CFF"/>
    <w:rsid w:val="35A12947"/>
    <w:rsid w:val="37387040"/>
    <w:rsid w:val="3B625C0A"/>
    <w:rsid w:val="3CEE1963"/>
    <w:rsid w:val="3DE937B6"/>
    <w:rsid w:val="40E24D37"/>
    <w:rsid w:val="436B78D3"/>
    <w:rsid w:val="466D52C0"/>
    <w:rsid w:val="47061D29"/>
    <w:rsid w:val="4C9C27FE"/>
    <w:rsid w:val="5111263A"/>
    <w:rsid w:val="512260B4"/>
    <w:rsid w:val="52BD6ACB"/>
    <w:rsid w:val="532C2EE1"/>
    <w:rsid w:val="55537534"/>
    <w:rsid w:val="55975BB6"/>
    <w:rsid w:val="561A74F1"/>
    <w:rsid w:val="597244E8"/>
    <w:rsid w:val="59C421DD"/>
    <w:rsid w:val="5BAC10FB"/>
    <w:rsid w:val="5CA41F41"/>
    <w:rsid w:val="5EB71C30"/>
    <w:rsid w:val="64BF6510"/>
    <w:rsid w:val="66AF0CE5"/>
    <w:rsid w:val="6AC537CF"/>
    <w:rsid w:val="6C1C4DCD"/>
    <w:rsid w:val="6E5B14A6"/>
    <w:rsid w:val="70D34F28"/>
    <w:rsid w:val="711B255E"/>
    <w:rsid w:val="7188659F"/>
    <w:rsid w:val="76602757"/>
    <w:rsid w:val="77037727"/>
    <w:rsid w:val="7BB51E06"/>
    <w:rsid w:val="7C387F7C"/>
    <w:rsid w:val="7FE8342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Web)"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680C"/>
    <w:pPr>
      <w:widowControl w:val="0"/>
      <w:jc w:val="both"/>
    </w:pPr>
    <w:rPr>
      <w:rFonts w:ascii="Calibri" w:hAnsi="Calibri" w:cs="黑体"/>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0680C"/>
    <w:pPr>
      <w:tabs>
        <w:tab w:val="center" w:pos="4153"/>
        <w:tab w:val="right" w:pos="8306"/>
      </w:tabs>
      <w:snapToGrid w:val="0"/>
      <w:jc w:val="left"/>
    </w:pPr>
    <w:rPr>
      <w:sz w:val="18"/>
    </w:rPr>
  </w:style>
  <w:style w:type="character" w:customStyle="1" w:styleId="FooterChar">
    <w:name w:val="Footer Char"/>
    <w:basedOn w:val="DefaultParagraphFont"/>
    <w:link w:val="Footer"/>
    <w:uiPriority w:val="99"/>
    <w:semiHidden/>
    <w:rsid w:val="004D4AAF"/>
    <w:rPr>
      <w:rFonts w:ascii="Calibri" w:hAnsi="Calibri" w:cs="黑体"/>
      <w:sz w:val="18"/>
      <w:szCs w:val="18"/>
    </w:rPr>
  </w:style>
  <w:style w:type="paragraph" w:styleId="Header">
    <w:name w:val="header"/>
    <w:basedOn w:val="Normal"/>
    <w:link w:val="HeaderChar"/>
    <w:uiPriority w:val="99"/>
    <w:rsid w:val="00F0680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lang w:bidi="he-IL"/>
    </w:rPr>
  </w:style>
  <w:style w:type="character" w:customStyle="1" w:styleId="HeaderChar">
    <w:name w:val="Header Char"/>
    <w:basedOn w:val="DefaultParagraphFont"/>
    <w:link w:val="Header"/>
    <w:uiPriority w:val="99"/>
    <w:semiHidden/>
    <w:rsid w:val="004D4AAF"/>
    <w:rPr>
      <w:rFonts w:ascii="Calibri" w:hAnsi="Calibri" w:cs="黑体"/>
      <w:sz w:val="18"/>
      <w:szCs w:val="18"/>
    </w:rPr>
  </w:style>
  <w:style w:type="paragraph" w:styleId="NormalWeb">
    <w:name w:val="Normal (Web)"/>
    <w:basedOn w:val="Normal"/>
    <w:uiPriority w:val="99"/>
    <w:rsid w:val="00F0680C"/>
    <w:pPr>
      <w:spacing w:beforeAutospacing="1" w:afterAutospacing="1"/>
      <w:jc w:val="left"/>
    </w:pPr>
    <w:rPr>
      <w:rFonts w:cs="Times New Roman"/>
      <w:kern w:val="0"/>
      <w:sz w:val="24"/>
    </w:rPr>
  </w:style>
  <w:style w:type="character" w:styleId="Strong">
    <w:name w:val="Strong"/>
    <w:basedOn w:val="DefaultParagraphFont"/>
    <w:uiPriority w:val="99"/>
    <w:qFormat/>
    <w:rsid w:val="00F0680C"/>
    <w:rPr>
      <w:rFonts w:cs="Times New Roman"/>
      <w:b/>
      <w:lang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17</Pages>
  <Words>1515</Words>
  <Characters>8642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subject/>
  <dc:creator>欣欣大人</dc:creator>
  <cp:keywords/>
  <dc:description/>
  <cp:lastModifiedBy>Microsoft</cp:lastModifiedBy>
  <cp:revision>2</cp:revision>
  <cp:lastPrinted>2024-04-26T00:58:00Z</cp:lastPrinted>
  <dcterms:created xsi:type="dcterms:W3CDTF">2024-05-13T02:06:00Z</dcterms:created>
  <dcterms:modified xsi:type="dcterms:W3CDTF">2024-05-13T02:06:00Z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55A485D6A9C64D1DA8FCDAA4F07C6C93_13</vt:lpwstr>
  </property>
</Properties>
</file>