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_GB2312" w:hAnsi="楷体_GB2312" w:eastAsia="楷体_GB2312" w:cs="楷体_GB2312"/>
          <w:sz w:val="44"/>
          <w:szCs w:val="52"/>
        </w:rPr>
      </w:pPr>
    </w:p>
    <w:p>
      <w:r>
        <w:rPr>
          <w:sz w:val="21"/>
        </w:rPr>
        <mc:AlternateContent>
          <mc:Choice Requires="wps">
            <w:drawing>
              <wp:anchor distT="0" distB="0" distL="114300" distR="114300" simplePos="0" relativeHeight="251670528" behindDoc="0" locked="0" layoutInCell="1" allowOverlap="1">
                <wp:simplePos x="0" y="0"/>
                <wp:positionH relativeFrom="column">
                  <wp:posOffset>1412875</wp:posOffset>
                </wp:positionH>
                <wp:positionV relativeFrom="paragraph">
                  <wp:posOffset>7329170</wp:posOffset>
                </wp:positionV>
                <wp:extent cx="2571750" cy="676275"/>
                <wp:effectExtent l="0" t="0" r="0" b="0"/>
                <wp:wrapNone/>
                <wp:docPr id="14" name="文本框 14"/>
                <wp:cNvGraphicFramePr/>
                <a:graphic xmlns:a="http://schemas.openxmlformats.org/drawingml/2006/main">
                  <a:graphicData uri="http://schemas.microsoft.com/office/word/2010/wordprocessingShape">
                    <wps:wsp>
                      <wps:cNvSpPr txBox="1"/>
                      <wps:spPr>
                        <a:xfrm>
                          <a:off x="2385060" y="9057640"/>
                          <a:ext cx="2571750" cy="676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color w:val="auto"/>
                                <w:sz w:val="44"/>
                                <w:szCs w:val="44"/>
                                <w:lang w:val="en-US" w:eastAsia="zh-CN"/>
                              </w:rPr>
                            </w:pPr>
                            <w:r>
                              <w:rPr>
                                <w:rFonts w:hint="eastAsia" w:ascii="楷体" w:hAnsi="楷体" w:eastAsia="楷体" w:cs="楷体"/>
                                <w:sz w:val="44"/>
                                <w:szCs w:val="44"/>
                                <w:lang w:val="en-US" w:eastAsia="zh-CN"/>
                              </w:rPr>
                              <w:t>2021年10月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1.25pt;margin-top:577.1pt;height:53.25pt;width:202.5pt;z-index:251670528;mso-width-relative:page;mso-height-relative:page;" filled="f" stroked="f" coordsize="21600,21600" o:gfxdata="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X2dXz2wAAAA0BAAAPAAAAAAAAAAEA&#10;IAAAACIAAABkcnMvZG93bnJldi54bWxQSwECFAAUAAAACACHTuJA65caokUCAAB0BAAADgAAAAAA&#10;AAABACAAAAAqAQAAZHJzL2Uyb0RvYy54bWxQSwUGAAAAAAYABgBZAQAA4QUAAAAA&#10;">
                <v:fill on="f" focussize="0,0"/>
                <v:stroke on="f" weight="0.5pt"/>
                <v:imagedata o:title=""/>
                <o:lock v:ext="edit" aspectratio="f"/>
                <v:textbox>
                  <w:txbxContent>
                    <w:p>
                      <w:pPr>
                        <w:jc w:val="center"/>
                        <w:rPr>
                          <w:rFonts w:hint="eastAsia" w:ascii="楷体" w:hAnsi="楷体" w:eastAsia="楷体" w:cs="楷体"/>
                          <w:color w:val="auto"/>
                          <w:sz w:val="44"/>
                          <w:szCs w:val="44"/>
                          <w:lang w:val="en-US" w:eastAsia="zh-CN"/>
                        </w:rPr>
                      </w:pPr>
                      <w:r>
                        <w:rPr>
                          <w:rFonts w:hint="eastAsia" w:ascii="楷体" w:hAnsi="楷体" w:eastAsia="楷体" w:cs="楷体"/>
                          <w:sz w:val="44"/>
                          <w:szCs w:val="44"/>
                          <w:lang w:val="en-US" w:eastAsia="zh-CN"/>
                        </w:rPr>
                        <w:t>2021年10月</w:t>
                      </w:r>
                    </w:p>
                  </w:txbxContent>
                </v:textbox>
              </v:shape>
            </w:pict>
          </mc:Fallback>
        </mc:AlternateContent>
      </w:r>
      <w:r>
        <w:drawing>
          <wp:anchor distT="0" distB="0" distL="114300" distR="114300" simplePos="0" relativeHeight="251671552" behindDoc="1" locked="0" layoutInCell="1" allowOverlap="1">
            <wp:simplePos x="0" y="0"/>
            <wp:positionH relativeFrom="column">
              <wp:posOffset>-997585</wp:posOffset>
            </wp:positionH>
            <wp:positionV relativeFrom="paragraph">
              <wp:posOffset>-1360170</wp:posOffset>
            </wp:positionV>
            <wp:extent cx="7592060" cy="10739755"/>
            <wp:effectExtent l="0" t="0" r="8890" b="4445"/>
            <wp:wrapNone/>
            <wp:docPr id="5" name="图片 5"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决算封面无"/>
                    <pic:cNvPicPr>
                      <a:picLocks noChangeAspect="1"/>
                    </pic:cNvPicPr>
                  </pic:nvPicPr>
                  <pic:blipFill>
                    <a:blip r:embed="rId12"/>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石家庄市鹿泉区人力资源和社会保障局（汇总）</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default" w:ascii="黑体" w:hAnsi="黑体" w:eastAsia="黑体" w:cs="黑体"/>
          <w:sz w:val="72"/>
          <w:szCs w:val="96"/>
          <w:lang w:val="en-US" w:eastAsia="zh-CN"/>
        </w:rPr>
      </w:pPr>
      <w:r>
        <w:rPr>
          <w:rFonts w:hint="eastAsia" w:ascii="黑体" w:hAnsi="黑体" w:eastAsia="黑体" w:cs="黑体"/>
          <w:sz w:val="72"/>
          <w:szCs w:val="96"/>
          <w:lang w:val="en-US" w:eastAsia="zh-CN"/>
        </w:rPr>
        <w:t>石家庄市鹿泉区人力资源和社会保障局（汇总）</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first"/>
          <w:foot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6" w:type="first"/>
          <w:footerReference r:id="rId8" w:type="first"/>
          <w:headerReference r:id="rId5" w:type="default"/>
          <w:footerReference r:id="rId7"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1312;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（一）贯彻执行国家有关人力资源和社会保障的法律法规和政策，拟订全区人力资源和社会保障事业发展规划。</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（二）拟订人力资源市场发展规划和人力资源服务业发展、人力资源流动政策，促进人力资源合理流动、有效配置。按照管理权限拟订人员（不含公务员）调配政策和特殊人员安置政策。</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（五）负责就业、失业和相关社会保险基金预测预警和信息引导，拟订应对预案，实施预防、调节和控制，保持就业形势稳定和社会保险基金总体收支平衡。</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（十一）负责农民工工作，对政策落实情况进行监督检查，协调解决重点难点问题，维护农民工合法权益。</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（十二）负责人力资源和社会保障对外交流与合作工作。</w:t>
      </w:r>
    </w:p>
    <w:p>
      <w:pPr>
        <w:keepNext/>
        <w:keepLines/>
        <w:spacing w:line="580" w:lineRule="exact"/>
        <w:jc w:val="left"/>
        <w:outlineLvl w:val="0"/>
        <w:rPr>
          <w:rFonts w:hint="eastAsia" w:ascii="仿宋_GB2312" w:eastAsia="仿宋_GB2312" w:cs="ArialUnicodeMS"/>
          <w:kern w:val="0"/>
          <w:sz w:val="32"/>
          <w:szCs w:val="32"/>
          <w:highlight w:val="none"/>
          <w:lang w:eastAsia="zh-CN"/>
        </w:rPr>
      </w:pPr>
      <w:r>
        <w:rPr>
          <w:rFonts w:hint="eastAsia" w:ascii="仿宋_GB2312" w:eastAsia="仿宋_GB2312" w:cs="ArialUnicodeMS"/>
          <w:kern w:val="0"/>
          <w:sz w:val="32"/>
          <w:szCs w:val="32"/>
          <w:highlight w:val="none"/>
        </w:rPr>
        <w:t>（十三）完成区委、区政府交办的其他任务</w:t>
      </w:r>
      <w:r>
        <w:rPr>
          <w:rFonts w:hint="eastAsia" w:ascii="仿宋_GB2312" w:eastAsia="仿宋_GB2312" w:cs="ArialUnicodeMS"/>
          <w:kern w:val="0"/>
          <w:sz w:val="32"/>
          <w:szCs w:val="32"/>
          <w:highlight w:val="none"/>
          <w:lang w:eastAsia="zh-CN"/>
        </w:rPr>
        <w:t>。</w:t>
      </w:r>
    </w:p>
    <w:p>
      <w:pPr>
        <w:keepNext/>
        <w:keepLines/>
        <w:spacing w:line="580" w:lineRule="exact"/>
        <w:jc w:val="left"/>
        <w:outlineLvl w:val="0"/>
        <w:rPr>
          <w:rFonts w:hint="eastAsia" w:ascii="仿宋_GB2312" w:eastAsia="仿宋_GB2312" w:cs="ArialUnicodeMS"/>
          <w:kern w:val="0"/>
          <w:sz w:val="32"/>
          <w:szCs w:val="32"/>
          <w:highlight w:val="none"/>
        </w:rPr>
      </w:pPr>
    </w:p>
    <w:p>
      <w:pPr>
        <w:keepNext/>
        <w:keepLines/>
        <w:spacing w:line="580" w:lineRule="exact"/>
        <w:jc w:val="left"/>
        <w:outlineLvl w:val="0"/>
        <w:rPr>
          <w:rFonts w:hint="eastAsia" w:ascii="仿宋_GB2312" w:eastAsia="仿宋_GB2312" w:cs="ArialUnicodeMS"/>
          <w:kern w:val="0"/>
          <w:sz w:val="32"/>
          <w:szCs w:val="32"/>
          <w:highlight w:val="none"/>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6"/>
        <w:tblpPr w:leftFromText="180" w:rightFromText="180" w:vertAnchor="text" w:horzAnchor="page" w:tblpX="1689" w:tblpY="1429"/>
        <w:tblOverlap w:val="never"/>
        <w:tblW w:w="8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vAlign w:val="top"/>
          </w:tcPr>
          <w:p>
            <w:pPr>
              <w:spacing w:line="56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rPr>
              <w:t>1</w:t>
            </w:r>
          </w:p>
        </w:tc>
        <w:tc>
          <w:tcPr>
            <w:tcW w:w="3239" w:type="dxa"/>
            <w:vAlign w:val="top"/>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石家庄市鹿泉区人力资源和社会保障局</w:t>
            </w:r>
            <w:r>
              <w:rPr>
                <w:rFonts w:hint="eastAsia" w:ascii="仿宋_GB2312" w:hAnsi="Calibri" w:eastAsia="仿宋_GB2312" w:cs="ArialUnicodeMS"/>
                <w:kern w:val="0"/>
                <w:sz w:val="28"/>
                <w:szCs w:val="28"/>
              </w:rPr>
              <w:t>(本级)</w:t>
            </w:r>
          </w:p>
        </w:tc>
        <w:tc>
          <w:tcPr>
            <w:tcW w:w="2272"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479"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vAlign w:val="top"/>
          </w:tcPr>
          <w:p>
            <w:pPr>
              <w:spacing w:line="56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rPr>
              <w:t>2</w:t>
            </w:r>
          </w:p>
        </w:tc>
        <w:tc>
          <w:tcPr>
            <w:tcW w:w="3239" w:type="dxa"/>
            <w:vAlign w:val="top"/>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石家庄市鹿泉区农村社会养老保险事业管理处</w:t>
            </w:r>
          </w:p>
        </w:tc>
        <w:tc>
          <w:tcPr>
            <w:tcW w:w="2272"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479"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vAlign w:val="top"/>
          </w:tcPr>
          <w:p>
            <w:pPr>
              <w:spacing w:line="56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rPr>
              <w:t>3</w:t>
            </w:r>
          </w:p>
        </w:tc>
        <w:tc>
          <w:tcPr>
            <w:tcW w:w="3239" w:type="dxa"/>
            <w:vAlign w:val="top"/>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石家庄市鹿泉区社会保险中心</w:t>
            </w:r>
          </w:p>
        </w:tc>
        <w:tc>
          <w:tcPr>
            <w:tcW w:w="2272"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479" w:type="dxa"/>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vAlign w:val="top"/>
          </w:tcPr>
          <w:p>
            <w:pPr>
              <w:spacing w:line="56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lang w:val="en-US" w:eastAsia="zh-CN"/>
              </w:rPr>
              <w:t>4</w:t>
            </w:r>
          </w:p>
        </w:tc>
        <w:tc>
          <w:tcPr>
            <w:tcW w:w="3239" w:type="dxa"/>
            <w:vAlign w:val="top"/>
          </w:tcPr>
          <w:p>
            <w:pPr>
              <w:spacing w:line="560" w:lineRule="exact"/>
              <w:rPr>
                <w:rFonts w:hint="default" w:ascii="仿宋_GB2312" w:hAnsi="仿宋_GB2312" w:eastAsia="仿宋_GB2312" w:cs="仿宋_GB2312"/>
                <w:kern w:val="0"/>
                <w:sz w:val="21"/>
                <w:szCs w:val="21"/>
                <w:lang w:val="en-US" w:eastAsia="zh-CN"/>
              </w:rPr>
            </w:pPr>
            <w:r>
              <w:rPr>
                <w:rFonts w:hint="eastAsia" w:ascii="仿宋_GB2312" w:hAnsi="Calibri" w:eastAsia="仿宋_GB2312" w:cs="ArialUnicodeMS"/>
                <w:kern w:val="0"/>
                <w:sz w:val="28"/>
                <w:szCs w:val="28"/>
                <w:lang w:eastAsia="zh-CN"/>
              </w:rPr>
              <w:t>石家庄市鹿泉区就业服务中心</w:t>
            </w:r>
          </w:p>
        </w:tc>
        <w:tc>
          <w:tcPr>
            <w:tcW w:w="2272" w:type="dxa"/>
            <w:vAlign w:val="top"/>
          </w:tcPr>
          <w:p>
            <w:pPr>
              <w:spacing w:line="56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lang w:eastAsia="zh-CN"/>
              </w:rPr>
              <w:t>财政补助事业单位</w:t>
            </w:r>
          </w:p>
        </w:tc>
        <w:tc>
          <w:tcPr>
            <w:tcW w:w="2479" w:type="dxa"/>
            <w:vAlign w:val="top"/>
          </w:tcPr>
          <w:p>
            <w:pPr>
              <w:spacing w:line="560" w:lineRule="exact"/>
              <w:jc w:val="center"/>
              <w:rPr>
                <w:rFonts w:hint="eastAsia" w:ascii="仿宋_GB2312" w:hAnsi="仿宋_GB2312" w:eastAsia="仿宋_GB2312" w:cs="仿宋_GB2312"/>
                <w:kern w:val="2"/>
                <w:sz w:val="21"/>
                <w:szCs w:val="21"/>
                <w:lang w:val="en-US" w:eastAsia="zh-CN" w:bidi="ar-SA"/>
              </w:rPr>
            </w:pPr>
            <w:r>
              <w:rPr>
                <w:rFonts w:hint="eastAsia" w:ascii="仿宋_GB2312" w:hAnsi="Calibri" w:eastAsia="仿宋_GB2312" w:cs="ArialUnicodeMS"/>
                <w:kern w:val="0"/>
                <w:sz w:val="28"/>
                <w:szCs w:val="28"/>
                <w:lang w:eastAsia="zh-CN"/>
              </w:rPr>
              <w:t>财政性资金基本保证</w:t>
            </w:r>
          </w:p>
        </w:tc>
      </w:tr>
    </w:tbl>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本部门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4</w:t>
      </w:r>
      <w:r>
        <w:rPr>
          <w:rFonts w:hint="eastAsia" w:ascii="仿宋_GB2312" w:hAnsi="Calibri" w:eastAsia="仿宋_GB2312" w:cs="Arial Black"/>
          <w:kern w:val="0"/>
          <w:sz w:val="32"/>
          <w:szCs w:val="32"/>
        </w:rPr>
        <w:t>个，具体情况如下：</w:t>
      </w:r>
    </w:p>
    <w:p/>
    <w:p>
      <w:pPr>
        <w:widowControl/>
        <w:spacing w:after="160" w:line="580" w:lineRule="exact"/>
        <w:ind w:firstLine="1440" w:firstLineChars="200"/>
        <w:rPr>
          <w:rFonts w:ascii="Times New Roman" w:hAnsi="Times New Roman" w:eastAsia="黑体" w:cs="Times New Roman"/>
          <w:sz w:val="32"/>
          <w:szCs w:val="32"/>
        </w:rPr>
        <w:sectPr>
          <w:headerReference r:id="rId9"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28522.74</w:t>
      </w:r>
      <w:r>
        <w:rPr>
          <w:rFonts w:hint="eastAsia" w:ascii="仿宋_GB2312" w:hAnsi="Times New Roman" w:eastAsia="仿宋_GB2312" w:cs="Wingdings"/>
          <w:sz w:val="32"/>
          <w:szCs w:val="32"/>
        </w:rPr>
        <w:t>万元。与2019年度决算相比，收支</w:t>
      </w:r>
      <w:r>
        <w:rPr>
          <w:rFonts w:hint="eastAsia" w:ascii="仿宋_GB2312" w:hAnsi="Times New Roman" w:eastAsia="仿宋_GB2312" w:cs="Wingdings"/>
          <w:sz w:val="32"/>
          <w:szCs w:val="32"/>
          <w:lang w:eastAsia="zh-CN"/>
        </w:rPr>
        <w:t>各增加</w:t>
      </w:r>
      <w:r>
        <w:rPr>
          <w:rFonts w:hint="eastAsia" w:ascii="仿宋_GB2312" w:hAnsi="Times New Roman" w:eastAsia="仿宋_GB2312" w:cs="Wingdings"/>
          <w:sz w:val="32"/>
          <w:szCs w:val="32"/>
          <w:lang w:val="en-US" w:eastAsia="zh-CN"/>
        </w:rPr>
        <w:t>4468.75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上升</w:t>
      </w:r>
      <w:r>
        <w:rPr>
          <w:rFonts w:hint="eastAsia" w:ascii="仿宋_GB2312" w:hAnsi="Times New Roman" w:eastAsia="仿宋_GB2312" w:cs="Wingdings"/>
          <w:sz w:val="32"/>
          <w:szCs w:val="32"/>
          <w:lang w:val="en-US" w:eastAsia="zh-CN"/>
        </w:rPr>
        <w:t>18.58%（如图1）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项目资金增加、人员增资等。</w:t>
      </w:r>
    </w:p>
    <w:p>
      <w:pPr>
        <w:adjustRightInd w:val="0"/>
        <w:snapToGrid w:val="0"/>
        <w:spacing w:line="600" w:lineRule="exact"/>
        <w:rPr>
          <w:rFonts w:ascii="仿宋_GB2312" w:hAnsi="Times New Roman" w:eastAsia="仿宋_GB2312" w:cs="Wingdings"/>
          <w:sz w:val="32"/>
          <w:szCs w:val="32"/>
        </w:rPr>
      </w:pPr>
    </w:p>
    <w:p>
      <w:pPr>
        <w:adjustRightInd w:val="0"/>
        <w:snapToGrid w:val="0"/>
        <w:spacing w:line="240" w:lineRule="auto"/>
        <w:rPr>
          <w:rFonts w:hint="eastAsia" w:ascii="仿宋_GB2312" w:hAnsi="Times New Roman" w:eastAsia="仿宋_GB2312" w:cs="Wingdings"/>
          <w:sz w:val="18"/>
          <w:szCs w:val="18"/>
          <w:lang w:eastAsia="zh-CN"/>
        </w:rPr>
      </w:pPr>
      <w:r>
        <w:rPr>
          <w:rFonts w:hint="eastAsia" w:ascii="仿宋_GB2312" w:hAnsi="Times New Roman" w:eastAsia="仿宋_GB2312" w:cs="Wingdings"/>
          <w:sz w:val="18"/>
          <w:szCs w:val="18"/>
          <w:lang w:eastAsia="zh-CN"/>
        </w:rPr>
        <w:drawing>
          <wp:inline distT="0" distB="0" distL="114300" distR="114300">
            <wp:extent cx="5545455" cy="3333115"/>
            <wp:effectExtent l="0" t="0" r="17145" b="635"/>
            <wp:docPr id="9" name="图片 9" descr="图片1-汇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1-汇总"/>
                    <pic:cNvPicPr>
                      <a:picLocks noChangeAspect="1"/>
                    </pic:cNvPicPr>
                  </pic:nvPicPr>
                  <pic:blipFill>
                    <a:blip r:embed="rId14"/>
                    <a:stretch>
                      <a:fillRect/>
                    </a:stretch>
                  </pic:blipFill>
                  <pic:spPr>
                    <a:xfrm>
                      <a:off x="0" y="0"/>
                      <a:ext cx="5545455" cy="3333115"/>
                    </a:xfrm>
                    <a:prstGeom prst="rect">
                      <a:avLst/>
                    </a:prstGeom>
                  </pic:spPr>
                </pic:pic>
              </a:graphicData>
            </a:graphic>
          </wp:inline>
        </w:drawing>
      </w:r>
    </w:p>
    <w:p>
      <w:pPr>
        <w:rPr>
          <w:rFonts w:hint="eastAsia" w:ascii="黑体" w:hAnsi="Calibri" w:eastAsia="黑体" w:cs="Times New Roman"/>
          <w:sz w:val="32"/>
          <w:szCs w:val="32"/>
        </w:rPr>
      </w:pPr>
      <w:r>
        <w:rPr>
          <w:sz w:val="32"/>
        </w:rPr>
        <mc:AlternateContent>
          <mc:Choice Requires="wpg">
            <w:drawing>
              <wp:anchor distT="0" distB="0" distL="114300" distR="114300" simplePos="0" relativeHeight="251669504" behindDoc="0" locked="0" layoutInCell="1" allowOverlap="1">
                <wp:simplePos x="0" y="0"/>
                <wp:positionH relativeFrom="column">
                  <wp:posOffset>354330</wp:posOffset>
                </wp:positionH>
                <wp:positionV relativeFrom="paragraph">
                  <wp:posOffset>73025</wp:posOffset>
                </wp:positionV>
                <wp:extent cx="5219700" cy="495300"/>
                <wp:effectExtent l="0" t="0" r="0" b="0"/>
                <wp:wrapNone/>
                <wp:docPr id="34" name="组合 34"/>
                <wp:cNvGraphicFramePr/>
                <a:graphic xmlns:a="http://schemas.openxmlformats.org/drawingml/2006/main">
                  <a:graphicData uri="http://schemas.microsoft.com/office/word/2010/wordprocessingGroup">
                    <wpg:wgp>
                      <wpg:cNvGrpSpPr/>
                      <wpg:grpSpPr>
                        <a:xfrm>
                          <a:off x="0" y="0"/>
                          <a:ext cx="5219700" cy="495300"/>
                          <a:chOff x="6793" y="130167"/>
                          <a:chExt cx="8220" cy="780"/>
                        </a:xfrm>
                      </wpg:grpSpPr>
                      <wpg:graphicFrame>
                        <wpg:cNvPr id="27" name="图表 27"/>
                        <wpg:cNvFrPr/>
                        <wpg:xfrm>
                          <a:off x="6793" y="130167"/>
                          <a:ext cx="8220" cy="780"/>
                        </wpg:xfrm>
                        <a:graphic>
                          <a:graphicData uri="http://schemas.openxmlformats.org/drawingml/2006/chart">
                            <c:chart xmlns:c="http://schemas.openxmlformats.org/drawingml/2006/chart" xmlns:r="http://schemas.openxmlformats.org/officeDocument/2006/relationships" r:id="rId15"/>
                          </a:graphicData>
                        </a:graphic>
                      </wpg:graphicFrame>
                      <wps:wsp>
                        <wps:cNvPr id="33" name="文本框 33"/>
                        <wps:cNvSpPr txBox="1"/>
                        <wps:spPr>
                          <a:xfrm>
                            <a:off x="7508" y="130207"/>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5.75pt;height:39pt;width:411pt;z-index:251669504;mso-width-relative:page;mso-height-relative:page;" coordorigin="6793,130167" coordsize="8220,780" o:gfxdata="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">
                <o:lock v:ext="edit" aspectratio="f"/>
                <v:rect id="_x0000_s1026" o:spid="_x0000_s1026" o:spt="75" style="position:absolute;left:6793;top:130167;height:780;width:8220;" coordsize="21600,21600" o:gfxdata="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a0I528AAAA&#10;2wAAAA8AAAAAAAAAAQAgAAAAIgAAAGRycy9kb3ducmV2LnhtbFBLAQIUABQAAAAIAIdO4kAzLwWe&#10;OwAAADkAAAAQAAAAAAAAAAEAIAAAAAsBAABkcnMvc2hhcGV4bWwueG1sUEsFBgAAAAAGAAYAWwEA&#10;ALUDAAAAAA==&#10;">
                  <v:imagedata r:id="rId16" o:title=""/>
                  <o:lock v:ext="edit"/>
                </v:rect>
                <v:shape id="_x0000_s1026" o:spid="_x0000_s1026" o:spt="202" type="#_x0000_t202" style="position:absolute;left:7508;top:130207;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28142.78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均为一般公共预算财政拨款。</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w:t>
      </w:r>
      <w:r>
        <w:rPr>
          <w:rFonts w:hint="eastAsia" w:ascii="仿宋_GB2312" w:hAnsi="Times New Roman" w:eastAsia="仿宋_GB2312" w:cs="Wingdings"/>
          <w:color w:val="auto"/>
          <w:sz w:val="32"/>
          <w:szCs w:val="32"/>
          <w:lang w:val="en-US" w:eastAsia="zh-CN"/>
        </w:rPr>
        <w:t>一般公共服务支出1328.17，占4.72%；</w:t>
      </w:r>
      <w:r>
        <w:rPr>
          <w:rFonts w:hint="eastAsia" w:ascii="仿宋_GB2312" w:hAnsi="Times New Roman" w:eastAsia="仿宋_GB2312" w:cs="Wingdings"/>
          <w:sz w:val="32"/>
          <w:szCs w:val="32"/>
          <w:lang w:val="en-US" w:eastAsia="zh-CN"/>
        </w:rPr>
        <w:t>社会保障和就业支出21419.57万元，占76.11%；卫生健康支出143.51万元，占0.51%；节能环保支出73万元，占0.26%；住房保障支出183.92万元，占0.65%；国有资本经营预算支出9.72万元，占0.03%；城乡社区支出4923.39万元，占17.49%；农林水支出61.5万元，占0.22%（见图2）。</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240" w:lineRule="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inline distT="0" distB="0" distL="114300" distR="114300">
            <wp:extent cx="5602605" cy="3367405"/>
            <wp:effectExtent l="0" t="0" r="17145" b="4445"/>
            <wp:docPr id="11" name="图片 11" descr="图片2-汇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图片2-汇总"/>
                    <pic:cNvPicPr>
                      <a:picLocks noChangeAspect="1"/>
                    </pic:cNvPicPr>
                  </pic:nvPicPr>
                  <pic:blipFill>
                    <a:blip r:embed="rId17"/>
                    <a:stretch>
                      <a:fillRect/>
                    </a:stretch>
                  </pic:blipFill>
                  <pic:spPr>
                    <a:xfrm>
                      <a:off x="0" y="0"/>
                      <a:ext cx="5602605" cy="3367405"/>
                    </a:xfrm>
                    <a:prstGeom prst="rect">
                      <a:avLst/>
                    </a:prstGeom>
                  </pic:spPr>
                </pic:pic>
              </a:graphicData>
            </a:graphic>
          </wp:inline>
        </w:drawing>
      </w:r>
    </w:p>
    <w:p>
      <w:pPr>
        <w:snapToGrid w:val="0"/>
        <w:spacing w:line="600" w:lineRule="exact"/>
        <w:ind w:firstLine="640" w:firstLineChars="200"/>
        <w:outlineLvl w:val="1"/>
        <w:rPr>
          <w:rFonts w:ascii="黑体" w:hAnsi="Calibri" w:eastAsia="黑体" w:cs="Times New Roman"/>
          <w:sz w:val="32"/>
          <w:szCs w:val="32"/>
        </w:rPr>
      </w:pPr>
      <w:r>
        <w:rPr>
          <w:sz w:val="32"/>
        </w:rPr>
        <mc:AlternateContent>
          <mc:Choice Requires="wps">
            <w:drawing>
              <wp:anchor distT="0" distB="0" distL="114300" distR="114300" simplePos="0" relativeHeight="251668480" behindDoc="0" locked="0" layoutInCell="1" allowOverlap="1">
                <wp:simplePos x="0" y="0"/>
                <wp:positionH relativeFrom="column">
                  <wp:posOffset>704850</wp:posOffset>
                </wp:positionH>
                <wp:positionV relativeFrom="paragraph">
                  <wp:posOffset>180340</wp:posOffset>
                </wp:positionV>
                <wp:extent cx="4286885" cy="407035"/>
                <wp:effectExtent l="0" t="0" r="18415" b="12065"/>
                <wp:wrapNone/>
                <wp:docPr id="20" name="文本框 20"/>
                <wp:cNvGraphicFramePr/>
                <a:graphic xmlns:a="http://schemas.openxmlformats.org/drawingml/2006/main">
                  <a:graphicData uri="http://schemas.microsoft.com/office/word/2010/wordprocessingShape">
                    <wps:wsp>
                      <wps:cNvSpPr txBox="1"/>
                      <wps:spPr>
                        <a:xfrm>
                          <a:off x="2305685" y="5932170"/>
                          <a:ext cx="4286885" cy="4070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5.5pt;margin-top:14.2pt;height:32.05pt;width:337.55pt;z-index:251668480;mso-width-relative:page;mso-height-relative:page;" fillcolor="#FFFFFF" filled="t" stroked="f" coordsize="21600,21600" o:gfxdata="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MrTJstUAAAAJAQAADwAAAAAAAAABACAAAAAiAAAAZHJzL2Rvd25yZXYueG1sUEsBAhQAFAAAAAgA&#10;h07iQNpJerphAgAAqwQAAA4AAAAAAAAAAQAgAAAAJAEAAGRycy9lMm9Eb2MueG1sUEsFBgAAAAAG&#10;AAYAWQEAAPcF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28350.86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3198.74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全部支出的11.28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其中人员经费支出2489.88万元，占8.78%，公用经费支出708.86万元，占2.5%；</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25152.12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88.72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全部为行政事业类项目支出（见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adjustRightInd w:val="0"/>
        <w:snapToGrid w:val="0"/>
        <w:spacing w:line="240" w:lineRule="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inline distT="0" distB="0" distL="114300" distR="114300">
            <wp:extent cx="5574665" cy="3350895"/>
            <wp:effectExtent l="0" t="0" r="6985" b="1905"/>
            <wp:docPr id="10" name="图片 10" descr="汇总-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汇总-图片3"/>
                    <pic:cNvPicPr>
                      <a:picLocks noChangeAspect="1"/>
                    </pic:cNvPicPr>
                  </pic:nvPicPr>
                  <pic:blipFill>
                    <a:blip r:embed="rId18"/>
                    <a:stretch>
                      <a:fillRect/>
                    </a:stretch>
                  </pic:blipFill>
                  <pic:spPr>
                    <a:xfrm>
                      <a:off x="0" y="0"/>
                      <a:ext cx="5574665" cy="3350895"/>
                    </a:xfrm>
                    <a:prstGeom prst="rect">
                      <a:avLst/>
                    </a:prstGeom>
                  </pic:spPr>
                </pic:pic>
              </a:graphicData>
            </a:graphic>
          </wp:inline>
        </w:drawing>
      </w:r>
    </w:p>
    <w:p>
      <w:pPr>
        <w:adjustRightInd w:val="0"/>
        <w:snapToGrid w:val="0"/>
        <w:spacing w:line="600" w:lineRule="exact"/>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4384" behindDoc="1" locked="0" layoutInCell="1" allowOverlap="1">
                <wp:simplePos x="0" y="0"/>
                <wp:positionH relativeFrom="column">
                  <wp:posOffset>777875</wp:posOffset>
                </wp:positionH>
                <wp:positionV relativeFrom="paragraph">
                  <wp:posOffset>95250</wp:posOffset>
                </wp:positionV>
                <wp:extent cx="4209415" cy="390525"/>
                <wp:effectExtent l="0" t="0" r="12065" b="5715"/>
                <wp:wrapNone/>
                <wp:docPr id="24" name="文本框 24"/>
                <wp:cNvGraphicFramePr/>
                <a:graphic xmlns:a="http://schemas.openxmlformats.org/drawingml/2006/main">
                  <a:graphicData uri="http://schemas.microsoft.com/office/word/2010/wordprocessingShape">
                    <wps:wsp>
                      <wps:cNvSpPr txBox="1"/>
                      <wps:spPr>
                        <a:xfrm>
                          <a:off x="1750060" y="904748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25pt;margin-top:7.5pt;height:30.75pt;width:331.45pt;z-index:-251652096;mso-width-relative:page;mso-height-relative:page;" fillcolor="#FFFFFF" filled="t" stroked="f" coordsize="21600,21600" o:gfxdata="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Ac&#10;m1xY1AAAAAkBAAAPAAAAAAAAAAEAIAAAACIAAABkcnMvZG93bnJldi54bWxQSwECFAAUAAAACACH&#10;TuJATiyG0mECAACrBAAADgAAAAAAAAABACAAAAAjAQAAZHJzL2Uyb0RvYy54bWxQSwUGAAAAAAYA&#10;BgBZAQAA9g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2020年度形成的财政拨款收支为一般公共预算财政拨款</w:t>
      </w:r>
      <w:r>
        <w:rPr>
          <w:rFonts w:hint="eastAsia" w:ascii="仿宋_GB2312" w:hAnsi="Times New Roman" w:eastAsia="仿宋_GB2312" w:cs="Wingdings"/>
          <w:sz w:val="32"/>
          <w:szCs w:val="32"/>
          <w:lang w:eastAsia="zh-CN"/>
        </w:rPr>
        <w:t>收入</w:t>
      </w:r>
      <w:r>
        <w:rPr>
          <w:rFonts w:hint="eastAsia" w:ascii="仿宋_GB2312" w:hAnsi="Times New Roman" w:eastAsia="仿宋_GB2312" w:cs="Wingdings"/>
          <w:sz w:val="32"/>
          <w:szCs w:val="32"/>
          <w:lang w:val="en-US" w:eastAsia="zh-CN"/>
        </w:rPr>
        <w:t>23209.67万元</w:t>
      </w:r>
      <w:r>
        <w:rPr>
          <w:rFonts w:hint="eastAsia" w:ascii="仿宋_GB2312" w:hAnsi="Times New Roman" w:eastAsia="仿宋_GB2312" w:cs="Wingdings"/>
          <w:sz w:val="32"/>
          <w:szCs w:val="32"/>
          <w:lang w:eastAsia="zh-CN"/>
        </w:rPr>
        <w:t>、政府性基金预算财政拨款收入</w:t>
      </w:r>
      <w:r>
        <w:rPr>
          <w:rFonts w:hint="eastAsia" w:ascii="仿宋_GB2312" w:hAnsi="Times New Roman" w:eastAsia="仿宋_GB2312" w:cs="Wingdings"/>
          <w:sz w:val="32"/>
          <w:szCs w:val="32"/>
          <w:lang w:val="en-US" w:eastAsia="zh-CN"/>
        </w:rPr>
        <w:t>4923.39万元</w:t>
      </w:r>
      <w:r>
        <w:rPr>
          <w:rFonts w:hint="eastAsia" w:ascii="仿宋_GB2312" w:hAnsi="Times New Roman" w:eastAsia="仿宋_GB2312" w:cs="Wingdings"/>
          <w:sz w:val="32"/>
          <w:szCs w:val="32"/>
          <w:lang w:eastAsia="zh-CN"/>
        </w:rPr>
        <w:t>、国有资本经营预算财政拨款收入</w:t>
      </w:r>
      <w:r>
        <w:rPr>
          <w:rFonts w:hint="eastAsia" w:ascii="仿宋_GB2312" w:hAnsi="Times New Roman" w:eastAsia="仿宋_GB2312" w:cs="Wingdings"/>
          <w:sz w:val="32"/>
          <w:szCs w:val="32"/>
          <w:lang w:val="en-US" w:eastAsia="zh-CN"/>
        </w:rPr>
        <w:t>9.72万元</w:t>
      </w:r>
      <w:r>
        <w:rPr>
          <w:rFonts w:hint="eastAsia" w:ascii="仿宋_GB2312" w:hAnsi="Times New Roman" w:eastAsia="仿宋_GB2312" w:cs="Wingdings"/>
          <w:sz w:val="32"/>
          <w:szCs w:val="32"/>
        </w:rPr>
        <w:t>，本年收入</w:t>
      </w:r>
      <w:r>
        <w:rPr>
          <w:rFonts w:hint="eastAsia" w:ascii="仿宋_GB2312" w:hAnsi="Times New Roman" w:eastAsia="仿宋_GB2312" w:cs="Wingdings"/>
          <w:sz w:val="32"/>
          <w:szCs w:val="32"/>
          <w:lang w:eastAsia="zh-CN"/>
        </w:rPr>
        <w:t>合计</w:t>
      </w:r>
      <w:r>
        <w:rPr>
          <w:rFonts w:hint="eastAsia" w:ascii="仿宋_GB2312" w:hAnsi="Times New Roman" w:eastAsia="仿宋_GB2312" w:cs="Wingdings"/>
          <w:sz w:val="32"/>
          <w:szCs w:val="32"/>
          <w:lang w:val="en-US" w:eastAsia="zh-CN"/>
        </w:rPr>
        <w:t>28142.78</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增加4788.54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上升20.5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28350.86</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增加4711.85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上升19.93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收支增加</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项目资金增加、人员增资等</w:t>
      </w:r>
      <w:r>
        <w:rPr>
          <w:rFonts w:hint="eastAsia" w:ascii="仿宋_GB2312" w:hAnsi="Times New Roman" w:eastAsia="仿宋_GB2312" w:cs="Wingdings"/>
          <w:sz w:val="32"/>
          <w:szCs w:val="32"/>
        </w:rPr>
        <w:t>。</w: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240" w:lineRule="auto"/>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eastAsia="zh-CN"/>
        </w:rPr>
        <w:drawing>
          <wp:inline distT="0" distB="0" distL="114300" distR="114300">
            <wp:extent cx="5581650" cy="3184525"/>
            <wp:effectExtent l="0" t="0" r="0" b="15875"/>
            <wp:docPr id="12" name="图片 12" descr="汇总-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汇总-图片4"/>
                    <pic:cNvPicPr>
                      <a:picLocks noChangeAspect="1"/>
                    </pic:cNvPicPr>
                  </pic:nvPicPr>
                  <pic:blipFill>
                    <a:blip r:embed="rId19"/>
                    <a:stretch>
                      <a:fillRect/>
                    </a:stretch>
                  </pic:blipFill>
                  <pic:spPr>
                    <a:xfrm>
                      <a:off x="0" y="0"/>
                      <a:ext cx="5581650" cy="3184525"/>
                    </a:xfrm>
                    <a:prstGeom prst="rect">
                      <a:avLst/>
                    </a:prstGeom>
                  </pic:spPr>
                </pic:pic>
              </a:graphicData>
            </a:graphic>
          </wp:inline>
        </w:drawing>
      </w: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630555</wp:posOffset>
                </wp:positionH>
                <wp:positionV relativeFrom="paragraph">
                  <wp:posOffset>140335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9.65pt;margin-top:11.05pt;height:30.75pt;width:331.45pt;z-index:-251645952;mso-width-relative:page;mso-height-relative:page;" fillcolor="#FFFFFF" filled="t" stroked="f" coordsize="21600,21600" o:gfxdata="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bkMRNQAAAAIAQAA&#10;DwAAAAAAAAABACAAAAAiAAAAZHJzL2Rvd25yZXYueG1sUEsBAhQAFAAAAAgAh07iQPFkBxFWAgAA&#10;nwQAAA4AAAAAAAAAAQAgAAAAIwEAAGRycy9lMm9Eb2MueG1sUEsFBgAAAAAGAAYAWQEAAOsFAAAA&#10;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default"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36856.41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76.36</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8713.63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28350.86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76.92</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8505.55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收支</w:t>
      </w:r>
      <w:r>
        <w:rPr>
          <w:rFonts w:hint="eastAsia" w:ascii="仿宋_GB2312" w:hAnsi="Times New Roman" w:eastAsia="仿宋_GB2312" w:cs="Wingdings"/>
          <w:sz w:val="32"/>
          <w:szCs w:val="32"/>
        </w:rPr>
        <w:t>决算数小于预算数主要原因</w:t>
      </w:r>
      <w:r>
        <w:rPr>
          <w:rFonts w:hint="eastAsia" w:ascii="仿宋_GB2312" w:hAnsi="Times New Roman" w:eastAsia="仿宋_GB2312" w:cs="Wingdings"/>
          <w:sz w:val="32"/>
          <w:szCs w:val="32"/>
          <w:lang w:val="en-US" w:eastAsia="zh-CN"/>
        </w:rPr>
        <w:t>是其他普通教育支出减少13404.12万元，社会保障和就业支出增加5092.07万元。</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年度财政拨款支出</w:t>
      </w:r>
      <w:r>
        <w:rPr>
          <w:rFonts w:hint="eastAsia" w:ascii="仿宋_GB2312" w:hAnsi="Times New Roman" w:eastAsia="仿宋_GB2312" w:cs="Wingdings"/>
          <w:sz w:val="32"/>
          <w:szCs w:val="32"/>
          <w:lang w:val="en-US" w:eastAsia="zh-CN"/>
        </w:rPr>
        <w:t>28350.86</w:t>
      </w:r>
      <w:r>
        <w:rPr>
          <w:rFonts w:hint="eastAsia" w:ascii="仿宋_GB2312" w:hAnsi="Times New Roman" w:eastAsia="仿宋_GB2312" w:cs="Wingdings"/>
          <w:sz w:val="32"/>
          <w:szCs w:val="32"/>
        </w:rPr>
        <w:t>万元，</w:t>
      </w:r>
      <w:r>
        <w:rPr>
          <w:rFonts w:hint="eastAsia" w:ascii="仿宋_GB2312" w:hAnsi="Times New Roman" w:eastAsia="仿宋_GB2312" w:cs="Wingdings"/>
          <w:color w:val="auto"/>
          <w:sz w:val="32"/>
          <w:szCs w:val="32"/>
          <w:lang w:val="en-US" w:eastAsia="zh-CN"/>
        </w:rPr>
        <w:t>一般公共服务支出1355.86万元，占4.78%；</w:t>
      </w:r>
      <w:r>
        <w:rPr>
          <w:rFonts w:hint="eastAsia" w:ascii="仿宋_GB2312" w:hAnsi="Times New Roman" w:eastAsia="仿宋_GB2312" w:cs="Wingdings"/>
          <w:sz w:val="32"/>
          <w:szCs w:val="32"/>
          <w:lang w:val="en-US" w:eastAsia="zh-CN"/>
        </w:rPr>
        <w:t>社会保障和就业支出21580.53万元，占76.12%；卫生健康支出143.51万元，占0.51%；节能环保支出73万元，占0.26%；住房保障支出183.92万元，占0.65%；城乡社区支出4923.39万元，占17.37%；农林水支出90.65万元，占0.32%。</w:t>
      </w:r>
    </w:p>
    <w:p>
      <w:pPr>
        <w:adjustRightInd w:val="0"/>
        <w:snapToGrid w:val="0"/>
        <w:spacing w:line="600" w:lineRule="exact"/>
        <w:ind w:firstLine="640" w:firstLineChars="200"/>
        <w:rPr>
          <w:rFonts w:hint="eastAsia" w:ascii="仿宋_GB2312" w:hAnsi="Times New Roman" w:eastAsia="仿宋_GB2312" w:cs="Wingdings"/>
          <w:sz w:val="32"/>
          <w:szCs w:val="32"/>
          <w:highlight w:val="none"/>
          <w:lang w:val="en-US" w:eastAsia="zh-CN"/>
        </w:rPr>
      </w:pPr>
      <w:r>
        <w:rPr>
          <w:rFonts w:hint="eastAsia" w:ascii="仿宋_GB2312" w:hAnsi="Times New Roman" w:eastAsia="仿宋_GB2312" w:cs="Wingdings"/>
          <w:sz w:val="32"/>
          <w:szCs w:val="32"/>
          <w:highlight w:val="none"/>
          <w:lang w:val="en-US" w:eastAsia="zh-CN"/>
        </w:rPr>
        <w:t>按经济分类看：工资福利支出2198.39万元，商品和服务支出1303.21万元，对个人和家庭的补助24715.89万元，资本性支出133.37万元（见图5）。</w:t>
      </w:r>
    </w:p>
    <w:p>
      <w:pPr>
        <w:adjustRightInd w:val="0"/>
        <w:snapToGrid w:val="0"/>
        <w:spacing w:line="600" w:lineRule="exact"/>
        <w:ind w:firstLine="640" w:firstLineChars="200"/>
        <w:rPr>
          <w:rFonts w:hint="default" w:ascii="仿宋_GB2312" w:hAnsi="Times New Roman" w:eastAsia="仿宋_GB2312" w:cs="Wingdings"/>
          <w:sz w:val="32"/>
          <w:szCs w:val="32"/>
          <w:highlight w:val="none"/>
          <w:lang w:val="en-US" w:eastAsia="zh-CN"/>
        </w:rPr>
      </w:pPr>
    </w:p>
    <w:p>
      <w:pPr>
        <w:adjustRightInd w:val="0"/>
        <w:snapToGrid w:val="0"/>
        <w:spacing w:line="240" w:lineRule="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inline distT="0" distB="0" distL="114300" distR="114300">
            <wp:extent cx="5584190" cy="3356610"/>
            <wp:effectExtent l="0" t="0" r="16510" b="15240"/>
            <wp:docPr id="13" name="图片 13" descr="图片5-汇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图片5-汇总"/>
                    <pic:cNvPicPr>
                      <a:picLocks noChangeAspect="1"/>
                    </pic:cNvPicPr>
                  </pic:nvPicPr>
                  <pic:blipFill>
                    <a:blip r:embed="rId20"/>
                    <a:stretch>
                      <a:fillRect/>
                    </a:stretch>
                  </pic:blipFill>
                  <pic:spPr>
                    <a:xfrm>
                      <a:off x="0" y="0"/>
                      <a:ext cx="5584190" cy="3356610"/>
                    </a:xfrm>
                    <a:prstGeom prst="rect">
                      <a:avLst/>
                    </a:prstGeom>
                  </pic:spPr>
                </pic:pic>
              </a:graphicData>
            </a:graphic>
          </wp:inline>
        </w:drawing>
      </w:r>
    </w:p>
    <w:p>
      <w:pPr>
        <w:adjustRightInd w:val="0"/>
        <w:snapToGrid w:val="0"/>
        <w:spacing w:line="600" w:lineRule="exact"/>
        <w:ind w:firstLine="640" w:firstLineChars="200"/>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7456" behindDoc="0" locked="0" layoutInCell="1" allowOverlap="1">
                <wp:simplePos x="0" y="0"/>
                <wp:positionH relativeFrom="column">
                  <wp:posOffset>1228725</wp:posOffset>
                </wp:positionH>
                <wp:positionV relativeFrom="paragraph">
                  <wp:posOffset>70485</wp:posOffset>
                </wp:positionV>
                <wp:extent cx="3221990" cy="412115"/>
                <wp:effectExtent l="0" t="0" r="16510" b="6985"/>
                <wp:wrapNone/>
                <wp:docPr id="17" name="文本框 17"/>
                <wp:cNvGraphicFramePr/>
                <a:graphic xmlns:a="http://schemas.openxmlformats.org/drawingml/2006/main">
                  <a:graphicData uri="http://schemas.microsoft.com/office/word/2010/wordprocessingShape">
                    <wps:wsp>
                      <wps:cNvSpPr txBox="1"/>
                      <wps:spPr>
                        <a:xfrm>
                          <a:off x="2143760" y="8898890"/>
                          <a:ext cx="3221990" cy="4121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6.75pt;margin-top:5.55pt;height:32.45pt;width:253.7pt;z-index:251667456;v-text-anchor:middle;mso-width-relative:page;mso-height-relative:page;" fillcolor="#FFFFFF [3201]" filled="t" stroked="f" coordsize="21600,21600" o:gfxdata="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fO5ihdQA&#10;AAAJAQAADwAAAAAAAAABACAAAAAiAAAAZHJzL2Rvd25yZXYueG1sUEsBAhQAFAAAAAgAh07iQC39&#10;yR5cAgAAnwQAAA4AAAAAAAAAAQAgAAAAIwEAAGRycy9lMm9Eb2MueG1sUEsFBgAAAAAGAAYAWQEA&#10;APEFAAAAAA==&#10;">
                <v:fill on="t" focussize="0,0"/>
                <v:stroke on="f" weight="0.5pt"/>
                <v:imagedata o:title=""/>
                <o:lock v:ext="edit" aspectratio="f"/>
                <v:textbo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2020年度财政拨款基本支出</w:t>
      </w:r>
      <w:r>
        <w:rPr>
          <w:rFonts w:hint="eastAsia" w:ascii="仿宋_GB2312" w:hAnsi="Times New Roman" w:eastAsia="仿宋_GB2312" w:cs="Wingdings"/>
          <w:sz w:val="32"/>
          <w:szCs w:val="32"/>
          <w:lang w:val="en-US" w:eastAsia="zh-CN"/>
        </w:rPr>
        <w:t>3198.74</w:t>
      </w:r>
      <w:r>
        <w:rPr>
          <w:rFonts w:hint="eastAsia" w:ascii="仿宋_GB2312" w:hAnsi="Times New Roman" w:eastAsia="仿宋_GB2312" w:cs="Wingdings"/>
          <w:sz w:val="32"/>
          <w:szCs w:val="32"/>
        </w:rPr>
        <w:t>万元，其中：人员经费</w:t>
      </w:r>
      <w:r>
        <w:rPr>
          <w:rFonts w:hint="eastAsia" w:ascii="仿宋_GB2312" w:hAnsi="Times New Roman" w:eastAsia="仿宋_GB2312" w:cs="Wingdings"/>
          <w:sz w:val="32"/>
          <w:szCs w:val="32"/>
          <w:lang w:val="en-US" w:eastAsia="zh-CN"/>
        </w:rPr>
        <w:t>2489.88</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708.86</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近年来，本部门</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16.6</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14.93</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89.94</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1.67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下降10.06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与上年决算相比，本年“三公”经费支出减少0.07</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下降0.47</w:t>
      </w:r>
      <w:r>
        <w:rPr>
          <w:rFonts w:hint="eastAsia" w:ascii="仿宋_GB2312" w:hAnsi="Times New Roman" w:eastAsia="仿宋_GB2312" w:cs="Wingdings"/>
          <w:sz w:val="32"/>
          <w:szCs w:val="32"/>
        </w:rPr>
        <w:t>%，主要是主要是</w:t>
      </w:r>
      <w:r>
        <w:rPr>
          <w:rFonts w:hint="eastAsia" w:ascii="仿宋_GB2312" w:hAnsi="Times New Roman" w:eastAsia="仿宋_GB2312" w:cs="Wingdings"/>
          <w:sz w:val="32"/>
          <w:szCs w:val="32"/>
          <w:lang w:val="en-US" w:eastAsia="zh-CN"/>
        </w:rPr>
        <w:t>厉行节约，严格规范公务接待行为和经费支出所致。</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sz w:val="32"/>
          <w:szCs w:val="32"/>
          <w:lang w:val="en-US" w:eastAsia="zh-CN"/>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lang w:val="en-US" w:eastAsia="zh-CN"/>
        </w:rPr>
        <w:t>2019年度决算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highlight w:val="none"/>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年度公务用车购置及运行维护费</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14.93万元，</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预算减少</w:t>
      </w:r>
      <w:r>
        <w:rPr>
          <w:rFonts w:hint="eastAsia" w:ascii="仿宋_GB2312" w:hAnsi="Times New Roman" w:eastAsia="仿宋_GB2312" w:cs="DengXian-Regular"/>
          <w:sz w:val="32"/>
          <w:szCs w:val="32"/>
          <w:lang w:val="en-US" w:eastAsia="zh-CN"/>
        </w:rPr>
        <w:t>1.27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7.84</w:t>
      </w:r>
      <w:r>
        <w:rPr>
          <w:rFonts w:hint="eastAsia" w:ascii="仿宋_GB2312" w:hAnsi="Times New Roman" w:eastAsia="仿宋_GB2312" w:cs="DengXian-Regular"/>
          <w:sz w:val="32"/>
          <w:szCs w:val="32"/>
        </w:rPr>
        <w:t>%,主要是认真贯彻落实中央八项规定精神和厉行节约要求，从严控制“三公”经费开支，全年实际支出比预算有所节约</w:t>
      </w:r>
      <w:r>
        <w:rPr>
          <w:rFonts w:hint="eastAsia" w:ascii="仿宋_GB2312" w:hAnsi="Times New Roman" w:eastAsia="仿宋_GB2312" w:cs="DengXian-Regular"/>
          <w:sz w:val="32"/>
          <w:szCs w:val="32"/>
          <w:lang w:eastAsia="zh-CN"/>
        </w:rPr>
        <w:t>；</w:t>
      </w:r>
      <w:r>
        <w:rPr>
          <w:rFonts w:hint="eastAsia" w:ascii="仿宋_GB2312" w:hAnsi="Times New Roman" w:eastAsia="仿宋_GB2312" w:cs="Wingdings"/>
          <w:sz w:val="32"/>
          <w:szCs w:val="32"/>
          <w:highlight w:val="none"/>
          <w:lang w:eastAsia="zh-CN"/>
        </w:rPr>
        <w:t>与上年决算持平，</w:t>
      </w:r>
      <w:r>
        <w:rPr>
          <w:rFonts w:hint="eastAsia" w:ascii="仿宋_GB2312" w:hAnsi="Times New Roman" w:eastAsia="仿宋_GB2312" w:cs="Mongolian Baiti"/>
          <w:b/>
          <w:bCs/>
          <w:sz w:val="32"/>
          <w:szCs w:val="32"/>
          <w:highlight w:val="none"/>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highlight w:val="none"/>
        </w:rPr>
      </w:pPr>
      <w:r>
        <w:rPr>
          <w:rFonts w:hint="eastAsia" w:ascii="仿宋_GB2312" w:hAnsi="Times New Roman" w:eastAsia="仿宋_GB2312" w:cs="Wingdings"/>
          <w:b/>
          <w:sz w:val="32"/>
          <w:szCs w:val="32"/>
          <w:highlight w:val="none"/>
        </w:rPr>
        <w:t>公务用车购置费支出：</w:t>
      </w:r>
      <w:r>
        <w:rPr>
          <w:rFonts w:hint="eastAsia" w:ascii="仿宋_GB2312" w:hAnsi="Times New Roman" w:eastAsia="仿宋_GB2312" w:cs="Wingdings"/>
          <w:sz w:val="32"/>
          <w:szCs w:val="32"/>
          <w:highlight w:val="none"/>
          <w:lang w:eastAsia="zh-CN"/>
        </w:rPr>
        <w:t>本部门</w:t>
      </w:r>
      <w:r>
        <w:rPr>
          <w:rFonts w:hint="eastAsia" w:ascii="仿宋_GB2312" w:hAnsi="Times New Roman" w:eastAsia="仿宋_GB2312" w:cs="Wingdings"/>
          <w:sz w:val="32"/>
          <w:szCs w:val="32"/>
          <w:highlight w:val="none"/>
        </w:rPr>
        <w:t>2020年度公务用车购置量</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辆，</w:t>
      </w:r>
      <w:r>
        <w:rPr>
          <w:rFonts w:hint="eastAsia" w:ascii="仿宋_GB2312" w:hAnsi="Times New Roman" w:eastAsia="仿宋_GB2312" w:cs="Wingdings"/>
          <w:sz w:val="32"/>
          <w:szCs w:val="32"/>
          <w:highlight w:val="none"/>
          <w:lang w:val="en-US" w:eastAsia="zh-CN"/>
        </w:rPr>
        <w:t>未</w:t>
      </w:r>
      <w:r>
        <w:rPr>
          <w:rFonts w:hint="eastAsia" w:ascii="仿宋_GB2312" w:hAnsi="Times New Roman" w:eastAsia="仿宋_GB2312" w:cs="Wingdings"/>
          <w:sz w:val="32"/>
          <w:szCs w:val="32"/>
          <w:highlight w:val="none"/>
        </w:rPr>
        <w:t>发生“公务用车购置”经费支出</w:t>
      </w:r>
      <w:r>
        <w:rPr>
          <w:rFonts w:hint="eastAsia" w:ascii="仿宋_GB2312" w:hAnsi="Times New Roman" w:eastAsia="仿宋_GB2312" w:cs="Wingdings"/>
          <w:sz w:val="32"/>
          <w:szCs w:val="32"/>
          <w:highlight w:val="none"/>
          <w:lang w:eastAsia="zh-CN"/>
        </w:rPr>
        <w:t>，</w:t>
      </w:r>
      <w:r>
        <w:rPr>
          <w:rFonts w:hint="eastAsia" w:ascii="仿宋_GB2312" w:hAnsi="Times New Roman" w:eastAsia="仿宋_GB2312" w:cs="Wingdings"/>
          <w:sz w:val="32"/>
          <w:szCs w:val="32"/>
          <w:highlight w:val="none"/>
          <w:lang w:val="en-US" w:eastAsia="zh-CN"/>
        </w:rPr>
        <w:t>与预算和上年决算持平</w:t>
      </w:r>
      <w:r>
        <w:rPr>
          <w:rFonts w:hint="eastAsia" w:ascii="仿宋_GB2312" w:hAnsi="Times New Roman" w:eastAsia="仿宋_GB2312" w:cs="Wingdings"/>
          <w:sz w:val="32"/>
          <w:szCs w:val="32"/>
          <w:highlight w:val="none"/>
        </w:rPr>
        <w:t>。</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highlight w:val="none"/>
        </w:rPr>
        <w:t>公务用车运行维护费支出</w:t>
      </w:r>
      <w:r>
        <w:rPr>
          <w:rFonts w:hint="eastAsia" w:ascii="仿宋_GB2312" w:hAnsi="Times New Roman" w:eastAsia="仿宋_GB2312" w:cs="Wingdings"/>
          <w:b/>
          <w:sz w:val="32"/>
          <w:szCs w:val="32"/>
          <w:highlight w:val="none"/>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1.27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7.84</w:t>
      </w:r>
      <w:r>
        <w:rPr>
          <w:rFonts w:hint="eastAsia" w:ascii="仿宋_GB2312" w:hAnsi="Times New Roman" w:eastAsia="仿宋_GB2312" w:cs="DengXian-Regular"/>
          <w:sz w:val="32"/>
          <w:szCs w:val="32"/>
        </w:rPr>
        <w:t>%,主要是认真贯彻落实中央</w:t>
      </w:r>
      <w:bookmarkStart w:id="0" w:name="_GoBack"/>
      <w:bookmarkEnd w:id="0"/>
      <w:r>
        <w:rPr>
          <w:rFonts w:hint="eastAsia" w:ascii="仿宋_GB2312" w:hAnsi="Times New Roman" w:eastAsia="仿宋_GB2312" w:cs="DengXian-Regular"/>
          <w:sz w:val="32"/>
          <w:szCs w:val="32"/>
        </w:rPr>
        <w:t>八项规定精神和厉行节约要求，从严控制“三公”经费开支，全年实际支出比预算有所节约；</w:t>
      </w:r>
      <w:r>
        <w:rPr>
          <w:rFonts w:hint="eastAsia" w:ascii="仿宋_GB2312" w:hAnsi="Times New Roman" w:eastAsia="仿宋_GB2312" w:cs="Wingdings"/>
          <w:sz w:val="32"/>
          <w:szCs w:val="32"/>
          <w:highlight w:val="none"/>
          <w:lang w:eastAsia="zh-CN"/>
        </w:rPr>
        <w:t>与上年决算持平。</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0.4万元</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lang w:val="en-US" w:eastAsia="zh-CN"/>
        </w:rPr>
        <w:t>上年度决算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0.4万元。</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70</w:t>
      </w:r>
      <w:r>
        <w:rPr>
          <w:rFonts w:hint="eastAsia" w:ascii="仿宋_GB2312" w:hAnsi="Times New Roman" w:eastAsia="仿宋_GB2312" w:cs="Wingdings"/>
          <w:sz w:val="32"/>
          <w:szCs w:val="32"/>
        </w:rPr>
        <w:t>个项目全面开展绩效自评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28528.61</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70</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69</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98.57</w:t>
      </w:r>
      <w:r>
        <w:rPr>
          <w:rFonts w:hint="eastAsia" w:ascii="仿宋_GB2312" w:hAnsi="仿宋" w:eastAsia="仿宋_GB2312"/>
          <w:sz w:val="32"/>
          <w:szCs w:val="32"/>
        </w:rPr>
        <w:t>%；评价等级为“良”的项目1个，评良率为</w:t>
      </w:r>
      <w:r>
        <w:rPr>
          <w:rFonts w:hint="eastAsia" w:ascii="仿宋_GB2312" w:hAnsi="仿宋" w:eastAsia="仿宋_GB2312"/>
          <w:sz w:val="32"/>
          <w:szCs w:val="32"/>
          <w:lang w:val="en-US" w:eastAsia="zh-CN"/>
        </w:rPr>
        <w:t>1.43</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1</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劳动保障法律法规宣传费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2</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劳动监察维权维稳保障经费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3</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劳动监察执法装备和标志工作服</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4</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劳动监察执法业务费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5</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“互联网+人社”业务信息化建设费用</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6</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收费上解</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96</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iCs w:val="0"/>
                <w:color w:val="000000"/>
                <w:kern w:val="0"/>
                <w:sz w:val="24"/>
                <w:szCs w:val="24"/>
                <w:u w:val="none"/>
                <w:lang w:val="en-US" w:eastAsia="zh-CN" w:bidi="ar"/>
              </w:rPr>
              <w:t>7</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退役军人公益性岗位工资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8</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2020年就业补助资金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9</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就业补助资金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10</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关于提前下达2020年省级就业补助资金预算指标的通知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11</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2020年中央就业补助资金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12</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创业扶持资金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13</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扶贫专岗工资和保险费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14</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企业困难职工、农民工春节慰问和救济</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99</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劳动人事争议仲裁院标准化建设经费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98</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16</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关于调整下达工业企业结构调整专项奖补资金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17</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流动人员人事档案管理及电子化费用</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18</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教师等事业单位招聘、劳务派遣人员招聘资金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19</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工伤认定调查费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98</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20</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农民工工资保障金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21</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被征地农民信息管理系统</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98</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22</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专项业务费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23</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人才基金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24</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购置档案室相关设备</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25</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企业网上招聘平台运行维护费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26</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劳动仲裁专项业务</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27</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失业保险征缴扩面专项经费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28</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退役军人公益性岗位补贴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29</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创业担保贷款贴息资金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93</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流动人员人事档案管理服务费及信息系统工作经费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96</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31</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就业活动专项经费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32</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返乡创业服务中心宣传服务费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80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33</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创业孵化基地补助</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70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34</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机关事业改革制度养老金支出缺口</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35</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机关事业养老保险基金（试点）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36</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军队退役人员劳务派遣岗位工资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37</w:t>
            </w:r>
          </w:p>
        </w:tc>
        <w:tc>
          <w:tcPr>
            <w:tcW w:w="5515" w:type="dxa"/>
            <w:tcBorders>
              <w:top w:val="nil"/>
              <w:left w:val="nil"/>
              <w:bottom w:val="single" w:color="auto" w:sz="4" w:space="0"/>
              <w:right w:val="single" w:color="auto" w:sz="4" w:space="0"/>
            </w:tcBorders>
            <w:vAlign w:val="top"/>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军队退役人员公益性岗位工资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38</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2014.10.2020.12退休人员记账部分需要做实的本金和利息，按5%。（2019年底前退休人员统一计息至2019年底，2020年退休人员计息至2020年底)</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39</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职业年金财政负担实账部分资金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40</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改制企业交通费、书报费劳模荣誉补贴、退休遗属补助</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41</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鹿泉区上解2020年度社会保险基金风险储备金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42</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军转公益性岗位人员工资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62</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43</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军转劳务派遣人员工资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44</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关于提前下达2020年市级企业退休人员社会化管理服务资金的通知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98</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45</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关于下达2020年市级第二批企业退休人员社会化管理服务资金的通知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46</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2020年中央财政机关事业单位基本养老保险补助资金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47</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机关事业养老保险基金缺口补助资金（特殊转移支付）</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48</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right="0" w:rightChars="0"/>
              <w:jc w:val="both"/>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企业离退休人员退管费及扩面经费（人均40元）</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49</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关于提前下达2020年市级城乡居民养老保险补助资金预算指标的通知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50</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村协办员补贴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51</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城乡居民保专项经费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52</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基础养老金补贴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53</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城乡居民保缴费补贴、建档立卡扶贫补贴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54</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关于提前下达2020年省级城乡居民养老保险补助资金预算指标的通知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55</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军队退役人员公益性岗位工资</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56</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关于提前下达2020年省级财政城乡居民养老及就业公共服务村级代办员补助资金的通知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57</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关于提前下达中央财政2020年城乡居民养老保险补助资金的通知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58</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丧葬补助金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59</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被征地农民社会保险费和风险基金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97</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60</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退役军人公益性岗补贴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61</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基础养老金补贴</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62</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丧葬补助金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99</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63</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被征地农民社会保险费和风险基金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99</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64</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调整提前下达的2020年中央财政城乡居民养老保险补助资金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65</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关于结算2019年、下达2020年（第三批）城居基本养老保险中央补助资金的通知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66</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2020年中央财政城乡居民养老保险补助资金（第二批）</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67</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关于结算2019年、下达2020年（第三批）城乡居民基本养老保险中央补助资金的通知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68</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关于结算2019年城乡居民基本养老保险市级补助资金的通知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69</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关于结算2019年城乡居民基本养老保险市级补助资金的通知</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100</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iCs w:val="0"/>
                <w:color w:val="000000"/>
                <w:kern w:val="0"/>
                <w:sz w:val="24"/>
                <w:szCs w:val="24"/>
                <w:u w:val="none"/>
                <w:lang w:val="en-US" w:eastAsia="zh-CN" w:bidi="ar"/>
              </w:rPr>
              <w:t>70</w:t>
            </w:r>
          </w:p>
        </w:tc>
        <w:tc>
          <w:tcPr>
            <w:tcW w:w="5515" w:type="dxa"/>
            <w:tcBorders>
              <w:top w:val="nil"/>
              <w:left w:val="nil"/>
              <w:bottom w:val="single" w:color="auto" w:sz="4" w:space="0"/>
              <w:right w:val="single" w:color="auto" w:sz="4" w:space="0"/>
            </w:tcBorders>
            <w:vAlign w:val="center"/>
          </w:tcPr>
          <w:p>
            <w:pPr>
              <w:pageBreakBefore w:val="0"/>
              <w:widowControl w:val="0"/>
              <w:kinsoku/>
              <w:wordWrap/>
              <w:overflowPunct/>
              <w:topLinePunct w:val="0"/>
              <w:bidi w:val="0"/>
              <w:adjustRightInd/>
              <w:snapToGrid w:val="0"/>
              <w:spacing w:before="0" w:after="0" w:line="620" w:lineRule="exact"/>
              <w:ind w:left="0" w:leftChars="0" w:right="0" w:rightChars="0" w:firstLine="480" w:firstLineChars="200"/>
              <w:jc w:val="center"/>
              <w:textAlignment w:val="auto"/>
              <w:outlineLvl w:val="9"/>
              <w:rPr>
                <w:rFonts w:hint="eastAsia" w:ascii="仿宋_GB2312" w:hAnsi="仿宋" w:eastAsia="仿宋_GB2312"/>
                <w:sz w:val="24"/>
                <w:szCs w:val="24"/>
              </w:rPr>
            </w:pPr>
            <w:r>
              <w:rPr>
                <w:rFonts w:hint="eastAsia" w:ascii="仿宋_GB2312" w:hAnsi="仿宋" w:eastAsia="仿宋_GB2312"/>
                <w:sz w:val="24"/>
                <w:szCs w:val="24"/>
                <w:lang w:val="en-US" w:eastAsia="zh-CN"/>
              </w:rPr>
              <w:t>被征地农民社会保险费和风险基金</w:t>
            </w:r>
          </w:p>
        </w:tc>
        <w:tc>
          <w:tcPr>
            <w:tcW w:w="100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99</w:t>
            </w:r>
          </w:p>
        </w:tc>
        <w:tc>
          <w:tcPr>
            <w:tcW w:w="960"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仿宋_GB2312" w:cs="Times New Roman"/>
                <w:kern w:val="0"/>
                <w:sz w:val="24"/>
                <w:szCs w:val="24"/>
              </w:rPr>
            </w:pPr>
            <w:r>
              <w:rPr>
                <w:rFonts w:hint="eastAsia" w:ascii="宋体" w:hAnsi="宋体" w:eastAsia="宋体" w:cs="宋体"/>
                <w:i w:val="0"/>
                <w:iCs w:val="0"/>
                <w:color w:val="000000"/>
                <w:kern w:val="0"/>
                <w:sz w:val="24"/>
                <w:szCs w:val="24"/>
                <w:u w:val="none"/>
                <w:lang w:val="en-US" w:eastAsia="zh-CN" w:bidi="ar"/>
              </w:rPr>
              <w:t>优</w:t>
            </w:r>
          </w:p>
        </w:tc>
      </w:tr>
    </w:tbl>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val="en-US" w:eastAsia="zh-CN"/>
        </w:rPr>
        <w:t>劳动保障法律法规宣传费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劳动保障法律法规宣传费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个项目绩效自评结果。</w:t>
      </w:r>
    </w:p>
    <w:p>
      <w:pPr>
        <w:adjustRightInd w:val="0"/>
        <w:snapToGrid w:val="0"/>
        <w:spacing w:line="600" w:lineRule="exact"/>
        <w:ind w:firstLine="640" w:firstLineChars="200"/>
        <w:rPr>
          <w:rFonts w:hint="eastAsia" w:ascii="黑体" w:hAnsi="黑体" w:eastAsia="黑体" w:cs="黑体"/>
          <w:sz w:val="32"/>
          <w:szCs w:val="32"/>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98.02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28528.61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28528.61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424.30</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105.03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下</w:t>
      </w:r>
      <w:r>
        <w:rPr>
          <w:rFonts w:hint="eastAsia" w:ascii="仿宋_GB2312" w:hAnsi="仿宋_GB2312" w:eastAsia="仿宋_GB2312" w:cs="仿宋_GB2312"/>
          <w:sz w:val="32"/>
          <w:szCs w:val="32"/>
        </w:rPr>
        <w:t>降</w:t>
      </w:r>
      <w:r>
        <w:rPr>
          <w:rFonts w:hint="eastAsia" w:ascii="仿宋_GB2312" w:hAnsi="仿宋_GB2312" w:eastAsia="仿宋_GB2312" w:cs="仿宋_GB2312"/>
          <w:sz w:val="32"/>
          <w:szCs w:val="32"/>
          <w:lang w:val="en-US" w:eastAsia="zh-CN"/>
        </w:rPr>
        <w:t>19.8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主要是严格贯彻落实党和政府“过紧日子”要求，压缩“三公”经费费等非急需非刚性支出。</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：一般业务用车</w:t>
      </w:r>
      <w:r>
        <w:rPr>
          <w:rFonts w:hint="eastAsia" w:ascii="仿宋_GB2312" w:hAnsi="Times New Roman" w:eastAsia="仿宋_GB2312" w:cs="DengXian-Regular"/>
          <w:sz w:val="32"/>
          <w:szCs w:val="32"/>
          <w:lang w:val="en-US" w:eastAsia="zh-CN"/>
        </w:rPr>
        <w:t>4辆，下乡用车1辆，业务保障用车1辆。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2336"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2336;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P/0jT7ZAAAADAEAAA8A&#10;AAAAAAAAAQAgAAAAIgAAAGRycy9kb3ducmV2LnhtbFBLAQIUABQAAAAIAIdO4kDBnZ8JiAIAAEwF&#10;AAAOAAAAAAAAAAEAIAAAACgBAABkcnMvZTJvRG9jLnhtbFBLBQYAAAAABgAGAFkBAAAiBgAAAAA=&#10;">
                <v:fill type="pattern" on="t" color2="#FFFFFF [3212]" o:title="5%" focussize="0,0" r:id="rId13"/>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p>
    <w:p>
      <w:pPr>
        <w:rPr>
          <w:sz w:val="72"/>
        </w:rPr>
      </w:pP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r>
        <w:rPr>
          <w:sz w:val="72"/>
        </w:rPr>
        <mc:AlternateContent>
          <mc:Choice Requires="wps">
            <w:drawing>
              <wp:anchor distT="0" distB="0" distL="114300" distR="114300" simplePos="0" relativeHeight="251666432" behindDoc="0" locked="0" layoutInCell="1" allowOverlap="1">
                <wp:simplePos x="0" y="0"/>
                <wp:positionH relativeFrom="column">
                  <wp:posOffset>20320</wp:posOffset>
                </wp:positionH>
                <wp:positionV relativeFrom="paragraph">
                  <wp:posOffset>635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1.6pt;margin-top:0.05pt;height:263.1pt;width:613.65pt;z-index:251666432;v-text-anchor:middle;mso-width-relative:page;mso-height-relative:page;" fillcolor="#7F7F7F" filled="t" stroked="t" coordsize="21600,21600" o:gfxdata="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karW19UAAAAHAQAADwAAAAAAAAABACAAAAAiAAAAZHJzL2Rvd25yZXYueG1s&#10;UEsBAhQAFAAAAAgAh07iQAljrMKmAgAAqQUAAA4AAAAAAAAAAQAgAAAAJAEAAGRycy9lMm9Eb2Mu&#10;eG1sUEsFBgAAAAAGAAYAWQEAADwGAAAAAA==&#10;">
                <v:fill type="pattern" on="t" color2="#FFFFFF" o:title="5%" focussize="0,0" r:id="rId13"/>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tbl>
      <w:tblPr>
        <w:tblStyle w:val="5"/>
        <w:tblW w:w="12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16"/>
        <w:gridCol w:w="656"/>
        <w:gridCol w:w="1206"/>
        <w:gridCol w:w="3516"/>
        <w:gridCol w:w="656"/>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90" w:hRule="atLeast"/>
        </w:trPr>
        <w:tc>
          <w:tcPr>
            <w:tcW w:w="12435" w:type="dxa"/>
            <w:gridSpan w:val="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0" w:type="auto"/>
            <w:gridSpan w:val="3"/>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23,209.67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21,580.53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28,142.78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28,350.86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379.96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28,522.74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28,522.74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注：本表反映部门本年度的总收支和年末结转结余情况。本套报表金额单位转换时可能存在尾数误差。</w:t>
            </w:r>
          </w:p>
        </w:tc>
      </w:tr>
    </w:tbl>
    <w:p>
      <w:pPr>
        <w:bidi w:val="0"/>
        <w:rPr>
          <w:sz w:val="10"/>
          <w:szCs w:val="10"/>
          <w:lang w:val="en-US" w:eastAsia="zh-CN"/>
        </w:rPr>
      </w:pPr>
    </w:p>
    <w:p>
      <w:pPr>
        <w:bidi w:val="0"/>
        <w:jc w:val="center"/>
        <w:rPr>
          <w:rFonts w:hint="eastAsia"/>
          <w:sz w:val="72"/>
          <w:szCs w:val="144"/>
          <w:lang w:val="en-US" w:eastAsia="zh-CN"/>
        </w:rPr>
      </w:pPr>
    </w:p>
    <w:p>
      <w:pPr>
        <w:bidi w:val="0"/>
        <w:jc w:val="center"/>
        <w:rPr>
          <w:rFonts w:hint="eastAsia"/>
          <w:sz w:val="72"/>
          <w:szCs w:val="144"/>
          <w:lang w:val="en-US" w:eastAsia="zh-CN"/>
        </w:rPr>
      </w:pPr>
    </w:p>
    <w:p>
      <w:pPr>
        <w:bidi w:val="0"/>
        <w:jc w:val="center"/>
        <w:rPr>
          <w:rFonts w:hint="eastAsia"/>
          <w:sz w:val="72"/>
          <w:szCs w:val="144"/>
          <w:lang w:val="en-US" w:eastAsia="zh-CN"/>
        </w:rPr>
      </w:pPr>
    </w:p>
    <w:p>
      <w:pPr>
        <w:bidi w:val="0"/>
        <w:jc w:val="center"/>
        <w:rPr>
          <w:rFonts w:hint="eastAsia"/>
          <w:sz w:val="72"/>
          <w:szCs w:val="144"/>
          <w:lang w:val="en-US" w:eastAsia="zh-CN"/>
        </w:rPr>
      </w:pPr>
    </w:p>
    <w:p>
      <w:pPr>
        <w:bidi w:val="0"/>
        <w:rPr>
          <w:lang w:val="en-US" w:eastAsia="zh-CN"/>
        </w:rPr>
      </w:pPr>
    </w:p>
    <w:p>
      <w:pPr>
        <w:bidi w:val="0"/>
        <w:rPr>
          <w:lang w:val="en-US" w:eastAsia="zh-CN"/>
        </w:rPr>
      </w:pPr>
    </w:p>
    <w:p>
      <w:pPr>
        <w:bidi w:val="0"/>
        <w:rPr>
          <w:lang w:val="en-US" w:eastAsia="zh-CN"/>
        </w:rPr>
      </w:pPr>
    </w:p>
    <w:tbl>
      <w:tblPr>
        <w:tblStyle w:val="5"/>
        <w:tblW w:w="12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9"/>
        <w:gridCol w:w="329"/>
        <w:gridCol w:w="329"/>
        <w:gridCol w:w="4396"/>
        <w:gridCol w:w="1485"/>
        <w:gridCol w:w="1568"/>
        <w:gridCol w:w="865"/>
        <w:gridCol w:w="862"/>
        <w:gridCol w:w="862"/>
        <w:gridCol w:w="874"/>
        <w:gridCol w:w="8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435" w:type="dxa"/>
            <w:gridSpan w:val="11"/>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6"/>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48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65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9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9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9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106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8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8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5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48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5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9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6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28,142.78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28,142.78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1,328.17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1,328.17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1,278.17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1,278.17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1,263.59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1,263.59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21,419.57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21,419.57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4,819.46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4,819.46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576.62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576.62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社会保险经办机构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2,769.39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2,769.39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公共就业服务和职业技能鉴定机构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4,028.12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4,028.12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对机关事业单位基本养老保险基金的补助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1,170.05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1,170.05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就业创业服务补贴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求职创业补贴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财政对基本养老保险基金的补助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财政对城乡居民基本养老保险基金的补助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财政对其他基本养老保险基金的补助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财政代缴社会保险费支出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财政代缴城乡居民基本养老保险费支出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补助被征地农民支出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普惠金融发展支出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创业担保贷款贴息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解决历史遗留问题及改革成本支出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国有企业退休人员社会化管理补助支出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pPr>
        <w:bidi w:val="0"/>
        <w:rPr>
          <w:sz w:val="10"/>
          <w:szCs w:val="10"/>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tbl>
      <w:tblPr>
        <w:tblStyle w:val="5"/>
        <w:tblW w:w="12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9"/>
        <w:gridCol w:w="329"/>
        <w:gridCol w:w="329"/>
        <w:gridCol w:w="4396"/>
        <w:gridCol w:w="1714"/>
        <w:gridCol w:w="1275"/>
        <w:gridCol w:w="1425"/>
        <w:gridCol w:w="964"/>
        <w:gridCol w:w="931"/>
        <w:gridCol w:w="9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360"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5"/>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80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42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17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9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32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8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8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2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8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7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3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28,350.86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3,198.74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25,152.11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21,580.53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1,581.01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19,999.52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4,979.33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1,403.63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3,575.70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社会保险经办机构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2,816.65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1,403.63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1,413.02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公共就业服务和职业技能鉴定机构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4,028.12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对机关事业单位基本养老保险基金的补助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1,171.14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1,171.14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就业创业服务补贴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求职创业补贴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财政对基本养老保险基金的补助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财政对城乡居民基本养老保险基金的补助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财政对其他基本养老保险基金的补助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财政代缴社会保险费支出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财政代缴城乡居民基本养老保险费支出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补助被征地农民支出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普惠金融发展支出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创业担保贷款贴息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10"/>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16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179"/>
        <w:gridCol w:w="664"/>
        <w:gridCol w:w="1367"/>
        <w:gridCol w:w="2490"/>
        <w:gridCol w:w="664"/>
        <w:gridCol w:w="1367"/>
        <w:gridCol w:w="1494"/>
        <w:gridCol w:w="1428"/>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1625" w:type="dxa"/>
            <w:gridSpan w:val="9"/>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4"/>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0" w:type="auto"/>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2" w:hRule="atLeast"/>
        </w:trPr>
        <w:tc>
          <w:tcPr>
            <w:tcW w:w="2010"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0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2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26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45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2010"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5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23,209.67</w:t>
            </w: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21,580.53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21,580.53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28,142.78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28,350.86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23,427.46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379.96</w:t>
            </w:r>
          </w:p>
        </w:tc>
        <w:tc>
          <w:tcPr>
            <w:tcW w:w="222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171.88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379.96</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1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28,522.74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28,522.74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23,589.63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8"/>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0" w:type="auto"/>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0"/>
                <w:szCs w:val="20"/>
                <w:u w:val="none"/>
              </w:rPr>
            </w:pP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57"/>
        <w:gridCol w:w="358"/>
        <w:gridCol w:w="358"/>
        <w:gridCol w:w="6619"/>
        <w:gridCol w:w="1605"/>
        <w:gridCol w:w="1464"/>
        <w:gridCol w:w="21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879" w:type="dxa"/>
            <w:gridSpan w:val="7"/>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8581"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298"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913"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3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21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75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3913"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33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75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913"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33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75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23,427.46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3,198.74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20,228.72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1,305.86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21,580.53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1,581.01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4,979.33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1,403.63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3,575.70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社会保险经办机构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2,816.65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1,403.63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1,413.02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公共就业服务和职业技能鉴定机构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4,028.12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对机关事业单位基本养老保险基金的补助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1,171.14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就业创业服务补贴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求职创业补贴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财政对基本养老保险基金的补助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财政对城乡居民基本养老保险基金的补助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2082699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财政对其他基本养老保险基金的补助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财政代缴社会保险费支出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2083001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财政代缴城乡居民基本养老保险费支出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普惠金融发展支出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2130804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创业担保贷款贴息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7"/>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2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1"/>
        <w:gridCol w:w="2883"/>
        <w:gridCol w:w="927"/>
        <w:gridCol w:w="661"/>
        <w:gridCol w:w="1994"/>
        <w:gridCol w:w="749"/>
        <w:gridCol w:w="661"/>
        <w:gridCol w:w="3594"/>
        <w:gridCol w:w="7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435" w:type="dxa"/>
            <w:gridSpan w:val="9"/>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5"/>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735"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50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8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17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8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7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91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7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735"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50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17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9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2,198.39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692.33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576.64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169.79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150.80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296.96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162.60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63.40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153.78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188.78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256.58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291.49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277.88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313.65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0.44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21.75</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2,489.88</w:t>
            </w:r>
          </w:p>
        </w:tc>
        <w:tc>
          <w:tcPr>
            <w:tcW w:w="0" w:type="auto"/>
            <w:gridSpan w:val="5"/>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9"/>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tbl>
      <w:tblPr>
        <w:tblStyle w:val="5"/>
        <w:tblW w:w="130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0"/>
        <w:gridCol w:w="1230"/>
        <w:gridCol w:w="766"/>
        <w:gridCol w:w="1408"/>
        <w:gridCol w:w="1215"/>
        <w:gridCol w:w="1080"/>
        <w:gridCol w:w="825"/>
        <w:gridCol w:w="1410"/>
        <w:gridCol w:w="766"/>
        <w:gridCol w:w="1200"/>
        <w:gridCol w:w="1185"/>
        <w:gridCol w:w="12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3080" w:type="dxa"/>
            <w:gridSpan w:val="12"/>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gridSpan w:val="6"/>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480"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6600" w:type="dxa"/>
            <w:gridSpan w:val="6"/>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780"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3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390"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108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82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41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150"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121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780"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3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6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21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108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2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1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6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2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18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121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780"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3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6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1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6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8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1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13080" w:type="dxa"/>
            <w:gridSpan w:val="1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tbl>
      <w:tblPr>
        <w:tblStyle w:val="5"/>
        <w:tblW w:w="126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9"/>
        <w:gridCol w:w="329"/>
        <w:gridCol w:w="329"/>
        <w:gridCol w:w="4031"/>
        <w:gridCol w:w="896"/>
        <w:gridCol w:w="1291"/>
        <w:gridCol w:w="1275"/>
        <w:gridCol w:w="909"/>
        <w:gridCol w:w="1308"/>
        <w:gridCol w:w="21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638"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342"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6"/>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342"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999"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29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3604"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2022"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87"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9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6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2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32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202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8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99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2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8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99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9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2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2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2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02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4,923.39</w:t>
            </w:r>
          </w:p>
        </w:tc>
        <w:tc>
          <w:tcPr>
            <w:tcW w:w="202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202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202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补助被征地农民支出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4,923.39</w:t>
            </w:r>
          </w:p>
        </w:tc>
        <w:tc>
          <w:tcPr>
            <w:tcW w:w="202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2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2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2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2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2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38" w:type="dxa"/>
            <w:gridSpan w:val="10"/>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p>
      <w:pPr>
        <w:tabs>
          <w:tab w:val="left" w:pos="682"/>
        </w:tabs>
        <w:bidi w:val="0"/>
        <w:jc w:val="left"/>
        <w:rPr>
          <w:rFonts w:hint="eastAsia"/>
          <w:sz w:val="10"/>
          <w:szCs w:val="10"/>
          <w:lang w:val="en-US" w:eastAsia="zh-CN"/>
        </w:rPr>
      </w:pPr>
    </w:p>
    <w:tbl>
      <w:tblPr>
        <w:tblStyle w:val="5"/>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39"/>
        <w:gridCol w:w="281"/>
        <w:gridCol w:w="281"/>
        <w:gridCol w:w="1385"/>
        <w:gridCol w:w="1002"/>
        <w:gridCol w:w="1002"/>
        <w:gridCol w:w="2309"/>
        <w:gridCol w:w="2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879" w:type="dxa"/>
            <w:gridSpan w:val="8"/>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部门：石家庄市鹿泉区人事劳动和社会保障局（汇总）</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337"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882"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5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5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037"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88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37"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88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37"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bl>
    <w:p>
      <w:pPr>
        <w:tabs>
          <w:tab w:val="left" w:pos="682"/>
        </w:tabs>
        <w:bidi w:val="0"/>
        <w:jc w:val="left"/>
        <w:rPr>
          <w:rFonts w:hint="eastAsia"/>
          <w:sz w:val="10"/>
          <w:szCs w:val="10"/>
          <w:lang w:val="en-US" w:eastAsia="zh-CN"/>
        </w:rPr>
        <w:sectPr>
          <w:pgSz w:w="16838" w:h="11906" w:orient="landscape"/>
          <w:pgMar w:top="1531" w:right="2098" w:bottom="1531" w:left="1984" w:header="851" w:footer="992" w:gutter="0"/>
          <w:pgNumType w:fmt="numberInDash"/>
          <w:cols w:space="0" w:num="1"/>
          <w:titlePg/>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540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D1F4F"/>
    <w:rsid w:val="00366D90"/>
    <w:rsid w:val="003D678E"/>
    <w:rsid w:val="00801F66"/>
    <w:rsid w:val="008B172C"/>
    <w:rsid w:val="008F57F8"/>
    <w:rsid w:val="009334BF"/>
    <w:rsid w:val="00E20C3F"/>
    <w:rsid w:val="04BF3ADE"/>
    <w:rsid w:val="04FA437A"/>
    <w:rsid w:val="06A91B1A"/>
    <w:rsid w:val="086E76C4"/>
    <w:rsid w:val="0AA25776"/>
    <w:rsid w:val="0BFF0E7E"/>
    <w:rsid w:val="0EA325C9"/>
    <w:rsid w:val="14AF5C9E"/>
    <w:rsid w:val="15EC54DE"/>
    <w:rsid w:val="176016BB"/>
    <w:rsid w:val="17A34AC1"/>
    <w:rsid w:val="17FA38CA"/>
    <w:rsid w:val="18857B65"/>
    <w:rsid w:val="19826AC7"/>
    <w:rsid w:val="19F14336"/>
    <w:rsid w:val="1AF714B4"/>
    <w:rsid w:val="1DDF7FBF"/>
    <w:rsid w:val="1DE146BC"/>
    <w:rsid w:val="1FB31ED5"/>
    <w:rsid w:val="1FD61320"/>
    <w:rsid w:val="223E7C95"/>
    <w:rsid w:val="22474370"/>
    <w:rsid w:val="22FB7ABB"/>
    <w:rsid w:val="236271A1"/>
    <w:rsid w:val="25E011F4"/>
    <w:rsid w:val="2803445A"/>
    <w:rsid w:val="28D36573"/>
    <w:rsid w:val="298653E4"/>
    <w:rsid w:val="2AE124D8"/>
    <w:rsid w:val="2B9C0105"/>
    <w:rsid w:val="2E451293"/>
    <w:rsid w:val="2FE13F52"/>
    <w:rsid w:val="315F46D4"/>
    <w:rsid w:val="316D47D0"/>
    <w:rsid w:val="324025CD"/>
    <w:rsid w:val="34122940"/>
    <w:rsid w:val="3461718B"/>
    <w:rsid w:val="34C45458"/>
    <w:rsid w:val="37CF7109"/>
    <w:rsid w:val="39180A97"/>
    <w:rsid w:val="3953282B"/>
    <w:rsid w:val="3B304753"/>
    <w:rsid w:val="3E644758"/>
    <w:rsid w:val="40A2584C"/>
    <w:rsid w:val="461365A5"/>
    <w:rsid w:val="483112B7"/>
    <w:rsid w:val="4D736E87"/>
    <w:rsid w:val="4DD742AF"/>
    <w:rsid w:val="4EE44018"/>
    <w:rsid w:val="508F70C8"/>
    <w:rsid w:val="51B46F58"/>
    <w:rsid w:val="54D2527F"/>
    <w:rsid w:val="56EC49FB"/>
    <w:rsid w:val="5B1B2C38"/>
    <w:rsid w:val="6138709E"/>
    <w:rsid w:val="615A2A2A"/>
    <w:rsid w:val="62661A55"/>
    <w:rsid w:val="62A71DFF"/>
    <w:rsid w:val="62CE3501"/>
    <w:rsid w:val="6347702E"/>
    <w:rsid w:val="63627A46"/>
    <w:rsid w:val="65FC0A9E"/>
    <w:rsid w:val="661A2B55"/>
    <w:rsid w:val="6A6F4488"/>
    <w:rsid w:val="6B80637A"/>
    <w:rsid w:val="6ED73858"/>
    <w:rsid w:val="6F801C67"/>
    <w:rsid w:val="7049493E"/>
    <w:rsid w:val="720C127F"/>
    <w:rsid w:val="769A6322"/>
    <w:rsid w:val="78E702C6"/>
    <w:rsid w:val="79004A18"/>
    <w:rsid w:val="7C6B37A5"/>
    <w:rsid w:val="7E0B36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chart" Target="charts/chart1.xml"/><Relationship Id="rId14" Type="http://schemas.openxmlformats.org/officeDocument/2006/relationships/image" Target="media/image3.png"/><Relationship Id="rId13" Type="http://schemas.openxmlformats.org/officeDocument/2006/relationships/image" Target="media/image2.bmp"/><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4698</Words>
  <Characters>5262</Characters>
  <Lines>82</Lines>
  <Paragraphs>23</Paragraphs>
  <TotalTime>2</TotalTime>
  <ScaleCrop>false</ScaleCrop>
  <LinksUpToDate>false</LinksUpToDate>
  <CharactersWithSpaces>5363</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rensh</cp:lastModifiedBy>
  <dcterms:modified xsi:type="dcterms:W3CDTF">2025-05-07T07:21:06Z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EEB0AF1058714613A8329AFD3B1DD3FB</vt:lpwstr>
  </property>
</Properties>
</file>