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sz w:val="21"/>
        </w:rPr>
        <mc:AlternateContent>
          <mc:Choice Requires="wps">
            <w:drawing>
              <wp:anchor distT="0" distB="0" distL="114300" distR="114300" simplePos="0" relativeHeight="251668480" behindDoc="0" locked="0" layoutInCell="1" allowOverlap="1">
                <wp:simplePos x="0" y="0"/>
                <wp:positionH relativeFrom="column">
                  <wp:posOffset>1374775</wp:posOffset>
                </wp:positionH>
                <wp:positionV relativeFrom="paragraph">
                  <wp:posOffset>7414895</wp:posOffset>
                </wp:positionV>
                <wp:extent cx="2571750" cy="619125"/>
                <wp:effectExtent l="0" t="0" r="0" b="0"/>
                <wp:wrapNone/>
                <wp:docPr id="3" name="文本框 3"/>
                <wp:cNvGraphicFramePr/>
                <a:graphic xmlns:a="http://schemas.openxmlformats.org/drawingml/2006/main">
                  <a:graphicData uri="http://schemas.microsoft.com/office/word/2010/wordprocessingShape">
                    <wps:wsp>
                      <wps:cNvSpPr txBox="1"/>
                      <wps:spPr>
                        <a:xfrm>
                          <a:off x="2346960" y="8747125"/>
                          <a:ext cx="2571750" cy="619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sz w:val="44"/>
                                <w:szCs w:val="44"/>
                                <w:lang w:val="en-US" w:eastAsia="zh-CN"/>
                              </w:rPr>
                            </w:pPr>
                            <w:r>
                              <w:rPr>
                                <w:rFonts w:hint="eastAsia" w:ascii="楷体" w:hAnsi="楷体" w:eastAsia="楷体" w:cs="楷体"/>
                                <w:sz w:val="44"/>
                                <w:szCs w:val="44"/>
                                <w:lang w:val="en-US" w:eastAsia="zh-CN"/>
                              </w:rPr>
                              <w:t>2021年10月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8.25pt;margin-top:583.85pt;height:48.75pt;width:202.5pt;z-index:251668480;mso-width-relative:page;mso-height-relative:page;" filled="f" stroked="f" coordsize="21600,21600" o:gfxdata="UEsDBAoAAAAAAIdO4kAAAAAAAAAAAAAAAAAEAAAAZHJzL1BLAwQUAAAACACHTuJAxfhZR9sAAAAN&#10;AQAADwAAAGRycy9kb3ducmV2LnhtbE2PS0/DMBCE70j8B2uRuFHHlpJWIU6FIlVICA4tvXDbxG4S&#10;4UeI3Qf8epYTPe7Mp9mZan1xlp3MHMfgFYhFBsz4LujR9wr275uHFbCY0Gu0wRsF3ybCur69qbDU&#10;4ey35rRLPaMQH0tUMKQ0lZzHbjAO4yJMxpN3CLPDROfccz3jmcKd5TLLCu5w9PRhwMk0g+k+d0en&#10;4KXZvOG2lW71Y5vn18PT9LX/yJW6vxPZI7BkLukfhr/6VB1q6tSGo9eRWQVSFDmhZIhiuQRGSCEF&#10;SS1Jssgl8Lri1yvqX1BLAwQUAAAACACHTuJAuNq6Q0QCAAByBAAADgAAAGRycy9lMm9Eb2MueG1s&#10;rVRLbtswEN0X6B0I7htZ/sZG5MBNkKJA0ARwi65piooE8FeStuQeoL1BVt1033PlHH2U5MRNu8ii&#10;G3rIeXoz82bGZ+eNkmQnnK+Mzmh6MqBEaG7ySt9l9NPHqzenlPjAdM6k0SKje+Hp+fL1q7PaLsTQ&#10;lEbmwhGQaL+obUbLEOwiSTwvhWL+xFih4SyMUyzg6u6S3LEa7Eomw8FgmtTG5dYZLrzH62XnpD2j&#10;ewmhKYqKi0vDt0ro0LE6IVlASb6srKfLNtuiEDzcFIUXgciMotLQnggCexPPZHnGFneO2bLifQrs&#10;JSk8q0mxSiPoI9UlC4xsXfUXlaq4M94U4YQblXSFtIqginTwTJt1yaxoa4HU3j6K7v8fLf+wu3Wk&#10;yjM6okQzhYY/3H9/+PHr4ec3Mory1NYvgFpb4ELz1jQYmsO7x2Osuimcir+oh8A/HI2n8ykk3mf0&#10;dDaepcNJJ7RoAuERMJmlswkAHIhpOu8ByROTdT68E0aRaGTUoZGtvmx37QOyAvQAiYG1uaqkbJsp&#10;NalBOgL9Hx58ITU+jPV0eUcrNJumL3Jj8j1qdKYbEm/5VYXg18yHW+YwFcgXexNucBTSIIjpLUpK&#10;477+6z3i0Sx4KakxZRn1X7bMCUrke402ztPxGLShvYwnsyEu7tizOfborbowGOQUG2p5a0Z8kAez&#10;cEZ9xnqtYlS4mOaIndFwMC9CN/tYTy5WqxaEQbQsXOu15ZG6E221DaaoWqWjTJ02vXoYxbYB/drE&#10;WT++t6inv4rl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MX4WUfbAAAADQEAAA8AAAAAAAAAAQAg&#10;AAAAIgAAAGRycy9kb3ducmV2LnhtbFBLAQIUABQAAAAIAIdO4kC42rpDRAIAAHIEAAAOAAAAAAAA&#10;AAEAIAAAACoBAABkcnMvZTJvRG9jLnhtbFBLBQYAAAAABgAGAFkBAADgBQAAAAA=&#10;">
                <v:fill on="f" focussize="0,0"/>
                <v:stroke on="f" weight="0.5pt"/>
                <v:imagedata o:title=""/>
                <o:lock v:ext="edit" aspectratio="f"/>
                <v:textbox>
                  <w:txbxContent>
                    <w:p>
                      <w:pPr>
                        <w:jc w:val="center"/>
                        <w:rPr>
                          <w:rFonts w:hint="eastAsia" w:ascii="楷体" w:hAnsi="楷体" w:eastAsia="楷体" w:cs="楷体"/>
                          <w:sz w:val="44"/>
                          <w:szCs w:val="44"/>
                          <w:lang w:val="en-US" w:eastAsia="zh-CN"/>
                        </w:rPr>
                      </w:pPr>
                      <w:r>
                        <w:rPr>
                          <w:rFonts w:hint="eastAsia" w:ascii="楷体" w:hAnsi="楷体" w:eastAsia="楷体" w:cs="楷体"/>
                          <w:sz w:val="44"/>
                          <w:szCs w:val="44"/>
                          <w:lang w:val="en-US" w:eastAsia="zh-CN"/>
                        </w:rPr>
                        <w:t>2021年10月</w:t>
                      </w:r>
                    </w:p>
                  </w:txbxContent>
                </v:textbox>
              </v:shape>
            </w:pict>
          </mc:Fallback>
        </mc:AlternateContent>
      </w:r>
      <w:r>
        <w:drawing>
          <wp:anchor distT="0" distB="0" distL="114300" distR="114300" simplePos="0" relativeHeight="251669504" behindDoc="1" locked="0" layoutInCell="1" allowOverlap="1">
            <wp:simplePos x="0" y="0"/>
            <wp:positionH relativeFrom="column">
              <wp:posOffset>-997585</wp:posOffset>
            </wp:positionH>
            <wp:positionV relativeFrom="paragraph">
              <wp:posOffset>-963930</wp:posOffset>
            </wp:positionV>
            <wp:extent cx="7592060" cy="10739755"/>
            <wp:effectExtent l="0" t="0" r="8890" b="4445"/>
            <wp:wrapNone/>
            <wp:docPr id="5" name="图片 5"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决算封面无"/>
                    <pic:cNvPicPr>
                      <a:picLocks noChangeAspect="1"/>
                    </pic:cNvPicPr>
                  </pic:nvPicPr>
                  <pic:blipFill>
                    <a:blip r:embed="rId12"/>
                    <a:stretch>
                      <a:fillRect/>
                    </a:stretch>
                  </pic:blipFill>
                  <pic:spPr>
                    <a:xfrm>
                      <a:off x="0" y="0"/>
                      <a:ext cx="7592060" cy="10739755"/>
                    </a:xfrm>
                    <a:prstGeom prst="rect">
                      <a:avLst/>
                    </a:prstGeom>
                  </pic:spPr>
                </pic:pic>
              </a:graphicData>
            </a:graphic>
          </wp:anchor>
        </w:drawing>
      </w:r>
      <w:r>
        <w:rPr>
          <w:rFonts w:hint="eastAsia"/>
          <w:lang w:val="en-US" w:eastAsia="zh-CN"/>
        </w:rPr>
        <w:t xml:space="preserve">    </w: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石家庄市鹿泉区人力资源和社会保障局（本级）</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default" w:ascii="黑体" w:hAnsi="黑体" w:eastAsia="黑体" w:cs="黑体"/>
          <w:sz w:val="72"/>
          <w:szCs w:val="96"/>
          <w:lang w:val="en-US" w:eastAsia="zh-CN"/>
        </w:rPr>
      </w:pPr>
      <w:r>
        <w:rPr>
          <w:rFonts w:hint="eastAsia" w:ascii="黑体" w:hAnsi="黑体" w:eastAsia="黑体" w:cs="黑体"/>
          <w:sz w:val="72"/>
          <w:szCs w:val="96"/>
          <w:lang w:val="en-US" w:eastAsia="zh-CN"/>
        </w:rPr>
        <w:t>石家庄市鹿泉区人力资源和社会保障局（本级）</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first"/>
          <w:footerReference r:id="rId3" w:type="default"/>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6" w:type="first"/>
          <w:footerReference r:id="rId8" w:type="first"/>
          <w:headerReference r:id="rId5" w:type="default"/>
          <w:footerReference r:id="rId7"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1312;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（一）贯彻执行国家有关人力资源和社会保障的法律法规和政策，拟订全区人力资源和社会保障事业发展规划。</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（二）拟订人力资源市场发展规划和人力资源服务业发展、人力资源流动政策，促进人力资源合理流动、有效配置。按照管理权限拟订人员（不含公务员）调配政策和特殊人员安置政策。</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（五）负责就业、失业和相关社会保险基金预测预警和信息引导，拟订应对预案，实施预防、调节和控制，保持就业形势稳定和社会保险基金总体收支平衡。</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（十一）负责农民工工作，对政策落实情况进行监督检查，协调解决重点难点问题，维护农民工合法权益。</w:t>
      </w:r>
    </w:p>
    <w:p>
      <w:pPr>
        <w:keepNext/>
        <w:keepLines/>
        <w:spacing w:line="580" w:lineRule="exact"/>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（十二）负责人力资源和社会保障对外交流与合作工作。</w:t>
      </w:r>
    </w:p>
    <w:p>
      <w:pPr>
        <w:keepNext/>
        <w:keepLines/>
        <w:spacing w:line="580" w:lineRule="exact"/>
        <w:jc w:val="left"/>
        <w:outlineLvl w:val="0"/>
        <w:rPr>
          <w:rFonts w:hint="eastAsia" w:ascii="仿宋_GB2312" w:eastAsia="仿宋_GB2312" w:cs="ArialUnicodeMS"/>
          <w:kern w:val="0"/>
          <w:sz w:val="32"/>
          <w:szCs w:val="32"/>
          <w:highlight w:val="none"/>
          <w:lang w:eastAsia="zh-CN"/>
        </w:rPr>
      </w:pPr>
      <w:r>
        <w:rPr>
          <w:rFonts w:hint="eastAsia" w:ascii="仿宋_GB2312" w:eastAsia="仿宋_GB2312" w:cs="ArialUnicodeMS"/>
          <w:kern w:val="0"/>
          <w:sz w:val="32"/>
          <w:szCs w:val="32"/>
          <w:highlight w:val="none"/>
        </w:rPr>
        <w:t>（十三）完成区委、区政府交办的其他任务</w:t>
      </w:r>
      <w:r>
        <w:rPr>
          <w:rFonts w:hint="eastAsia" w:ascii="仿宋_GB2312" w:eastAsia="仿宋_GB2312" w:cs="ArialUnicodeMS"/>
          <w:kern w:val="0"/>
          <w:sz w:val="32"/>
          <w:szCs w:val="32"/>
          <w:highlight w:val="none"/>
          <w:lang w:eastAsia="zh-CN"/>
        </w:rPr>
        <w:t>。</w:t>
      </w:r>
    </w:p>
    <w:p>
      <w:pPr>
        <w:keepNext/>
        <w:keepLines/>
        <w:spacing w:line="580" w:lineRule="exact"/>
        <w:jc w:val="left"/>
        <w:outlineLvl w:val="0"/>
        <w:rPr>
          <w:rFonts w:hint="eastAsia" w:ascii="仿宋_GB2312" w:eastAsia="仿宋_GB2312" w:cs="ArialUnicodeMS"/>
          <w:kern w:val="0"/>
          <w:sz w:val="32"/>
          <w:szCs w:val="32"/>
          <w:highlight w:val="none"/>
        </w:rPr>
      </w:pPr>
    </w:p>
    <w:p>
      <w:pPr>
        <w:keepNext/>
        <w:keepLines/>
        <w:spacing w:line="580" w:lineRule="exact"/>
        <w:jc w:val="left"/>
        <w:outlineLvl w:val="0"/>
        <w:rPr>
          <w:rFonts w:hint="eastAsia" w:ascii="仿宋_GB2312" w:eastAsia="仿宋_GB2312" w:cs="ArialUnicodeMS"/>
          <w:kern w:val="0"/>
          <w:sz w:val="32"/>
          <w:szCs w:val="32"/>
          <w:highlight w:val="none"/>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6"/>
        <w:tblpPr w:leftFromText="180" w:rightFromText="180" w:vertAnchor="text" w:horzAnchor="page" w:tblpX="1689" w:tblpY="1429"/>
        <w:tblOverlap w:val="never"/>
        <w:tblW w:w="8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tcPr>
          <w:p>
            <w:pPr>
              <w:spacing w:line="56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1</w:t>
            </w:r>
          </w:p>
        </w:tc>
        <w:tc>
          <w:tcPr>
            <w:tcW w:w="3239" w:type="dxa"/>
            <w:vAlign w:val="center"/>
          </w:tcPr>
          <w:p>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Calibri" w:eastAsia="仿宋_GB2312" w:cs="ArialUnicodeMS"/>
                <w:kern w:val="0"/>
                <w:sz w:val="28"/>
                <w:szCs w:val="28"/>
                <w:lang w:eastAsia="zh-CN"/>
              </w:rPr>
              <w:t>石家庄市鹿泉区人力资源和社会保障局</w:t>
            </w:r>
            <w:r>
              <w:rPr>
                <w:rFonts w:hint="eastAsia" w:ascii="仿宋_GB2312" w:hAnsi="Calibri" w:eastAsia="仿宋_GB2312" w:cs="ArialUnicodeMS"/>
                <w:kern w:val="0"/>
                <w:sz w:val="28"/>
                <w:szCs w:val="28"/>
              </w:rPr>
              <w:t>(本级)</w:t>
            </w:r>
          </w:p>
        </w:tc>
        <w:tc>
          <w:tcPr>
            <w:tcW w:w="2272" w:type="dxa"/>
            <w:vAlign w:val="center"/>
          </w:tcPr>
          <w:p>
            <w:pPr>
              <w:spacing w:line="300" w:lineRule="exact"/>
              <w:jc w:val="center"/>
              <w:rPr>
                <w:rFonts w:hint="eastAsia" w:ascii="仿宋_GB2312" w:hAnsi="仿宋_GB2312" w:eastAsia="仿宋_GB2312" w:cs="仿宋_GB2312"/>
                <w:kern w:val="0"/>
                <w:sz w:val="21"/>
                <w:szCs w:val="21"/>
              </w:rPr>
            </w:pPr>
            <w:r>
              <w:rPr>
                <w:rFonts w:hint="eastAsia" w:ascii="仿宋_GB2312" w:hAnsi="Calibri" w:eastAsia="仿宋_GB2312" w:cs="ArialUnicodeMS"/>
                <w:kern w:val="0"/>
                <w:sz w:val="28"/>
                <w:szCs w:val="28"/>
                <w:lang w:eastAsia="zh-CN"/>
              </w:rPr>
              <w:t>行政单位</w:t>
            </w:r>
          </w:p>
        </w:tc>
        <w:tc>
          <w:tcPr>
            <w:tcW w:w="2479" w:type="dxa"/>
            <w:vAlign w:val="center"/>
          </w:tcPr>
          <w:p>
            <w:pPr>
              <w:spacing w:line="300" w:lineRule="exact"/>
              <w:jc w:val="center"/>
              <w:rPr>
                <w:rFonts w:hint="eastAsia" w:ascii="仿宋_GB2312" w:hAnsi="仿宋_GB2312" w:eastAsia="仿宋_GB2312" w:cs="仿宋_GB2312"/>
                <w:kern w:val="2"/>
                <w:sz w:val="21"/>
                <w:szCs w:val="21"/>
                <w:lang w:val="en-US" w:eastAsia="zh-CN" w:bidi="ar-SA"/>
              </w:rPr>
            </w:pPr>
            <w:r>
              <w:rPr>
                <w:rFonts w:hint="eastAsia" w:ascii="仿宋_GB2312" w:hAnsi="Calibri" w:eastAsia="仿宋_GB2312" w:cs="ArialUnicodeMS"/>
                <w:kern w:val="0"/>
                <w:sz w:val="28"/>
                <w:szCs w:val="28"/>
                <w:lang w:eastAsia="zh-CN"/>
              </w:rPr>
              <w:t>财政拨款</w:t>
            </w:r>
          </w:p>
        </w:tc>
      </w:tr>
    </w:tbl>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本部门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p/>
    <w:p>
      <w:pPr>
        <w:widowControl/>
        <w:spacing w:after="160" w:line="580" w:lineRule="exact"/>
        <w:ind w:firstLine="1440" w:firstLineChars="200"/>
        <w:rPr>
          <w:rFonts w:ascii="Times New Roman" w:hAnsi="Times New Roman" w:eastAsia="黑体" w:cs="Times New Roman"/>
          <w:sz w:val="32"/>
          <w:szCs w:val="32"/>
        </w:rPr>
        <w:sectPr>
          <w:headerReference r:id="rId9"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240" w:lineRule="auto"/>
        <w:ind w:firstLine="420" w:firstLineChars="200"/>
        <w:outlineLvl w:val="1"/>
        <w:rPr>
          <w:rFonts w:hint="eastAsia" w:ascii="黑体" w:hAnsi="Calibri" w:eastAsia="黑体" w:cs="Times New Roman"/>
          <w:sz w:val="32"/>
          <w:szCs w:val="32"/>
          <w:lang w:eastAsia="zh-CN"/>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4999.81</w:t>
      </w:r>
      <w:r>
        <w:rPr>
          <w:rFonts w:hint="eastAsia" w:ascii="仿宋_GB2312" w:hAnsi="Times New Roman" w:eastAsia="仿宋_GB2312" w:cs="Wingdings"/>
          <w:sz w:val="32"/>
          <w:szCs w:val="32"/>
        </w:rPr>
        <w:t>万元。与2019年度决算相比，收支各</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131.32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增长</w:t>
      </w:r>
      <w:r>
        <w:rPr>
          <w:rFonts w:hint="eastAsia" w:ascii="仿宋_GB2312" w:hAnsi="Times New Roman" w:eastAsia="仿宋_GB2312" w:cs="Wingdings"/>
          <w:sz w:val="32"/>
          <w:szCs w:val="32"/>
          <w:lang w:val="en-US" w:eastAsia="zh-CN"/>
        </w:rPr>
        <w:t>2.7%（如图1）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项目资金增加、人员增资等。</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240" w:lineRule="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lang w:eastAsia="zh-CN"/>
        </w:rPr>
        <w:drawing>
          <wp:inline distT="0" distB="0" distL="114300" distR="114300">
            <wp:extent cx="4584065" cy="3011170"/>
            <wp:effectExtent l="0" t="0" r="6985" b="17780"/>
            <wp:docPr id="9" name="图片 9"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1"/>
                    <pic:cNvPicPr>
                      <a:picLocks noChangeAspect="1"/>
                    </pic:cNvPicPr>
                  </pic:nvPicPr>
                  <pic:blipFill>
                    <a:blip r:embed="rId14"/>
                    <a:stretch>
                      <a:fillRect/>
                    </a:stretch>
                  </pic:blipFill>
                  <pic:spPr>
                    <a:xfrm>
                      <a:off x="0" y="0"/>
                      <a:ext cx="4584065" cy="3011170"/>
                    </a:xfrm>
                    <a:prstGeom prst="rect">
                      <a:avLst/>
                    </a:prstGeom>
                  </pic:spPr>
                </pic:pic>
              </a:graphicData>
            </a:graphic>
          </wp:inline>
        </w:drawing>
      </w:r>
    </w:p>
    <w:p>
      <w:pPr>
        <w:rPr>
          <w:rFonts w:hint="eastAsia" w:ascii="黑体" w:hAnsi="Calibri" w:eastAsia="黑体" w:cs="Times New Roman"/>
          <w:sz w:val="32"/>
          <w:szCs w:val="32"/>
        </w:rPr>
      </w:pPr>
      <w:r>
        <w:rPr>
          <w:sz w:val="32"/>
        </w:rPr>
        <mc:AlternateContent>
          <mc:Choice Requires="wps">
            <w:drawing>
              <wp:anchor distT="0" distB="0" distL="114300" distR="114300" simplePos="0" relativeHeight="251667456" behindDoc="0" locked="0" layoutInCell="1" allowOverlap="1">
                <wp:simplePos x="0" y="0"/>
                <wp:positionH relativeFrom="column">
                  <wp:posOffset>741680</wp:posOffset>
                </wp:positionH>
                <wp:positionV relativeFrom="paragraph">
                  <wp:posOffset>269875</wp:posOffset>
                </wp:positionV>
                <wp:extent cx="4209415" cy="390525"/>
                <wp:effectExtent l="0" t="0" r="635" b="9525"/>
                <wp:wrapNone/>
                <wp:docPr id="33" name="文本框 33"/>
                <wp:cNvGraphicFramePr/>
                <a:graphic xmlns:a="http://schemas.openxmlformats.org/drawingml/2006/main">
                  <a:graphicData uri="http://schemas.microsoft.com/office/word/2010/wordprocessingShape">
                    <wps:wsp>
                      <wps:cNvSpPr txBox="1"/>
                      <wps:spPr>
                        <a:xfrm>
                          <a:off x="1713865" y="5808345"/>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8.4pt;margin-top:21.25pt;height:30.75pt;width:331.45pt;z-index:251667456;mso-width-relative:page;mso-height-relative:page;" fillcolor="#FFFFFF" filled="t" stroked="f" coordsize="21600,21600" o:gfxdata="UEsDBAoAAAAAAIdO4kAAAAAAAAAAAAAAAAAEAAAAZHJzL1BLAwQUAAAACACHTuJAQbnVD9UAAAAK&#10;AQAADwAAAGRycy9kb3ducmV2LnhtbE2PzU7DMBCE70i8g7VI3KidKjSQxukBiSsSbenZjZc4qr2O&#10;Yvf36VlOcBzNaOabZnUJXpxwSkMkDcVMgUDqoh2o17DdvD+9gEjZkDU+Emq4YoJVe3/XmNrGM33i&#10;aZ17wSWUaqPB5TzWUqbOYTBpFkck9r7jFExmOfXSTubM5cHLuVILGcxAvODMiG8Ou8P6GDTs+nDb&#10;fRXj5GzwJX3crpttHLR+fCjUEkTGS/4Lwy8+o0PLTPt4JJuEZ10sGD1rKOfPIDhQVa8ViD07qlQg&#10;20b+v9D+AFBLAwQUAAAACACHTuJAaL+aK2UCAACrBAAADgAAAGRycy9lMm9Eb2MueG1srVTNbtsw&#10;DL4P2DsIuq92fpsGdYqsRYYBwVogG3ZWZDkWIImapMTOHmB7g5522X3PlecYJSdt1+3Qw3JwSPHz&#10;R/Ej6curViuyE85LMAXtneWUCMOhlGZT0E8fF28mlPjATMkUGFHQvfD0avb61WVjp6IPNahSOIIk&#10;xk8bW9A6BDvNMs9roZk/AysMBitwmgV03SYrHWuQXausn+fjrAFXWgdceI+nN12QHhndSwihqiQX&#10;N8C3WpjQsTqhWMCSfC2tp7N026oSPNxWlReBqIJipSE9MQna6/jMZpdsunHM1pIfr8BecoVnNWkm&#10;DSZ9oLphgZGtk39RackdeKjCGQeddYUkRbCKXv5Mm1XNrEi1oNTePoju/x8t/7C7c0SWBR0MKDFM&#10;Y8cP998PP34dfn4jeIYCNdZPEbeyiAztW2hxbE7nHg9j3W3ldPzHikiMn/cGk/GIkn1BR5N8MhiO&#10;OqlFGwhHwLCfXwx7COCIGFzko34CZI9M1vnwToAm0Siow1Ymhdlu6QPeCqEnSEzsQclyIZVKjtus&#10;r5UjO4ZtX6RfTI+v/AFThjQFHQ9GeWI2EN/vcMpEHpEm6JgvytCVG63QrtujNmso9yiNg266vOUL&#10;iXdeMh/umMNxwmHDhQu3+KgUYEo4WpTU4L7+6zziscsYpaTB8Syo/7JlTlCi3hvs/0VvOIzznJzh&#10;6LyPjnsaWT+NmK2+BpSih6tteTIjPqiTWTnQn3Ev5zErhpjhmLug4WReh25pcK+5mM8TCCfYsrA0&#10;K8sjdRTMwHwboJKpQVGmThuUPjo4w6kJx32LS/LUT6jHb8zs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EG51Q/VAAAACgEAAA8AAAAAAAAAAQAgAAAAIgAAAGRycy9kb3ducmV2LnhtbFBLAQIUABQA&#10;AAAIAIdO4kBov5orZQIAAKsEAAAOAAAAAAAAAAEAIAAAACQBAABkcnMvZTJvRG9jLnhtbFBLBQYA&#10;AAAABgAGAFkBAAD7BQ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w:pict>
          </mc:Fallback>
        </mc:AlternateContent>
      </w:r>
    </w:p>
    <w:p>
      <w:pPr>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4817.65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均为一般公共预算财政拨款。</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val="en-US" w:eastAsia="zh-CN"/>
        </w:rPr>
        <w:t>按功能分类看：</w:t>
      </w:r>
      <w:r>
        <w:rPr>
          <w:rFonts w:hint="eastAsia" w:ascii="仿宋_GB2312" w:hAnsi="Times New Roman" w:eastAsia="仿宋_GB2312" w:cs="Wingdings"/>
          <w:color w:val="auto"/>
          <w:sz w:val="32"/>
          <w:szCs w:val="32"/>
          <w:lang w:val="en-US" w:eastAsia="zh-CN"/>
        </w:rPr>
        <w:t>一般公共服务支出1328.17，占27.57%；</w:t>
      </w:r>
      <w:r>
        <w:rPr>
          <w:rFonts w:hint="eastAsia" w:ascii="仿宋_GB2312" w:hAnsi="Times New Roman" w:eastAsia="仿宋_GB2312" w:cs="Wingdings"/>
          <w:sz w:val="32"/>
          <w:szCs w:val="32"/>
          <w:lang w:val="en-US" w:eastAsia="zh-CN"/>
        </w:rPr>
        <w:t>社会保障和就业支出3255.61万元，占67.58%；卫生健康支出72.64万元，占1.51%；节能环保支出73万元，占1.52%；住房保障支出88.23万元，占1.83%（见图2）。</w:t>
      </w:r>
    </w:p>
    <w:p>
      <w:pPr>
        <w:adjustRightInd w:val="0"/>
        <w:snapToGrid w:val="0"/>
        <w:spacing w:line="240" w:lineRule="auto"/>
        <w:rPr>
          <w:rFonts w:hint="eastAsia" w:ascii="黑体" w:hAnsi="Calibri" w:eastAsia="黑体" w:cs="Times New Roman"/>
          <w:sz w:val="32"/>
          <w:szCs w:val="32"/>
          <w:lang w:eastAsia="zh-CN"/>
        </w:rPr>
      </w:pPr>
      <w:r>
        <w:rPr>
          <w:rFonts w:hint="eastAsia" w:ascii="黑体" w:hAnsi="Calibri" w:eastAsia="黑体" w:cs="Times New Roman"/>
          <w:sz w:val="32"/>
          <w:szCs w:val="32"/>
          <w:lang w:eastAsia="zh-CN"/>
        </w:rPr>
        <w:drawing>
          <wp:inline distT="0" distB="0" distL="114300" distR="114300">
            <wp:extent cx="5565775" cy="3669665"/>
            <wp:effectExtent l="0" t="0" r="12065" b="3175"/>
            <wp:docPr id="18" name="图片 18"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6"/>
                    <pic:cNvPicPr>
                      <a:picLocks noChangeAspect="1"/>
                    </pic:cNvPicPr>
                  </pic:nvPicPr>
                  <pic:blipFill>
                    <a:blip r:embed="rId15"/>
                    <a:stretch>
                      <a:fillRect/>
                    </a:stretch>
                  </pic:blipFill>
                  <pic:spPr>
                    <a:xfrm>
                      <a:off x="0" y="0"/>
                      <a:ext cx="5565775" cy="3669665"/>
                    </a:xfrm>
                    <a:prstGeom prst="rect">
                      <a:avLst/>
                    </a:prstGeom>
                  </pic:spPr>
                </pic:pic>
              </a:graphicData>
            </a:graphic>
          </wp:inline>
        </w:drawing>
      </w:r>
    </w:p>
    <w:p>
      <w:pPr>
        <w:snapToGrid w:val="0"/>
        <w:spacing w:line="600" w:lineRule="exact"/>
        <w:outlineLvl w:val="1"/>
        <w:rPr>
          <w:rFonts w:ascii="黑体" w:hAnsi="Calibri" w:eastAsia="黑体"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2:收入决算构成情况（按支出功能分类）</w:t>
      </w: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hint="eastAsia" w:ascii="黑体" w:hAnsi="Calibri" w:eastAsia="黑体" w:cs="Times New Roman"/>
          <w:sz w:val="32"/>
          <w:szCs w:val="32"/>
        </w:rPr>
      </w:pPr>
      <w:r>
        <w:rPr>
          <w:rFonts w:hint="eastAsia" w:ascii="黑体" w:hAnsi="Calibri" w:eastAsia="黑体" w:cs="Times New Roman"/>
          <w:sz w:val="32"/>
          <w:szCs w:val="32"/>
        </w:rPr>
        <w:t>三、支出决算情况说明</w:t>
      </w:r>
    </w:p>
    <w:p>
      <w:pPr>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本单位2020年度本年支出合计4957.95万元，按支出性质看，基本支出1529.18万元，占全部支出的30.84%，其中人员经费支出1099.88万元，占22.18%，公用经费支出429.30万元，占8.66%；项目支出3428.77万元，占全部支出的69.16%，全部为行政事业类项目（见图3）。 </w:t>
      </w:r>
    </w:p>
    <w:p>
      <w:pPr>
        <w:adjustRightInd w:val="0"/>
        <w:snapToGrid w:val="0"/>
        <w:spacing w:line="240" w:lineRule="auto"/>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lang w:val="en-US" w:eastAsia="zh-CN"/>
        </w:rPr>
        <w:drawing>
          <wp:inline distT="0" distB="0" distL="114300" distR="114300">
            <wp:extent cx="5499100" cy="3405505"/>
            <wp:effectExtent l="0" t="0" r="2540" b="8255"/>
            <wp:docPr id="14" name="图片 1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图片2"/>
                    <pic:cNvPicPr>
                      <a:picLocks noChangeAspect="1"/>
                    </pic:cNvPicPr>
                  </pic:nvPicPr>
                  <pic:blipFill>
                    <a:blip r:embed="rId16"/>
                    <a:stretch>
                      <a:fillRect/>
                    </a:stretch>
                  </pic:blipFill>
                  <pic:spPr>
                    <a:xfrm>
                      <a:off x="0" y="0"/>
                      <a:ext cx="5499100" cy="3405505"/>
                    </a:xfrm>
                    <a:prstGeom prst="rect">
                      <a:avLst/>
                    </a:prstGeom>
                  </pic:spPr>
                </pic:pic>
              </a:graphicData>
            </a:graphic>
          </wp:inline>
        </w:drawing>
      </w:r>
    </w:p>
    <w:p>
      <w:pPr>
        <w:adjustRightInd w:val="0"/>
        <w:snapToGrid w:val="0"/>
        <w:spacing w:line="600" w:lineRule="exact"/>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4384" behindDoc="1" locked="0" layoutInCell="1" allowOverlap="1">
                <wp:simplePos x="0" y="0"/>
                <wp:positionH relativeFrom="column">
                  <wp:posOffset>777875</wp:posOffset>
                </wp:positionH>
                <wp:positionV relativeFrom="paragraph">
                  <wp:posOffset>95250</wp:posOffset>
                </wp:positionV>
                <wp:extent cx="4209415" cy="390525"/>
                <wp:effectExtent l="0" t="0" r="12065" b="5715"/>
                <wp:wrapNone/>
                <wp:docPr id="24" name="文本框 24"/>
                <wp:cNvGraphicFramePr/>
                <a:graphic xmlns:a="http://schemas.openxmlformats.org/drawingml/2006/main">
                  <a:graphicData uri="http://schemas.microsoft.com/office/word/2010/wordprocessingShape">
                    <wps:wsp>
                      <wps:cNvSpPr txBox="1"/>
                      <wps:spPr>
                        <a:xfrm>
                          <a:off x="1750060" y="904748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25pt;margin-top:7.5pt;height:30.75pt;width:331.45pt;z-index:-251652096;mso-width-relative:page;mso-height-relative:page;" fillcolor="#FFFFFF" filled="t" stroked="f" coordsize="21600,21600" o:gfxdata="UEsDBAoAAAAAAIdO4kAAAAAAAAAAAAAAAAAEAAAAZHJzL1BLAwQUAAAACACHTuJAHJtcWNQAAAAJ&#10;AQAADwAAAGRycy9kb3ducmV2LnhtbE2PS0/DMBCE70j8B2uRuFEnUVOqEKcHJK6V+qBnN17iCHsd&#10;2e7z17Oc4Daj/TQ7066u3okzxjQGUlDOChBIfTAjDQr2u4+XJYiUNRntAqGCGyZYdY8PrW5MuNAG&#10;z9s8CA6h1GgFNuepkTL1Fr1OszAh8e0rRK8z2zhIE/WFw72TVVEspNcj8QerJ3y32H9vT17BYfD3&#10;w2c5RWu8m9P6ftvtw6jU81NZvIHIeM1/MPzW5+rQcadjOJFJwrGvqppRFjVvYuB1Wc9BHFksapBd&#10;K/8v6H4AUEsDBBQAAAAIAIdO4kBOLIbSYQIAAKsEAAAOAAAAZHJzL2Uyb0RvYy54bWytVMFuEzEQ&#10;vSPxD5bvdDfppm2ibqqQKAipopUK4ux4vVlLtsfYTnbLB8Af9MSFO9/V72Ds3bSlcOiBHJwZz8sb&#10;z5uZnF90WpG9cF6CKenoKKdEGA6VNNuSfvq4fnNGiQ/MVEyBESW9FZ5ezF+/Om/tTIyhAVUJR5DE&#10;+FlrS9qEYGdZ5nkjNPNHYIXBYA1Os4Cu22aVYy2ya5WN8/wka8FV1gEX3uPtqg/SgdG9hBDqWnKx&#10;Ar7TwoSe1QnFApbkG2k9nafX1rXg4aquvQhElRQrDenEJGhv4pnNz9ls65htJB+ewF7yhGc1aSYN&#10;Jn2gWrHAyM7Jv6i05A481OGIg876QpIiWMUof6bNTcOsSLWg1N4+iO7/Hy3/sL92RFYlHReUGKax&#10;4/d33+9//Lr/+Y3gHQrUWj9D3I1FZOjeQodjc7j3eBnr7mqn4zdWRGL8dIKtRpFvSzrNi9PibJBa&#10;dIFwBBTjfFqMJpRwRBxP88l4EimzRybrfHgnQJNolNRhK5PCbH/pQw89QGJiD0pWa6lUctx2s1SO&#10;7Bm2fZ0+A/sfMGVIW9KT40memA3E3/fUykQekSZoyBdl6MuNVug23aDNBqpblMZBP13e8rXEN18y&#10;H66Zw3FCHXDhwhUetQJMCYNFSQPu67/uIx67jFFKWhzPkvovO+YEJeq9wf5PR0UR5zk5xeR0jI57&#10;Gtk8jZidXgJKMcLVtjyZER/Uwawd6M+4l4uYFUPMcMxd0nAwl6FfGtxrLhaLBMIJtixcmhvLI3UU&#10;zMBiF6CWqUFRpl4bbGx0cIZTi4d9i0vy1E+ox/+Y+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Ac&#10;m1xY1AAAAAkBAAAPAAAAAAAAAAEAIAAAACIAAABkcnMvZG93bnJldi54bWxQSwECFAAUAAAACACH&#10;TuJATiyG0mECAACrBAAADgAAAAAAAAABACAAAAAjAQAAZHJzL2Uyb0RvYy54bWxQSwUGAAAAAAYA&#10;BgBZAQAA9g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left="638" w:leftChars="304" w:firstLine="0" w:firstLineChars="0"/>
        <w:rPr>
          <w:rFonts w:hint="eastAsia"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rPr>
        <w:t>（一）财政拨款收支与2019年度决算对比情况</w:t>
      </w:r>
      <w:r>
        <w:rPr>
          <w:rFonts w:hint="eastAsia" w:ascii="楷体_GB2312" w:hAnsi="Times New Roman" w:eastAsia="楷体_GB2312" w:cs="Mongolian Baiti"/>
          <w:b/>
          <w:bCs/>
          <w:sz w:val="32"/>
          <w:szCs w:val="32"/>
          <w:lang w:val="en-US" w:eastAsia="zh-CN"/>
        </w:rPr>
        <w:t xml:space="preserve">       </w:t>
      </w:r>
    </w:p>
    <w:p>
      <w:pPr>
        <w:snapToGrid w:val="0"/>
        <w:spacing w:line="600" w:lineRule="exact"/>
        <w:ind w:firstLine="640" w:firstLineChars="200"/>
        <w:rPr>
          <w:rFonts w:hint="eastAsia" w:ascii="仿宋_GB2312" w:hAnsi="Times New Roman" w:eastAsia="仿宋_GB2312" w:cs="Wingdings"/>
          <w:sz w:val="32"/>
          <w:szCs w:val="32"/>
          <w:highlight w:val="none"/>
          <w:lang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w:t>
      </w:r>
      <w:r>
        <w:rPr>
          <w:rFonts w:hint="eastAsia" w:ascii="仿宋_GB2312" w:hAnsi="Times New Roman" w:eastAsia="仿宋_GB2312" w:cs="Wingdings"/>
          <w:sz w:val="32"/>
          <w:szCs w:val="32"/>
          <w:lang w:eastAsia="zh-CN"/>
        </w:rPr>
        <w:t>年度形成的财政拨款收支均为一般公共预算财政拨款，其中本年收入</w:t>
      </w:r>
      <w:r>
        <w:rPr>
          <w:rFonts w:hint="eastAsia" w:ascii="仿宋_GB2312" w:hAnsi="Times New Roman" w:eastAsia="仿宋_GB2312" w:cs="Wingdings"/>
          <w:sz w:val="32"/>
          <w:szCs w:val="32"/>
          <w:lang w:val="en-US" w:eastAsia="zh-CN"/>
        </w:rPr>
        <w:t>4817.65</w:t>
      </w:r>
      <w:r>
        <w:rPr>
          <w:rFonts w:hint="eastAsia" w:ascii="仿宋_GB2312" w:hAnsi="Times New Roman" w:eastAsia="仿宋_GB2312" w:cs="Wingdings"/>
          <w:sz w:val="32"/>
          <w:szCs w:val="32"/>
          <w:lang w:eastAsia="zh-CN"/>
        </w:rPr>
        <w:t>万元,比2019年度</w:t>
      </w:r>
      <w:r>
        <w:rPr>
          <w:rFonts w:hint="eastAsia" w:ascii="仿宋_GB2312" w:hAnsi="Times New Roman" w:eastAsia="仿宋_GB2312" w:cs="Wingdings"/>
          <w:sz w:val="32"/>
          <w:szCs w:val="32"/>
          <w:lang w:val="en-US" w:eastAsia="zh-CN"/>
        </w:rPr>
        <w:t>增加455.61</w:t>
      </w:r>
      <w:r>
        <w:rPr>
          <w:rFonts w:hint="eastAsia" w:ascii="仿宋_GB2312" w:hAnsi="Times New Roman" w:eastAsia="仿宋_GB2312" w:cs="Wingdings"/>
          <w:sz w:val="32"/>
          <w:szCs w:val="32"/>
          <w:lang w:eastAsia="zh-CN"/>
        </w:rPr>
        <w:t>万元，</w:t>
      </w:r>
      <w:r>
        <w:rPr>
          <w:rFonts w:hint="eastAsia" w:ascii="仿宋_GB2312" w:hAnsi="Times New Roman" w:eastAsia="仿宋_GB2312" w:cs="Wingdings"/>
          <w:sz w:val="32"/>
          <w:szCs w:val="32"/>
          <w:lang w:val="en-US" w:eastAsia="zh-CN"/>
        </w:rPr>
        <w:t>增长10.44%；</w:t>
      </w:r>
      <w:r>
        <w:rPr>
          <w:rFonts w:hint="eastAsia" w:ascii="仿宋_GB2312" w:hAnsi="Times New Roman" w:eastAsia="仿宋_GB2312" w:cs="Wingdings"/>
          <w:sz w:val="32"/>
          <w:szCs w:val="32"/>
          <w:lang w:eastAsia="zh-CN"/>
        </w:rPr>
        <w:t>本年支出</w:t>
      </w:r>
      <w:r>
        <w:rPr>
          <w:rFonts w:hint="eastAsia" w:ascii="仿宋_GB2312" w:hAnsi="Times New Roman" w:eastAsia="仿宋_GB2312" w:cs="Wingdings"/>
          <w:sz w:val="32"/>
          <w:szCs w:val="32"/>
          <w:lang w:val="en-US" w:eastAsia="zh-CN"/>
        </w:rPr>
        <w:t>4957.95</w:t>
      </w:r>
      <w:r>
        <w:rPr>
          <w:rFonts w:hint="eastAsia" w:ascii="仿宋_GB2312" w:hAnsi="Times New Roman" w:eastAsia="仿宋_GB2312" w:cs="Wingdings"/>
          <w:sz w:val="32"/>
          <w:szCs w:val="32"/>
          <w:lang w:eastAsia="zh-CN"/>
        </w:rPr>
        <w:t>万元，比2019年度</w:t>
      </w:r>
      <w:r>
        <w:rPr>
          <w:rFonts w:hint="eastAsia" w:ascii="仿宋_GB2312" w:hAnsi="Times New Roman" w:eastAsia="仿宋_GB2312" w:cs="Wingdings"/>
          <w:sz w:val="32"/>
          <w:szCs w:val="32"/>
          <w:lang w:val="en-US" w:eastAsia="zh-CN"/>
        </w:rPr>
        <w:t>增加279.04</w:t>
      </w:r>
      <w:r>
        <w:rPr>
          <w:rFonts w:hint="eastAsia" w:ascii="仿宋_GB2312" w:hAnsi="Times New Roman" w:eastAsia="仿宋_GB2312" w:cs="Wingdings"/>
          <w:sz w:val="32"/>
          <w:szCs w:val="32"/>
          <w:lang w:eastAsia="zh-CN"/>
        </w:rPr>
        <w:t>万元，</w:t>
      </w:r>
      <w:r>
        <w:rPr>
          <w:rFonts w:hint="eastAsia" w:ascii="仿宋_GB2312" w:hAnsi="Times New Roman" w:eastAsia="仿宋_GB2312" w:cs="Wingdings"/>
          <w:sz w:val="32"/>
          <w:szCs w:val="32"/>
          <w:lang w:val="en-US" w:eastAsia="zh-CN"/>
        </w:rPr>
        <w:t>增加5.96</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highlight w:val="none"/>
          <w:lang w:val="en-US" w:eastAsia="zh-CN"/>
        </w:rPr>
        <w:t>收支增加</w:t>
      </w:r>
      <w:r>
        <w:rPr>
          <w:rFonts w:hint="eastAsia" w:ascii="仿宋_GB2312" w:hAnsi="Times New Roman" w:eastAsia="仿宋_GB2312" w:cs="Wingdings"/>
          <w:sz w:val="32"/>
          <w:szCs w:val="32"/>
          <w:highlight w:val="none"/>
          <w:lang w:eastAsia="zh-CN"/>
        </w:rPr>
        <w:t>主要是促进就业及扶贫项目资金、人员工资的支出增加。</w:t>
      </w:r>
    </w:p>
    <w:p>
      <w:pPr>
        <w:snapToGrid w:val="0"/>
        <w:spacing w:line="240" w:lineRule="auto"/>
        <w:rPr>
          <w:rFonts w:hint="eastAsia" w:ascii="楷体_GB2312" w:hAnsi="Times New Roman" w:eastAsia="楷体_GB2312" w:cs="Mongolian Baiti"/>
          <w:b/>
          <w:bCs/>
          <w:sz w:val="32"/>
          <w:szCs w:val="32"/>
        </w:rPr>
      </w:pPr>
      <w:r>
        <w:rPr>
          <w:rFonts w:hint="eastAsia" w:ascii="仿宋_GB2312" w:hAnsi="Times New Roman" w:eastAsia="仿宋_GB2312" w:cs="Wingdings"/>
          <w:sz w:val="32"/>
          <w:szCs w:val="32"/>
          <w:highlight w:val="none"/>
          <w:lang w:eastAsia="zh-CN"/>
        </w:rPr>
        <w:drawing>
          <wp:inline distT="0" distB="0" distL="114300" distR="114300">
            <wp:extent cx="5584190" cy="3572510"/>
            <wp:effectExtent l="0" t="0" r="16510" b="8890"/>
            <wp:docPr id="15" name="图片 15"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图片3"/>
                    <pic:cNvPicPr>
                      <a:picLocks noChangeAspect="1"/>
                    </pic:cNvPicPr>
                  </pic:nvPicPr>
                  <pic:blipFill>
                    <a:blip r:embed="rId17"/>
                    <a:stretch>
                      <a:fillRect/>
                    </a:stretch>
                  </pic:blipFill>
                  <pic:spPr>
                    <a:xfrm>
                      <a:off x="0" y="0"/>
                      <a:ext cx="5584190" cy="3572510"/>
                    </a:xfrm>
                    <a:prstGeom prst="rect">
                      <a:avLst/>
                    </a:prstGeom>
                  </pic:spPr>
                </pic:pic>
              </a:graphicData>
            </a:graphic>
          </wp:inline>
        </w:drawing>
      </w:r>
    </w:p>
    <w:p>
      <w:pPr>
        <w:snapToGrid w:val="0"/>
        <w:spacing w:line="600" w:lineRule="exact"/>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8480" behindDoc="1" locked="0" layoutInCell="1" allowOverlap="1">
                <wp:simplePos x="0" y="0"/>
                <wp:positionH relativeFrom="column">
                  <wp:posOffset>878205</wp:posOffset>
                </wp:positionH>
                <wp:positionV relativeFrom="paragraph">
                  <wp:posOffset>368935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15pt;margin-top:29.05pt;height:30.75pt;width:331.45pt;z-index:-251648000;mso-width-relative:page;mso-height-relative:page;" fillcolor="#FFFFFF" filled="t" stroked="f" coordsize="21600,21600" o:gfxdata="UEsDBAoAAAAAAIdO4kAAAAAAAAAAAAAAAAAEAAAAZHJzL1BLAwQUAAAACACHTuJA4WL4zdQAAAAK&#10;AQAADwAAAGRycy9kb3ducmV2LnhtbE2Py07DMBBF90j8gzVI7KjjFqoQ4nSBxBaJtnTtxkMcYY8j&#10;231+PcMKllf36M6ZdnUOXhwx5TGSBjWrQCD10Y40aNhu3h5qELkYssZHQg0XzLDqbm9a09h4og88&#10;rssgeIRyYzS4UqZGytw7DCbP4oTE3VdMwRSOaZA2mROPBy/nVbWUwYzEF5yZ8NVh/70+BA27IVx3&#10;n2pKzgb/SO/Xy2YbR63v71T1AqLgufzB8KvP6tCx0z4eyGbhOS/qBaManmoFgoG6UnMQe27U8xJk&#10;18r/L3Q/UEsDBBQAAAAIAIdO4kDxZAcRVgIAAJ8EAAAOAAAAZHJzL2Uyb0RvYy54bWytVM2O0zAQ&#10;viPxDpbvNOnfQqtNV2VXRUgrdqWCOLuO01iyPcZ2mywPAG+wJy7cea4+B2Mn3S0Lhz2QgzN/+cbz&#10;zUzOL1qtyF44L8EUdDjIKRGGQynNtqCfPq5evaHEB2ZKpsCIgt4JTy8WL1+cN3YuRlCDKoUjCGL8&#10;vLEFrUOw8yzzvBaa+QFYYdBZgdMsoOq2WelYg+haZaM8P8sacKV1wIX3aL3qnLRHdM8BhKqSXFwB&#10;32lhQofqhGIBS/K1tJ4u0m2rSvBwU1VeBKIKipWGdGISlDfxzBbnbL51zNaS91dgz7nCk5o0kwaT&#10;PkBdscDIzsm/oLTkDjxUYcBBZ10hiRGsYpg/4WZdMytSLUi1tw+k+/8Hyz/sbx2RZUHHZ5QYprHj&#10;h/vvhx+/Dj+/EbQhQY31c4xbW4wM7VtocWyOdo/GWHdbOR3fWBFBP9J790CvaAPhaJyM8tlkOKWE&#10;o288y6ejaYTJHr+2zod3AjSJQkEdti+xyvbXPnShx5CYzIOS5UoqlRS33VwqR/YMW71KT4/+R5gy&#10;pCno2XiaJ2QD8fsOWpmII9LU9Pli6V2JUQrtpu352EB5h3Q46CbKW76SeOdr5sMtczhCyAAuWbjB&#10;o1KAKaGXKKnBff2XPcZjZ9FLSYMjWVD/ZcecoES9N9jz2XAyiTOclMn09QgVd+rZnHrMTl8CUjHE&#10;dbY8iTE+qKNYOdCfcReXMSu6mOGYu6DhKF6GblFwl7lYLlMQTq1l4dqsLY/QkTADy12ASqYGRZo6&#10;brCxUcG5TS3udywuxqmeoh7/K4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4WL4zdQAAAAKAQAA&#10;DwAAAAAAAAABACAAAAAiAAAAZHJzL2Rvd25yZXYueG1sUEsBAhQAFAAAAAgAh07iQPFkBxFWAgAA&#10;nwQAAA4AAAAAAAAAAQAgAAAAIwEAAGRycy9lMm9Eb2MueG1sUEsFBgAAAAAGAAYAWQEAAOsFAAAA&#10;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none"/>
          <w:lang w:val="en-US" w:eastAsia="zh-CN"/>
        </w:rPr>
      </w:pPr>
      <w:r>
        <w:rPr>
          <w:rFonts w:hint="eastAsia" w:ascii="仿宋_GB2312" w:hAnsi="Times New Roman" w:eastAsia="仿宋_GB2312" w:cs="Wingdings"/>
          <w:sz w:val="32"/>
          <w:szCs w:val="32"/>
          <w:highlight w:val="none"/>
          <w:lang w:eastAsia="zh-CN"/>
        </w:rPr>
        <w:t>本单位</w:t>
      </w:r>
      <w:r>
        <w:rPr>
          <w:rFonts w:hint="eastAsia" w:ascii="仿宋_GB2312" w:hAnsi="Times New Roman" w:eastAsia="仿宋_GB2312" w:cs="Wingdings"/>
          <w:sz w:val="32"/>
          <w:szCs w:val="32"/>
          <w:highlight w:val="none"/>
        </w:rPr>
        <w:t>2020年度一般公共预算财政拨款收入</w:t>
      </w:r>
      <w:r>
        <w:rPr>
          <w:rFonts w:hint="eastAsia" w:ascii="仿宋_GB2312" w:hAnsi="Times New Roman" w:eastAsia="仿宋_GB2312" w:cs="Wingdings"/>
          <w:sz w:val="32"/>
          <w:szCs w:val="32"/>
          <w:highlight w:val="none"/>
          <w:lang w:val="en-US" w:eastAsia="zh-CN"/>
        </w:rPr>
        <w:t>4429.49</w:t>
      </w:r>
      <w:r>
        <w:rPr>
          <w:rFonts w:hint="eastAsia" w:ascii="仿宋_GB2312" w:hAnsi="Times New Roman" w:eastAsia="仿宋_GB2312" w:cs="Wingdings"/>
          <w:sz w:val="32"/>
          <w:szCs w:val="32"/>
          <w:highlight w:val="none"/>
        </w:rPr>
        <w:t>万元，完成年初预算的</w:t>
      </w:r>
      <w:r>
        <w:rPr>
          <w:rFonts w:hint="eastAsia" w:ascii="仿宋_GB2312" w:hAnsi="Times New Roman" w:eastAsia="仿宋_GB2312" w:cs="Wingdings"/>
          <w:sz w:val="32"/>
          <w:szCs w:val="32"/>
          <w:highlight w:val="none"/>
          <w:lang w:val="en-US" w:eastAsia="zh-CN"/>
        </w:rPr>
        <w:t>108.76</w:t>
      </w:r>
      <w:r>
        <w:rPr>
          <w:rFonts w:hint="eastAsia" w:ascii="仿宋_GB2312" w:hAnsi="Times New Roman" w:eastAsia="仿宋_GB2312" w:cs="Wingdings"/>
          <w:sz w:val="32"/>
          <w:szCs w:val="32"/>
          <w:highlight w:val="none"/>
        </w:rPr>
        <w:t>%,比年初预算</w:t>
      </w:r>
      <w:r>
        <w:rPr>
          <w:rFonts w:hint="eastAsia" w:ascii="仿宋_GB2312" w:hAnsi="Times New Roman" w:eastAsia="仿宋_GB2312" w:cs="Wingdings"/>
          <w:sz w:val="32"/>
          <w:szCs w:val="32"/>
          <w:highlight w:val="none"/>
          <w:lang w:eastAsia="zh-CN"/>
        </w:rPr>
        <w:t>增加</w:t>
      </w:r>
      <w:r>
        <w:rPr>
          <w:rFonts w:hint="eastAsia" w:ascii="仿宋_GB2312" w:hAnsi="Times New Roman" w:eastAsia="仿宋_GB2312" w:cs="Wingdings"/>
          <w:sz w:val="32"/>
          <w:szCs w:val="32"/>
          <w:highlight w:val="none"/>
          <w:lang w:val="en-US" w:eastAsia="zh-CN"/>
        </w:rPr>
        <w:t>388.16</w:t>
      </w:r>
      <w:r>
        <w:rPr>
          <w:rFonts w:hint="eastAsia" w:ascii="仿宋_GB2312" w:hAnsi="Times New Roman" w:eastAsia="仿宋_GB2312" w:cs="Wingdings"/>
          <w:sz w:val="32"/>
          <w:szCs w:val="32"/>
          <w:highlight w:val="none"/>
        </w:rPr>
        <w:t>万元</w:t>
      </w:r>
      <w:r>
        <w:rPr>
          <w:rFonts w:hint="eastAsia" w:ascii="仿宋_GB2312" w:hAnsi="Times New Roman" w:eastAsia="仿宋_GB2312" w:cs="Wingdings"/>
          <w:sz w:val="32"/>
          <w:szCs w:val="32"/>
          <w:highlight w:val="none"/>
          <w:lang w:eastAsia="zh-CN"/>
        </w:rPr>
        <w:t>。</w:t>
      </w:r>
      <w:r>
        <w:rPr>
          <w:rFonts w:hint="eastAsia" w:ascii="仿宋_GB2312" w:hAnsi="Times New Roman" w:eastAsia="仿宋_GB2312" w:cs="Wingdings"/>
          <w:sz w:val="32"/>
          <w:szCs w:val="32"/>
          <w:highlight w:val="none"/>
        </w:rPr>
        <w:t>本年支出</w:t>
      </w:r>
      <w:r>
        <w:rPr>
          <w:rFonts w:hint="eastAsia" w:ascii="仿宋_GB2312" w:hAnsi="Times New Roman" w:eastAsia="仿宋_GB2312" w:cs="Wingdings"/>
          <w:sz w:val="32"/>
          <w:szCs w:val="32"/>
          <w:highlight w:val="none"/>
          <w:lang w:val="en-US" w:eastAsia="zh-CN"/>
        </w:rPr>
        <w:t>4957.95</w:t>
      </w:r>
      <w:r>
        <w:rPr>
          <w:rFonts w:hint="eastAsia" w:ascii="仿宋_GB2312" w:hAnsi="Times New Roman" w:eastAsia="仿宋_GB2312" w:cs="Wingdings"/>
          <w:sz w:val="32"/>
          <w:szCs w:val="32"/>
          <w:highlight w:val="none"/>
        </w:rPr>
        <w:t>万元，完成年初预算的</w:t>
      </w:r>
      <w:r>
        <w:rPr>
          <w:rFonts w:hint="eastAsia" w:ascii="仿宋_GB2312" w:hAnsi="Times New Roman" w:eastAsia="仿宋_GB2312" w:cs="Wingdings"/>
          <w:sz w:val="32"/>
          <w:szCs w:val="32"/>
          <w:highlight w:val="none"/>
          <w:lang w:val="en-US" w:eastAsia="zh-CN"/>
        </w:rPr>
        <w:t>111.93</w:t>
      </w:r>
      <w:r>
        <w:rPr>
          <w:rFonts w:hint="eastAsia" w:ascii="仿宋_GB2312" w:hAnsi="Times New Roman" w:eastAsia="仿宋_GB2312" w:cs="Wingdings"/>
          <w:sz w:val="32"/>
          <w:szCs w:val="32"/>
          <w:highlight w:val="none"/>
        </w:rPr>
        <w:t>%,比年初预算</w:t>
      </w:r>
      <w:r>
        <w:rPr>
          <w:rFonts w:hint="eastAsia" w:ascii="仿宋_GB2312" w:hAnsi="Times New Roman" w:eastAsia="仿宋_GB2312" w:cs="Wingdings"/>
          <w:sz w:val="32"/>
          <w:szCs w:val="32"/>
          <w:highlight w:val="none"/>
          <w:lang w:eastAsia="zh-CN"/>
        </w:rPr>
        <w:t>增加</w:t>
      </w:r>
      <w:r>
        <w:rPr>
          <w:rFonts w:hint="eastAsia" w:ascii="仿宋_GB2312" w:hAnsi="Times New Roman" w:eastAsia="仿宋_GB2312" w:cs="Wingdings"/>
          <w:sz w:val="32"/>
          <w:szCs w:val="32"/>
          <w:highlight w:val="none"/>
          <w:lang w:val="en-US" w:eastAsia="zh-CN"/>
        </w:rPr>
        <w:t>528.46</w:t>
      </w:r>
      <w:r>
        <w:rPr>
          <w:rFonts w:hint="eastAsia" w:ascii="仿宋_GB2312" w:hAnsi="Times New Roman" w:eastAsia="仿宋_GB2312" w:cs="Wingdings"/>
          <w:sz w:val="32"/>
          <w:szCs w:val="32"/>
          <w:highlight w:val="none"/>
        </w:rPr>
        <w:t>万元</w:t>
      </w:r>
      <w:r>
        <w:rPr>
          <w:rFonts w:hint="eastAsia" w:ascii="仿宋_GB2312" w:hAnsi="Times New Roman" w:eastAsia="仿宋_GB2312" w:cs="Wingdings"/>
          <w:sz w:val="32"/>
          <w:szCs w:val="32"/>
          <w:highlight w:val="none"/>
          <w:lang w:eastAsia="zh-CN"/>
        </w:rPr>
        <w:t>。</w:t>
      </w:r>
      <w:r>
        <w:rPr>
          <w:rFonts w:hint="eastAsia" w:ascii="仿宋_GB2312" w:hAnsi="Times New Roman" w:eastAsia="仿宋_GB2312" w:cs="Wingdings"/>
          <w:sz w:val="32"/>
          <w:szCs w:val="32"/>
          <w:highlight w:val="none"/>
          <w:lang w:val="en-US" w:eastAsia="zh-CN"/>
        </w:rPr>
        <w:t>收入</w:t>
      </w:r>
      <w:r>
        <w:rPr>
          <w:rFonts w:hint="eastAsia" w:ascii="仿宋_GB2312" w:hAnsi="Times New Roman" w:eastAsia="仿宋_GB2312" w:cs="Wingdings"/>
          <w:sz w:val="32"/>
          <w:szCs w:val="32"/>
          <w:highlight w:val="none"/>
        </w:rPr>
        <w:t>决算数</w:t>
      </w:r>
      <w:r>
        <w:rPr>
          <w:rFonts w:hint="eastAsia" w:ascii="仿宋_GB2312" w:hAnsi="Times New Roman" w:eastAsia="仿宋_GB2312" w:cs="Wingdings"/>
          <w:sz w:val="32"/>
          <w:szCs w:val="32"/>
          <w:highlight w:val="none"/>
          <w:lang w:eastAsia="zh-CN"/>
        </w:rPr>
        <w:t>大于</w:t>
      </w:r>
      <w:r>
        <w:rPr>
          <w:rFonts w:hint="eastAsia" w:ascii="仿宋_GB2312" w:hAnsi="Times New Roman" w:eastAsia="仿宋_GB2312" w:cs="Wingdings"/>
          <w:sz w:val="32"/>
          <w:szCs w:val="32"/>
          <w:highlight w:val="none"/>
        </w:rPr>
        <w:t>预算数主要原因</w:t>
      </w:r>
      <w:r>
        <w:rPr>
          <w:rFonts w:hint="eastAsia" w:ascii="仿宋_GB2312" w:hAnsi="Times New Roman" w:eastAsia="仿宋_GB2312" w:cs="Wingdings"/>
          <w:sz w:val="32"/>
          <w:szCs w:val="32"/>
          <w:highlight w:val="none"/>
          <w:lang w:eastAsia="zh-CN"/>
        </w:rPr>
        <w:t>是促进就业及扶贫项目资金、人员工资的支出增加。</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年度财政拨款支出</w:t>
      </w:r>
      <w:r>
        <w:rPr>
          <w:rFonts w:hint="eastAsia" w:ascii="仿宋_GB2312" w:hAnsi="Times New Roman" w:eastAsia="仿宋_GB2312" w:cs="Wingdings"/>
          <w:sz w:val="32"/>
          <w:szCs w:val="32"/>
          <w:lang w:val="en-US" w:eastAsia="zh-CN"/>
        </w:rPr>
        <w:t>4957.95</w:t>
      </w:r>
      <w:r>
        <w:rPr>
          <w:rFonts w:hint="eastAsia" w:ascii="仿宋_GB2312" w:hAnsi="Times New Roman" w:eastAsia="仿宋_GB2312" w:cs="Wingdings"/>
          <w:sz w:val="32"/>
          <w:szCs w:val="32"/>
        </w:rPr>
        <w:t>万元，</w:t>
      </w:r>
      <w:r>
        <w:rPr>
          <w:rFonts w:hint="eastAsia" w:ascii="仿宋_GB2312" w:hAnsi="Times New Roman" w:eastAsia="仿宋_GB2312" w:cs="Wingdings"/>
          <w:color w:val="auto"/>
          <w:sz w:val="32"/>
          <w:szCs w:val="32"/>
          <w:lang w:val="en-US" w:eastAsia="zh-CN"/>
        </w:rPr>
        <w:t>一般公共服务支出1355.86万元，占27.35%；</w:t>
      </w:r>
      <w:r>
        <w:rPr>
          <w:rFonts w:hint="eastAsia" w:ascii="仿宋_GB2312" w:hAnsi="Times New Roman" w:eastAsia="仿宋_GB2312" w:cs="Wingdings"/>
          <w:sz w:val="32"/>
          <w:szCs w:val="32"/>
          <w:lang w:val="en-US" w:eastAsia="zh-CN"/>
        </w:rPr>
        <w:t>社会保障和就业支出3368.22万元，占67.94%；卫生健康支出72.64万元，占1.47%；节能环保支出73万元，占1.47%；住房保障支出88.23万元，占1.78%。</w:t>
      </w:r>
    </w:p>
    <w:p>
      <w:pPr>
        <w:adjustRightInd w:val="0"/>
        <w:snapToGrid w:val="0"/>
        <w:spacing w:line="600" w:lineRule="exact"/>
        <w:ind w:firstLine="640" w:firstLineChars="200"/>
        <w:rPr>
          <w:rFonts w:hint="default" w:ascii="仿宋_GB2312" w:hAnsi="Times New Roman" w:eastAsia="仿宋_GB2312" w:cs="Wingdings"/>
          <w:sz w:val="32"/>
          <w:szCs w:val="32"/>
          <w:highlight w:val="none"/>
          <w:lang w:val="en-US" w:eastAsia="zh-CN"/>
        </w:rPr>
      </w:pPr>
      <w:r>
        <w:rPr>
          <w:rFonts w:hint="eastAsia" w:ascii="仿宋_GB2312" w:hAnsi="Times New Roman" w:eastAsia="仿宋_GB2312" w:cs="Wingdings"/>
          <w:sz w:val="32"/>
          <w:szCs w:val="32"/>
          <w:highlight w:val="none"/>
          <w:lang w:val="en-US" w:eastAsia="zh-CN"/>
        </w:rPr>
        <w:t>按经济分类看：工资福利支出1085.24万元，商品和服务支出853.84万元，对个人和家庭的补助2897.49万元，资本性支出121.38万元（见图5）。</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p>
    <w:p>
      <w:pPr>
        <w:adjustRightInd w:val="0"/>
        <w:snapToGrid w:val="0"/>
        <w:spacing w:line="240" w:lineRule="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inline distT="0" distB="0" distL="114300" distR="114300">
            <wp:extent cx="5578475" cy="3397250"/>
            <wp:effectExtent l="0" t="0" r="3175" b="12700"/>
            <wp:docPr id="19" name="图片 19" descr="图片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图片7"/>
                    <pic:cNvPicPr>
                      <a:picLocks noChangeAspect="1"/>
                    </pic:cNvPicPr>
                  </pic:nvPicPr>
                  <pic:blipFill>
                    <a:blip r:embed="rId18"/>
                    <a:stretch>
                      <a:fillRect/>
                    </a:stretch>
                  </pic:blipFill>
                  <pic:spPr>
                    <a:xfrm>
                      <a:off x="0" y="0"/>
                      <a:ext cx="5578475" cy="3397250"/>
                    </a:xfrm>
                    <a:prstGeom prst="rect">
                      <a:avLst/>
                    </a:prstGeom>
                  </pic:spPr>
                </pic:pic>
              </a:graphicData>
            </a:graphic>
          </wp:inline>
        </w:drawing>
      </w:r>
    </w:p>
    <w:p>
      <w:pPr>
        <w:adjustRightInd w:val="0"/>
        <w:snapToGrid w:val="0"/>
        <w:spacing w:line="600" w:lineRule="exact"/>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1066800</wp:posOffset>
                </wp:positionH>
                <wp:positionV relativeFrom="paragraph">
                  <wp:posOffset>318770</wp:posOffset>
                </wp:positionV>
                <wp:extent cx="3220720" cy="412115"/>
                <wp:effectExtent l="0" t="0" r="17780" b="6985"/>
                <wp:wrapNone/>
                <wp:docPr id="17" name="文本框 17"/>
                <wp:cNvGraphicFramePr/>
                <a:graphic xmlns:a="http://schemas.openxmlformats.org/drawingml/2006/main">
                  <a:graphicData uri="http://schemas.microsoft.com/office/word/2010/wordprocessingShape">
                    <wps:wsp>
                      <wps:cNvSpPr txBox="1"/>
                      <wps:spPr>
                        <a:xfrm>
                          <a:off x="5763260" y="7099300"/>
                          <a:ext cx="3220720" cy="4121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4pt;margin-top:25.1pt;height:32.45pt;width:253.6pt;z-index:251666432;v-text-anchor:middle;mso-width-relative:page;mso-height-relative:page;" fillcolor="#FFFFFF [3201]" filled="t" stroked="f" coordsize="21600,21600" o:gfxdata="UEsDBAoAAAAAAIdO4kAAAAAAAAAAAAAAAAAEAAAAZHJzL1BLAwQUAAAACACHTuJAkEDroNUAAAAK&#10;AQAADwAAAGRycy9kb3ducmV2LnhtbE2PT0vEMBDF74LfIYzgzU260LrUposoInvTunqeNrEpNpOS&#10;ZP/47R1PepvHe7z5vWZ79rM42pimQBqKlQJhaQhmolHD/u3pZgMiZSSDcyCr4dsm2LaXFw3WJpzo&#10;1R67PAouoVSjBpfzUkuZBmc9plVYLLH3GaLHzDKO0kQ8cbmf5VqpSnqciD84XOyDs8NXd/Aa8Fm+&#10;72h83O1fEn3EfkB331VaX18V6g5Etuf8F4ZffEaHlpn6cCCTxMy62vCWrKFUaxAcqG5LPnp2irIA&#10;2Tby/4T2B1BLAwQUAAAACACHTuJAo5+eY1wCAACfBAAADgAAAGRycy9lMm9Eb2MueG1srVRLbtsw&#10;EN0X6B0I7ht9/GsMy4HrwEWBoAngFl3TFGURoDgsSVtKD9DeoKtuuu+5co4OKTlJ0y6yqBcyyXl6&#10;w/dmRouLrlHkKKyToAuanaWUCM2hlHpf0I8fNq9eU+I80yVToEVBb4WjF8uXLxatmYscalClsARJ&#10;tJu3pqC192aeJI7XomHuDIzQGKzANszj1u6T0rIW2RuV5Gk6TVqwpbHAhXN4etkH6cBon0MIVSW5&#10;uAR+aIT2PasVinmU5GppHF3G21aV4P66qpzwRBUUlfr4xCS43oVnslyw+d4yU0s+XIE95wpPNDVM&#10;akx6T3XJPCMHK/+iaiS34KDyZxyapBcSHUEVWfrEm23NjIha0Gpn7k13/4+Wvz/eWCJL7IQZJZo1&#10;WPG779/ufvy6+/mV4Bka1Bo3R9zWINJ3b6BD8Onc4WHQ3VW2Cf+oiGB8MpuO8imafFvQWXp+PkoH&#10;q0XnCUfAKM/TWY4AjohxlmfZJFAmD0zGOv9WQEPCoqAWSxkdZscr53voCRISO1Cy3Eil4sbud2tl&#10;yZFh2TfxN7D/AVOatAWdjiZpZNYQ3u+plcbLBOG9wLDy3a4b3NhBeYtmWOj7yRm+kXjLK+b8DbPY&#10;QCgMR8xf46NSgElgWFFSg/3yr/OAx7pilJIWG7Kg7vOBWUGJeqex4ufZeIy0Pm7Gk2iefRzZPY7o&#10;Q7MGFJ/hMBsel/iy9eq0rCw0n3ASVyErhpjmmLug3NvTZu37QcFZ5mK1ijDsWsP8ld4aHsiD2RpW&#10;Bw+VjEUJRvXuDP5h38ayDjMWBuPxPqIeviv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JBA66DV&#10;AAAACgEAAA8AAAAAAAAAAQAgAAAAIgAAAGRycy9kb3ducmV2LnhtbFBLAQIUABQAAAAIAIdO4kCj&#10;n55jXAIAAJ8EAAAOAAAAAAAAAAEAIAAAACQBAABkcnMvZTJvRG9jLnhtbFBLBQYAAAAABgAGAFkB&#10;AADyBQAAAAA=&#10;">
                <v:fill on="t" focussize="0,0"/>
                <v:stroke on="f" weight="0.5pt"/>
                <v:imagedata o:title=""/>
                <o:lock v:ext="edit" aspectratio="f"/>
                <v:textbo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pPr>
        <w:adjustRightInd w:val="0"/>
        <w:snapToGrid w:val="0"/>
        <w:spacing w:line="600" w:lineRule="exact"/>
        <w:ind w:firstLine="640" w:firstLineChars="200"/>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1529.18</w:t>
      </w:r>
      <w:r>
        <w:rPr>
          <w:rFonts w:hint="eastAsia" w:ascii="仿宋_GB2312" w:hAnsi="Times New Roman" w:eastAsia="仿宋_GB2312" w:cs="Wingdings"/>
          <w:sz w:val="32"/>
          <w:szCs w:val="32"/>
        </w:rPr>
        <w:t>万元，其中：人员经费</w:t>
      </w:r>
      <w:r>
        <w:rPr>
          <w:rFonts w:hint="eastAsia" w:ascii="仿宋_GB2312" w:hAnsi="Times New Roman" w:eastAsia="仿宋_GB2312" w:cs="Wingdings"/>
          <w:sz w:val="32"/>
          <w:szCs w:val="32"/>
          <w:lang w:val="en-US" w:eastAsia="zh-CN"/>
        </w:rPr>
        <w:t>1099.88</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429.30</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highlight w:val="none"/>
        </w:rPr>
      </w:pPr>
      <w:r>
        <w:rPr>
          <w:rFonts w:hint="eastAsia" w:ascii="黑体" w:hAnsi="Calibri" w:eastAsia="黑体" w:cs="Times New Roman"/>
          <w:sz w:val="32"/>
          <w:szCs w:val="32"/>
          <w:highlight w:val="none"/>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highlight w:val="none"/>
        </w:rPr>
      </w:pPr>
      <w:r>
        <w:rPr>
          <w:rFonts w:hint="eastAsia" w:ascii="楷体_GB2312" w:hAnsi="Times New Roman" w:eastAsia="楷体_GB2312" w:cs="Mongolian Baiti"/>
          <w:b/>
          <w:bCs/>
          <w:sz w:val="32"/>
          <w:szCs w:val="32"/>
          <w:highlight w:val="none"/>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highlight w:val="none"/>
        </w:rPr>
      </w:pPr>
      <w:r>
        <w:rPr>
          <w:rFonts w:hint="eastAsia" w:eastAsia="仿宋_GB2312"/>
          <w:sz w:val="32"/>
          <w:szCs w:val="32"/>
          <w:highlight w:val="none"/>
          <w:lang w:val="en-US" w:eastAsia="zh-CN"/>
        </w:rPr>
        <w:t>近年来，本单位</w:t>
      </w:r>
      <w:r>
        <w:rPr>
          <w:rFonts w:hint="eastAsia" w:eastAsia="仿宋_GB2312"/>
          <w:sz w:val="32"/>
          <w:szCs w:val="32"/>
          <w:highlight w:val="none"/>
        </w:rPr>
        <w:t>严控“三公”经费支出，硬化预算约束，有效的控制了“三公”等相关经费的支出</w:t>
      </w:r>
      <w:r>
        <w:rPr>
          <w:rFonts w:eastAsia="仿宋_GB2312"/>
          <w:sz w:val="32"/>
          <w:szCs w:val="32"/>
          <w:highlight w:val="none"/>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highlight w:val="none"/>
          <w:lang w:eastAsia="zh-CN"/>
        </w:rPr>
      </w:pPr>
      <w:r>
        <w:rPr>
          <w:rFonts w:hint="eastAsia" w:ascii="仿宋_GB2312" w:hAnsi="Times New Roman" w:eastAsia="仿宋_GB2312" w:cs="Wingdings"/>
          <w:sz w:val="32"/>
          <w:szCs w:val="32"/>
          <w:highlight w:val="none"/>
        </w:rPr>
        <w:t>2020年度“三公”经费财政拨款支出预算为</w:t>
      </w:r>
      <w:r>
        <w:rPr>
          <w:rFonts w:hint="eastAsia" w:ascii="仿宋_GB2312" w:hAnsi="Times New Roman" w:eastAsia="仿宋_GB2312" w:cs="Wingdings"/>
          <w:sz w:val="32"/>
          <w:szCs w:val="32"/>
          <w:highlight w:val="none"/>
          <w:lang w:val="en-US" w:eastAsia="zh-CN"/>
        </w:rPr>
        <w:t>8.5</w:t>
      </w:r>
      <w:r>
        <w:rPr>
          <w:rFonts w:hint="eastAsia" w:ascii="仿宋_GB2312" w:hAnsi="Times New Roman" w:eastAsia="仿宋_GB2312" w:cs="Wingdings"/>
          <w:sz w:val="32"/>
          <w:szCs w:val="32"/>
          <w:highlight w:val="none"/>
        </w:rPr>
        <w:t>万元，支出决算为</w:t>
      </w:r>
      <w:r>
        <w:rPr>
          <w:rFonts w:hint="eastAsia" w:ascii="仿宋_GB2312" w:hAnsi="Times New Roman" w:eastAsia="仿宋_GB2312" w:cs="Wingdings"/>
          <w:sz w:val="32"/>
          <w:szCs w:val="32"/>
          <w:highlight w:val="none"/>
          <w:lang w:val="en-US" w:eastAsia="zh-CN"/>
        </w:rPr>
        <w:t>7.79</w:t>
      </w:r>
      <w:r>
        <w:rPr>
          <w:rFonts w:hint="eastAsia" w:ascii="仿宋_GB2312" w:hAnsi="Times New Roman" w:eastAsia="仿宋_GB2312" w:cs="Wingdings"/>
          <w:sz w:val="32"/>
          <w:szCs w:val="32"/>
          <w:highlight w:val="none"/>
        </w:rPr>
        <w:t>元，完成预算的</w:t>
      </w:r>
      <w:r>
        <w:rPr>
          <w:rFonts w:hint="eastAsia" w:ascii="仿宋_GB2312" w:hAnsi="Times New Roman" w:eastAsia="仿宋_GB2312" w:cs="Wingdings"/>
          <w:sz w:val="32"/>
          <w:szCs w:val="32"/>
          <w:highlight w:val="none"/>
          <w:lang w:val="en-US" w:eastAsia="zh-CN"/>
        </w:rPr>
        <w:t>91.65</w:t>
      </w:r>
      <w:r>
        <w:rPr>
          <w:rFonts w:hint="eastAsia" w:ascii="仿宋_GB2312" w:hAnsi="Times New Roman" w:eastAsia="仿宋_GB2312" w:cs="Wingdings"/>
          <w:sz w:val="32"/>
          <w:szCs w:val="32"/>
          <w:highlight w:val="none"/>
        </w:rPr>
        <w:t>%,较预算减少</w:t>
      </w:r>
      <w:r>
        <w:rPr>
          <w:rFonts w:hint="eastAsia" w:ascii="仿宋_GB2312" w:hAnsi="Times New Roman" w:eastAsia="仿宋_GB2312" w:cs="Wingdings"/>
          <w:sz w:val="32"/>
          <w:szCs w:val="32"/>
          <w:highlight w:val="none"/>
          <w:lang w:val="en-US" w:eastAsia="zh-CN"/>
        </w:rPr>
        <w:t>0.71</w:t>
      </w:r>
      <w:r>
        <w:rPr>
          <w:rFonts w:hint="eastAsia" w:ascii="仿宋_GB2312" w:hAnsi="Times New Roman" w:eastAsia="仿宋_GB2312" w:cs="Wingdings"/>
          <w:sz w:val="32"/>
          <w:szCs w:val="32"/>
          <w:highlight w:val="none"/>
        </w:rPr>
        <w:t>万元，</w:t>
      </w:r>
      <w:r>
        <w:rPr>
          <w:rFonts w:hint="eastAsia" w:ascii="仿宋_GB2312" w:hAnsi="Times New Roman" w:eastAsia="仿宋_GB2312" w:cs="Wingdings"/>
          <w:sz w:val="32"/>
          <w:szCs w:val="32"/>
          <w:highlight w:val="none"/>
          <w:lang w:val="en-US" w:eastAsia="zh-CN"/>
        </w:rPr>
        <w:t>下降8.35</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highlight w:val="none"/>
          <w:lang w:eastAsia="zh-CN"/>
        </w:rPr>
        <w:t>，与上年决算持平。</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highlight w:val="none"/>
        </w:rPr>
      </w:pPr>
      <w:r>
        <w:rPr>
          <w:rFonts w:hint="eastAsia" w:ascii="楷体_GB2312" w:hAnsi="Times New Roman" w:eastAsia="楷体_GB2312" w:cs="Mongolian Baiti"/>
          <w:b/>
          <w:bCs/>
          <w:sz w:val="32"/>
          <w:szCs w:val="32"/>
          <w:highlight w:val="none"/>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sz w:val="32"/>
          <w:szCs w:val="32"/>
          <w:highlight w:val="none"/>
          <w:lang w:val="en-US" w:eastAsia="zh-CN"/>
        </w:rPr>
      </w:pPr>
      <w:r>
        <w:rPr>
          <w:rFonts w:hint="eastAsia" w:ascii="楷体_GB2312" w:hAnsi="Times New Roman" w:eastAsia="楷体_GB2312" w:cs="Mongolian Baiti"/>
          <w:b/>
          <w:bCs/>
          <w:sz w:val="32"/>
          <w:szCs w:val="32"/>
          <w:highlight w:val="none"/>
        </w:rPr>
        <w:t>1.因公出国（境）费</w:t>
      </w:r>
      <w:r>
        <w:rPr>
          <w:rFonts w:hint="eastAsia" w:ascii="楷体_GB2312" w:hAnsi="Times New Roman" w:eastAsia="楷体_GB2312" w:cs="Mongolian Baiti"/>
          <w:b/>
          <w:bCs/>
          <w:sz w:val="32"/>
          <w:szCs w:val="32"/>
          <w:highlight w:val="none"/>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lang w:val="en-US" w:eastAsia="zh-CN"/>
        </w:rPr>
        <w:t>2019年度决算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highlight w:val="none"/>
        </w:rPr>
      </w:pPr>
      <w:r>
        <w:rPr>
          <w:rFonts w:hint="eastAsia" w:ascii="楷体_GB2312" w:hAnsi="Times New Roman" w:eastAsia="楷体_GB2312" w:cs="Mongolian Baiti"/>
          <w:b/>
          <w:bCs/>
          <w:sz w:val="32"/>
          <w:szCs w:val="32"/>
          <w:highlight w:val="none"/>
        </w:rPr>
        <w:t>2.公务用车购置及运行维护费</w:t>
      </w:r>
      <w:r>
        <w:rPr>
          <w:rFonts w:hint="eastAsia" w:ascii="楷体_GB2312" w:hAnsi="Times New Roman" w:eastAsia="楷体_GB2312" w:cs="Mongolian Baiti"/>
          <w:b/>
          <w:bCs/>
          <w:sz w:val="32"/>
          <w:szCs w:val="32"/>
          <w:highlight w:val="none"/>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年度公务用车购置及运行维护费</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7.79万元，</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预算减少</w:t>
      </w:r>
      <w:r>
        <w:rPr>
          <w:rFonts w:hint="eastAsia" w:ascii="仿宋_GB2312" w:hAnsi="Times New Roman" w:eastAsia="仿宋_GB2312" w:cs="DengXian-Regular"/>
          <w:sz w:val="32"/>
          <w:szCs w:val="32"/>
          <w:lang w:val="en-US" w:eastAsia="zh-CN"/>
        </w:rPr>
        <w:t>0.31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%,主要是认真贯彻落实中央</w:t>
      </w:r>
      <w:bookmarkStart w:id="0" w:name="_GoBack"/>
      <w:r>
        <w:rPr>
          <w:rFonts w:hint="eastAsia" w:ascii="仿宋_GB2312" w:hAnsi="Times New Roman" w:eastAsia="仿宋_GB2312" w:cs="DengXian-Regular"/>
          <w:sz w:val="32"/>
          <w:szCs w:val="32"/>
        </w:rPr>
        <w:t>八项规定</w:t>
      </w:r>
      <w:bookmarkEnd w:id="0"/>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w:t>
      </w:r>
      <w:r>
        <w:rPr>
          <w:rFonts w:hint="eastAsia" w:ascii="仿宋_GB2312" w:hAnsi="Times New Roman" w:eastAsia="仿宋_GB2312" w:cs="Wingdings"/>
          <w:sz w:val="32"/>
          <w:szCs w:val="32"/>
          <w:highlight w:val="none"/>
          <w:lang w:eastAsia="zh-CN"/>
        </w:rPr>
        <w:t>与上年决算持平，</w:t>
      </w:r>
      <w:r>
        <w:rPr>
          <w:rFonts w:hint="eastAsia" w:ascii="仿宋_GB2312" w:hAnsi="Times New Roman" w:eastAsia="仿宋_GB2312" w:cs="Mongolian Baiti"/>
          <w:b/>
          <w:bCs/>
          <w:sz w:val="32"/>
          <w:szCs w:val="32"/>
          <w:highlight w:val="none"/>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highlight w:val="none"/>
        </w:rPr>
      </w:pPr>
      <w:r>
        <w:rPr>
          <w:rFonts w:hint="eastAsia" w:ascii="仿宋_GB2312" w:hAnsi="Times New Roman" w:eastAsia="仿宋_GB2312" w:cs="Wingdings"/>
          <w:b/>
          <w:sz w:val="32"/>
          <w:szCs w:val="32"/>
          <w:highlight w:val="none"/>
        </w:rPr>
        <w:t>公务用车购置费支出：</w:t>
      </w:r>
      <w:r>
        <w:rPr>
          <w:rFonts w:hint="eastAsia" w:ascii="仿宋_GB2312" w:hAnsi="Times New Roman" w:eastAsia="仿宋_GB2312" w:cs="Wingdings"/>
          <w:sz w:val="32"/>
          <w:szCs w:val="32"/>
          <w:highlight w:val="none"/>
          <w:lang w:eastAsia="zh-CN"/>
        </w:rPr>
        <w:t>本单位</w:t>
      </w:r>
      <w:r>
        <w:rPr>
          <w:rFonts w:hint="eastAsia" w:ascii="仿宋_GB2312" w:hAnsi="Times New Roman" w:eastAsia="仿宋_GB2312" w:cs="Wingdings"/>
          <w:sz w:val="32"/>
          <w:szCs w:val="32"/>
          <w:highlight w:val="none"/>
        </w:rPr>
        <w:t>2020年度公务用车购置量</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辆，</w:t>
      </w:r>
      <w:r>
        <w:rPr>
          <w:rFonts w:hint="eastAsia" w:ascii="仿宋_GB2312" w:hAnsi="Times New Roman" w:eastAsia="仿宋_GB2312" w:cs="Wingdings"/>
          <w:sz w:val="32"/>
          <w:szCs w:val="32"/>
          <w:highlight w:val="none"/>
          <w:lang w:val="en-US" w:eastAsia="zh-CN"/>
        </w:rPr>
        <w:t>未</w:t>
      </w:r>
      <w:r>
        <w:rPr>
          <w:rFonts w:hint="eastAsia" w:ascii="仿宋_GB2312" w:hAnsi="Times New Roman" w:eastAsia="仿宋_GB2312" w:cs="Wingdings"/>
          <w:sz w:val="32"/>
          <w:szCs w:val="32"/>
          <w:highlight w:val="none"/>
        </w:rPr>
        <w:t>发生“公务用车购置”经费支出</w:t>
      </w:r>
      <w:r>
        <w:rPr>
          <w:rFonts w:hint="eastAsia" w:ascii="仿宋_GB2312" w:hAnsi="Times New Roman" w:eastAsia="仿宋_GB2312" w:cs="Wingdings"/>
          <w:sz w:val="32"/>
          <w:szCs w:val="32"/>
          <w:highlight w:val="none"/>
          <w:lang w:eastAsia="zh-CN"/>
        </w:rPr>
        <w:t>，</w:t>
      </w:r>
      <w:r>
        <w:rPr>
          <w:rFonts w:hint="eastAsia" w:ascii="仿宋_GB2312" w:hAnsi="Times New Roman" w:eastAsia="仿宋_GB2312" w:cs="Wingdings"/>
          <w:sz w:val="32"/>
          <w:szCs w:val="32"/>
          <w:highlight w:val="none"/>
          <w:lang w:val="en-US" w:eastAsia="zh-CN"/>
        </w:rPr>
        <w:t>与预算和上年决算持平</w:t>
      </w:r>
      <w:r>
        <w:rPr>
          <w:rFonts w:hint="eastAsia" w:ascii="仿宋_GB2312" w:hAnsi="Times New Roman" w:eastAsia="仿宋_GB2312" w:cs="Wingdings"/>
          <w:sz w:val="32"/>
          <w:szCs w:val="32"/>
          <w:highlight w:val="none"/>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Wingdings"/>
          <w:b/>
          <w:sz w:val="32"/>
          <w:szCs w:val="32"/>
          <w:highlight w:val="none"/>
        </w:rPr>
        <w:t>公务用车运行维护费支出</w:t>
      </w:r>
      <w:r>
        <w:rPr>
          <w:rFonts w:hint="eastAsia" w:ascii="仿宋_GB2312" w:hAnsi="Times New Roman" w:eastAsia="仿宋_GB2312" w:cs="Wingdings"/>
          <w:b/>
          <w:sz w:val="32"/>
          <w:szCs w:val="32"/>
          <w:highlight w:val="none"/>
          <w:lang w:eastAsia="zh-CN"/>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0.31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%,主要是认真贯彻落实中央八项规定精神和厉行节约要求，从严控制“三公”经费开支，全年实际支出比预算有所节约；</w:t>
      </w:r>
      <w:r>
        <w:rPr>
          <w:rFonts w:hint="eastAsia" w:ascii="仿宋_GB2312" w:hAnsi="Times New Roman" w:eastAsia="仿宋_GB2312" w:cs="Wingdings"/>
          <w:sz w:val="32"/>
          <w:szCs w:val="32"/>
          <w:highlight w:val="none"/>
          <w:lang w:eastAsia="zh-CN"/>
        </w:rPr>
        <w:t>与上年决算持平。</w:t>
      </w:r>
    </w:p>
    <w:p>
      <w:pPr>
        <w:adjustRightInd w:val="0"/>
        <w:snapToGrid w:val="0"/>
        <w:spacing w:line="580" w:lineRule="exact"/>
        <w:ind w:firstLine="643" w:firstLineChars="200"/>
        <w:rPr>
          <w:rFonts w:ascii="仿宋_GB2312" w:hAnsi="Times New Roman" w:eastAsia="仿宋_GB2312" w:cs="Wingdings"/>
          <w:sz w:val="32"/>
          <w:szCs w:val="32"/>
          <w:highlight w:val="none"/>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eastAsia="zh-CN"/>
        </w:rPr>
        <w:t>较</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0.4万元</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上年度决算持平。</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highlight w:val="none"/>
        </w:rPr>
      </w:pPr>
      <w:r>
        <w:rPr>
          <w:rFonts w:hint="eastAsia" w:ascii="黑体" w:hAnsi="Times New Roman" w:eastAsia="黑体" w:cs="Times New Roman"/>
          <w:sz w:val="32"/>
          <w:szCs w:val="40"/>
          <w:highlight w:val="none"/>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w:t>
      </w:r>
      <w:r>
        <w:rPr>
          <w:rFonts w:hint="eastAsia" w:ascii="仿宋_GB2312" w:hAnsi="Times New Roman" w:eastAsia="仿宋_GB2312" w:cs="Wingdings"/>
          <w:sz w:val="32"/>
          <w:szCs w:val="32"/>
          <w:highlight w:val="none"/>
        </w:rPr>
        <w:t>法》（财预〔2020〕10 号）等</w:t>
      </w:r>
      <w:r>
        <w:rPr>
          <w:rFonts w:hint="eastAsia" w:ascii="仿宋_GB2312" w:hAnsi="Times New Roman" w:eastAsia="仿宋_GB2312" w:cs="Wingdings"/>
          <w:sz w:val="32"/>
          <w:szCs w:val="32"/>
          <w:highlight w:val="none"/>
          <w:lang w:val="en-US" w:eastAsia="zh-CN"/>
        </w:rPr>
        <w:t>文件要求</w:t>
      </w:r>
      <w:r>
        <w:rPr>
          <w:rFonts w:hint="eastAsia" w:ascii="仿宋_GB2312" w:hAnsi="Times New Roman" w:eastAsia="仿宋_GB2312" w:cs="Wingdings"/>
          <w:sz w:val="32"/>
          <w:szCs w:val="32"/>
          <w:highlight w:val="none"/>
          <w:lang w:eastAsia="zh-CN"/>
        </w:rPr>
        <w:t>，本单位</w:t>
      </w:r>
      <w:r>
        <w:rPr>
          <w:rFonts w:hint="eastAsia" w:ascii="仿宋_GB2312" w:hAnsi="Times New Roman" w:eastAsia="仿宋_GB2312" w:cs="Wingdings"/>
          <w:sz w:val="32"/>
          <w:szCs w:val="32"/>
          <w:highlight w:val="none"/>
        </w:rPr>
        <w:t>组织对2020年度</w:t>
      </w:r>
      <w:r>
        <w:rPr>
          <w:rFonts w:hint="eastAsia" w:ascii="仿宋_GB2312" w:hAnsi="Times New Roman" w:eastAsia="仿宋_GB2312" w:cs="Wingdings"/>
          <w:sz w:val="32"/>
          <w:szCs w:val="32"/>
          <w:highlight w:val="none"/>
          <w:lang w:val="en-US" w:eastAsia="zh-CN"/>
        </w:rPr>
        <w:t>26</w:t>
      </w:r>
      <w:r>
        <w:rPr>
          <w:rFonts w:hint="eastAsia" w:ascii="仿宋_GB2312" w:hAnsi="Times New Roman" w:eastAsia="仿宋_GB2312" w:cs="Wingdings"/>
          <w:sz w:val="32"/>
          <w:szCs w:val="32"/>
          <w:highlight w:val="none"/>
        </w:rPr>
        <w:t>个项目全面开展绩效自评</w:t>
      </w:r>
      <w:r>
        <w:rPr>
          <w:rFonts w:hint="eastAsia" w:ascii="仿宋_GB2312" w:hAnsi="Times New Roman" w:eastAsia="仿宋_GB2312" w:cs="Wingdings"/>
          <w:sz w:val="32"/>
          <w:szCs w:val="32"/>
          <w:highlight w:val="none"/>
          <w:lang w:eastAsia="zh-CN"/>
        </w:rPr>
        <w:t>，</w:t>
      </w:r>
      <w:r>
        <w:rPr>
          <w:rFonts w:hint="eastAsia" w:ascii="仿宋_GB2312" w:hAnsi="Times New Roman" w:eastAsia="仿宋_GB2312" w:cs="Wingdings"/>
          <w:sz w:val="32"/>
          <w:szCs w:val="32"/>
          <w:highlight w:val="none"/>
        </w:rPr>
        <w:t>共涉及资金</w:t>
      </w:r>
      <w:r>
        <w:rPr>
          <w:rFonts w:hint="eastAsia" w:ascii="仿宋_GB2312" w:hAnsi="Times New Roman" w:eastAsia="仿宋_GB2312" w:cs="Wingdings"/>
          <w:sz w:val="32"/>
          <w:szCs w:val="32"/>
          <w:highlight w:val="none"/>
          <w:lang w:val="en-US" w:eastAsia="zh-CN"/>
        </w:rPr>
        <w:t>3299.85</w:t>
      </w:r>
      <w:r>
        <w:rPr>
          <w:rFonts w:hint="eastAsia" w:ascii="仿宋_GB2312" w:hAnsi="Times New Roman" w:eastAsia="仿宋_GB2312" w:cs="Wingdings"/>
          <w:sz w:val="32"/>
          <w:szCs w:val="32"/>
          <w:highlight w:val="none"/>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lang w:eastAsia="zh-CN"/>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26</w:t>
      </w:r>
      <w:r>
        <w:rPr>
          <w:rFonts w:hint="eastAsia" w:ascii="仿宋_GB2312" w:hAnsi="宋体" w:eastAsia="仿宋_GB2312"/>
          <w:sz w:val="32"/>
          <w:szCs w:val="32"/>
        </w:rPr>
        <w:t>个，其中</w:t>
      </w:r>
      <w:r>
        <w:rPr>
          <w:rFonts w:hint="eastAsia" w:ascii="仿宋_GB2312" w:hAnsi="仿宋" w:eastAsia="仿宋_GB2312"/>
          <w:sz w:val="32"/>
          <w:szCs w:val="32"/>
        </w:rPr>
        <w:t>评价等级为“优”</w:t>
      </w:r>
      <w:r>
        <w:rPr>
          <w:rFonts w:hint="eastAsia" w:ascii="仿宋_GB2312" w:hAnsi="仿宋" w:eastAsia="仿宋_GB2312"/>
          <w:sz w:val="32"/>
          <w:szCs w:val="32"/>
          <w:lang w:eastAsia="zh-CN"/>
        </w:rPr>
        <w:t>的</w:t>
      </w:r>
      <w:r>
        <w:rPr>
          <w:rFonts w:hint="eastAsia" w:ascii="仿宋_GB2312" w:hAnsi="仿宋" w:eastAsia="仿宋_GB2312"/>
          <w:sz w:val="32"/>
          <w:szCs w:val="32"/>
        </w:rPr>
        <w:t>项目</w:t>
      </w:r>
      <w:r>
        <w:rPr>
          <w:rFonts w:hint="eastAsia" w:ascii="仿宋_GB2312" w:hAnsi="仿宋" w:eastAsia="仿宋_GB2312"/>
          <w:sz w:val="32"/>
          <w:szCs w:val="32"/>
          <w:lang w:val="en-US" w:eastAsia="zh-CN"/>
        </w:rPr>
        <w:t>26</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r>
        <w:rPr>
          <w:rFonts w:hint="eastAsia" w:ascii="仿宋_GB2312" w:hAnsi="宋体" w:eastAsia="仿宋_GB2312"/>
          <w:sz w:val="32"/>
          <w:szCs w:val="32"/>
          <w:lang w:eastAsia="zh-CN"/>
        </w:rPr>
        <w:t>：</w:t>
      </w: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劳动保障法律法规宣传费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劳动监察维权维稳保障经费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劳动监察执法装备和标志工作服</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劳动监察执法业务费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“互联网+人社”业务信息化建设费用</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收费上解</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退役军人公益性岗位工资</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2020年就业补助资金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就业补助资金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关于提前下达2020年省级就业补助资金预算指标的通知</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2020年中央就业补助资金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创业扶持资金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扶贫专岗工资和保险费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企业困难职工、农民工春节慰问和救济</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99</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劳动人事争议仲裁院标准化建设经费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98</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关于调整下达工业企业结构调整专项奖补资金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流动人员人事档案管理及电子化费用</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教师等事业单位招聘、劳务派遣人员招聘资金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工伤认定调查费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98</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20</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农民工工资保障金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被征地农民信息管理系统</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98</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专项业务费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人才基金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购置档案室相关设备</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90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企业网上招聘平台运行维护费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26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劳动仲裁专项业务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优</w:t>
            </w:r>
          </w:p>
        </w:tc>
      </w:tr>
    </w:tbl>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val="en-US" w:eastAsia="zh-CN"/>
        </w:rPr>
        <w:t>劳动保障法律法规宣传费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劳动保障法律法规宣传费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个项目绩效自评结果。</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98.81</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3299.85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3299.85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424.30</w:t>
      </w:r>
      <w:r>
        <w:rPr>
          <w:rFonts w:hint="eastAsia" w:ascii="仿宋_GB2312" w:hAnsi="仿宋_GB2312" w:eastAsia="仿宋_GB2312" w:cs="仿宋_GB2312"/>
          <w:sz w:val="32"/>
          <w:szCs w:val="32"/>
        </w:rPr>
        <w:t>万元，比2019年度减少</w:t>
      </w:r>
      <w:r>
        <w:rPr>
          <w:rFonts w:hint="eastAsia" w:ascii="仿宋_GB2312" w:hAnsi="仿宋_GB2312" w:eastAsia="仿宋_GB2312" w:cs="仿宋_GB2312"/>
          <w:sz w:val="32"/>
          <w:szCs w:val="32"/>
          <w:lang w:val="en-US" w:eastAsia="zh-CN"/>
        </w:rPr>
        <w:t>105.03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下</w:t>
      </w:r>
      <w:r>
        <w:rPr>
          <w:rFonts w:hint="eastAsia" w:ascii="仿宋_GB2312" w:hAnsi="仿宋_GB2312" w:eastAsia="仿宋_GB2312" w:cs="仿宋_GB2312"/>
          <w:sz w:val="32"/>
          <w:szCs w:val="32"/>
        </w:rPr>
        <w:t>降</w:t>
      </w:r>
      <w:r>
        <w:rPr>
          <w:rFonts w:hint="eastAsia" w:ascii="仿宋_GB2312" w:hAnsi="仿宋_GB2312" w:eastAsia="仿宋_GB2312" w:cs="仿宋_GB2312"/>
          <w:sz w:val="32"/>
          <w:szCs w:val="32"/>
          <w:lang w:val="en-US" w:eastAsia="zh-CN"/>
        </w:rPr>
        <w:t>19.8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主要是严格贯彻落实党和政府“过紧日子”要求，压缩“三公”经费费等非急需非刚性支出。</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：一般业务用车</w:t>
      </w:r>
      <w:r>
        <w:rPr>
          <w:rFonts w:hint="eastAsia" w:ascii="仿宋_GB2312" w:hAnsi="Times New Roman" w:eastAsia="仿宋_GB2312" w:cs="DengXian-Regular"/>
          <w:sz w:val="32"/>
          <w:szCs w:val="32"/>
          <w:lang w:val="en-US" w:eastAsia="zh-CN"/>
        </w:rPr>
        <w:t>3辆。</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本单位</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2336"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2336;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MGdnwmIAgAATAUAAA4AAABkcnMvZTJvRG9jLnhtbK1U&#10;zW4TMRC+I/EOlu90kyZp2qibKrQKQiq0UkGcHa83u5L/sJ3slgeAN+DEhTvP1efgs3eTRoVDJdhI&#10;m/HMt/PzzXjOL1olyVY4Xxud0+HRgBKhuSlqvc7pxw/LV6eU+MB0waTRIqf3wtOL+csX542diWNT&#10;GVkIR+BE+1ljc1qFYGdZ5nklFPNHxgoNY2mcYgFHt84Kxxp4VzI7HgxOssa4wjrDhffQXnVG2nt0&#10;z3FoyrLm4srwjRI6dF6dkCygJF/V1tN5yrYsBQ83ZelFIDKnqDSkN4JAXsV3Nj9ns7Vjtqp5nwJ7&#10;TgpPalKs1gi6d3XFAiMbV//hStXcGW/KcMSNyrpCEiOoYjh4ws1dxaxItYBqb/ek+//nlr/f3jpS&#10;F5iEUzReM4WWP3z/9vDj18PPryQqQVFj/QzIOwtsaF+bFvCd3kMZK29Lp+I/aiKwg+D7PcGiDYRD&#10;OZ2ejUaTCSUcttFoPBxNUwuyx8+t8+GNMIpEIacOHUzEsu21D0gF0B0kRrMshGUtZQ+3PEwSvFxf&#10;ypSWd+sVRLJlmIDpMv4SQG7UO1N06skAT6wHznt8kvdOVn/1tkxP/10Pien1KcX0pCZNTk9Gk0EK&#10;6o2si5hutP1LZgeOEFFqpBt71PUiSqFdtX3jVqa4R9+c6YbfW76swe018+GWOUw7WoV9EG7wKqVB&#10;vqaXKKmM+/I3fcRjCGGlpMHtyan/vGFOUCLfaozn2XA8jtctHcaT6TEO7tCyOrTojbo0aM8Qm8fy&#10;JEZ8kDuxdEZ9wtpYxKgwMc0RO6c8uN3hMnS3GouHi8UiwXDF0IxrfWd5dB5J12axCaas0yhFojp2&#10;ev5wyVLj+4UQb/HhOaEel+D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P/0jT7ZAAAADAEAAA8A&#10;AAAAAAAAAQAgAAAAIgAAAGRycy9kb3ducmV2LnhtbFBLAQIUABQAAAAIAIdO4kDBnZ8JiAIAAEwF&#10;AAAOAAAAAAAAAAEAIAAAACgBAABkcnMvZTJvRG9jLnhtbFBLBQYAAAAABgAGAFkBAAAiBgAAAAA=&#10;">
                <v:fill type="pattern" on="t" color2="#FFFFFF [3212]" o:title="5%" focussize="0,0" r:id="rId13"/>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p>
    <w:p>
      <w:pPr>
        <w:rPr>
          <w:sz w:val="72"/>
        </w:rPr>
      </w:pPr>
    </w:p>
    <w:p>
      <w:pPr>
        <w:bidi w:val="0"/>
        <w:rPr>
          <w:rFonts w:asciiTheme="minorHAnsi" w:hAnsiTheme="minorHAnsi" w:eastAsiaTheme="minorEastAsia" w:cstheme="minorBidi"/>
          <w:kern w:val="2"/>
          <w:sz w:val="21"/>
          <w:szCs w:val="24"/>
          <w:lang w:val="en-US" w:eastAsia="zh-CN" w:bidi="ar-SA"/>
        </w:rPr>
      </w:pPr>
      <w:r>
        <w:rPr>
          <w:sz w:val="72"/>
        </w:rPr>
        <mc:AlternateContent>
          <mc:Choice Requires="wps">
            <w:drawing>
              <wp:anchor distT="0" distB="0" distL="114300" distR="114300" simplePos="0" relativeHeight="251665408" behindDoc="0" locked="0" layoutInCell="1" allowOverlap="1">
                <wp:simplePos x="0" y="0"/>
                <wp:positionH relativeFrom="column">
                  <wp:posOffset>59690</wp:posOffset>
                </wp:positionH>
                <wp:positionV relativeFrom="paragraph">
                  <wp:posOffset>196850</wp:posOffset>
                </wp:positionV>
                <wp:extent cx="7946390" cy="3589655"/>
                <wp:effectExtent l="6350" t="6350" r="10160" b="23495"/>
                <wp:wrapNone/>
                <wp:docPr id="1" name="文本框 1"/>
                <wp:cNvGraphicFramePr/>
                <a:graphic xmlns:a="http://schemas.openxmlformats.org/drawingml/2006/main">
                  <a:graphicData uri="http://schemas.microsoft.com/office/word/2010/wordprocessingShape">
                    <wps:wsp>
                      <wps:cNvSpPr txBox="1"/>
                      <wps:spPr>
                        <a:xfrm>
                          <a:off x="0" y="0"/>
                          <a:ext cx="7946390" cy="3589655"/>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4.7pt;margin-top:15.5pt;height:282.65pt;width:625.7pt;z-index:251665408;v-text-anchor:middle;mso-width-relative:page;mso-height-relative:page;" fillcolor="#7F7F7F" filled="t" stroked="t" coordsize="21600,21600" o:gfxdata="UEsDBAoAAAAAAIdO4kAAAAAAAAAAAAAAAAAEAAAAZHJzL1BLAwQUAAAACACHTuJAuHTJY9kAAAAJ&#10;AQAADwAAAGRycy9kb3ducmV2LnhtbE2Py07DMBBF90j8gzVIbBC100KUhjhdIEB0VbVEgqUTD3FE&#10;PI5s9/X3uCtYju7VnXOq1cmO7IA+DI4kZDMBDKlzeqBeQvPxel8AC1GRVqMjlHDGAKv6+qpSpXZH&#10;2uJhF3uWRiiUSoKJcSo5D51Bq8LMTUgp+3beqphO33Pt1TGN25HPhci5VQOlD0ZN+Gyw+9ntrYTP&#10;96n5utsUb2uz2TYv6yK0Zx+kvL3JxBOwiKf4V4YLfkKHOjG1bk86sFHC8iEVJSyyZHSJ57lIKq2E&#10;x2W+AF5X/L9B/QtQSwMEFAAAAAgAh07iQCcaXCulAgAAqQUAAA4AAABkcnMvZTJvRG9jLnhtbK1U&#10;zW4TMRC+I/EOlu90kzRJm6ibKjQKQiq0UkGcHa83u5L/sJ1sygPAG3Diwp3n6nPw2btJS8sBEDls&#10;xp7xN/N9Hs/Z+U5JshXO10bntH/Uo0Robopar3P6/t3yxSklPjBdMGm0yOmt8PR89vzZWWOnYmAq&#10;IwvhCEC0nzY2p1UIdpplnldCMX9krNBwlsYpFrB066xwrAG6ktmg1xtnjXGFdYYL77G7aJ20Q3R/&#10;AmjKsuZiYfhGCR1aVCckC6Dkq9p6OkvVlqXg4aosvQhE5hRMQ/oiCexV/GazMzZdO2armnclsD8p&#10;4REnxWqNpAeoBQuMbFz9BErV3BlvynDEjcpaIkkRsOj3HmlzUzErEhdI7e1BdP//YPnb7bUjdYFO&#10;oEQzhQu/+/rl7tuPu++fST/K01g/RdSNRVzYvTS7GNrte2xG1rvSqfgPPgR+iHt7EFfsAuHYPJkM&#10;x8cTuDh8x6PTyXg0ijjZ/XHrfHgljCLRyKnD7SVR2fbShzZ0HxKzWRbCspayC7c8jFJ4ub6QqSx/&#10;62GRLcPlowML01AimQ/YzOky/dIBuVFvTNHGjXr4dXW151OJB8zV34C3NXdHQHRfcaxeatJAysEJ&#10;0hGuLK7A63WqxxtZF5FZjPsXEuPI4imJX3Cjkgvmq5Z2cnUnpI55RXo9nfCxCdrLjlbYrXZdB6xM&#10;cYvGcKZ9Wd7yZQ3gS6h8zRyeEshh2IQrfEppwNh0FiWVcZ9+tx/j0eHwUtLgaUKYjxvmBC7vtUbv&#10;T/rDIWBDWgxHJwMs3EPP6qFHb9SFQQOgv1FdMmN8kHuzdEZ9wEyax6xwMc2RO6c8uP3iIrQjA1ON&#10;i/k8heH94jov9Y3lETxKps18E0xZp16NQrXqoIHiAi84tVI3beKIeLhOUfcTdvYT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uHTJY9kAAAAJAQAADwAAAAAAAAABACAAAAAiAAAAZHJzL2Rvd25yZXYu&#10;eG1sUEsBAhQAFAAAAAgAh07iQCcaXCulAgAAqQUAAA4AAAAAAAAAAQAgAAAAKAEAAGRycy9lMm9E&#10;b2MueG1sUEsFBgAAAAAGAAYAWQEAAD8GAAAAAA==&#10;">
                <v:fill type="pattern" on="t" color2="#FFFFFF" o:title="5%" focussize="0,0" r:id="rId13"/>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sz w:val="72"/>
          <w:szCs w:val="144"/>
          <w:lang w:val="en-US" w:eastAsia="zh-CN"/>
        </w:rPr>
      </w:pPr>
      <w:r>
        <w:rPr>
          <w:lang w:val="en-US" w:eastAsia="zh-CN"/>
        </w:rPr>
        <w:br w:type="page"/>
      </w:r>
    </w:p>
    <w:tbl>
      <w:tblPr>
        <w:tblStyle w:val="5"/>
        <w:tblW w:w="81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16"/>
        <w:gridCol w:w="656"/>
        <w:gridCol w:w="1096"/>
        <w:gridCol w:w="3516"/>
        <w:gridCol w:w="656"/>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8190" w:type="dxa"/>
            <w:gridSpan w:val="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0" w:type="auto"/>
            <w:gridSpan w:val="3"/>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4,817.65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3,368.21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4,817.65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182.16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4,999.81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4,999.81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注：本表反映部门本年度的总收支和年末结转结余情况。本套报表金额单位转换时可能存在尾数误差。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55" w:hRule="atLeast"/>
        </w:trPr>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bl>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p>
      <w:pPr>
        <w:bidi w:val="0"/>
        <w:jc w:val="left"/>
        <w:rPr>
          <w:rFonts w:hint="eastAsia"/>
          <w:sz w:val="28"/>
          <w:szCs w:val="28"/>
          <w:lang w:val="en-US" w:eastAsia="zh-CN"/>
        </w:rPr>
      </w:pPr>
    </w:p>
    <w:tbl>
      <w:tblPr>
        <w:tblStyle w:val="5"/>
        <w:tblW w:w="114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7"/>
        <w:gridCol w:w="308"/>
        <w:gridCol w:w="307"/>
        <w:gridCol w:w="2473"/>
        <w:gridCol w:w="1275"/>
        <w:gridCol w:w="1159"/>
        <w:gridCol w:w="884"/>
        <w:gridCol w:w="1140"/>
        <w:gridCol w:w="840"/>
        <w:gridCol w:w="1170"/>
        <w:gridCol w:w="15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90" w:hRule="atLeast"/>
        </w:trPr>
        <w:tc>
          <w:tcPr>
            <w:tcW w:w="11438" w:type="dxa"/>
            <w:gridSpan w:val="11"/>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55" w:hRule="atLeast"/>
        </w:trPr>
        <w:tc>
          <w:tcPr>
            <w:tcW w:w="307"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308"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0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7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5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8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745"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8693" w:type="dxa"/>
            <w:gridSpan w:val="9"/>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2745"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395"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159"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884"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114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84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117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15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2473"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2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473"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473"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7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395"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2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59"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84"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4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4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7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5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395"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4,817.65</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4,817.65</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1,328.17</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1,328.17</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1,278.17</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1,278.17</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1,263.59</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1,263.59</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3,255.61</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3,255.61</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2,024.08</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2,024.08</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576.62</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576.62</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113.13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113.13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2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24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8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17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1438" w:type="dxa"/>
            <w:gridSpan w:val="11"/>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p>
      <w:pPr>
        <w:bidi w:val="0"/>
        <w:jc w:val="left"/>
        <w:rPr>
          <w:rFonts w:hint="eastAsia"/>
          <w:sz w:val="15"/>
          <w:szCs w:val="15"/>
          <w:lang w:val="en-US" w:eastAsia="zh-CN"/>
        </w:rPr>
      </w:pPr>
    </w:p>
    <w:tbl>
      <w:tblPr>
        <w:tblStyle w:val="5"/>
        <w:tblW w:w="1222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11"/>
        <w:gridCol w:w="311"/>
        <w:gridCol w:w="310"/>
        <w:gridCol w:w="2611"/>
        <w:gridCol w:w="1187"/>
        <w:gridCol w:w="1155"/>
        <w:gridCol w:w="1338"/>
        <w:gridCol w:w="1275"/>
        <w:gridCol w:w="1440"/>
        <w:gridCol w:w="22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229"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11"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31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1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61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8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5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38"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731"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7223" w:type="dxa"/>
            <w:gridSpan w:val="7"/>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12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731"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543"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87"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15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338"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275"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44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2291"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2611"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8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3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9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611"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8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3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9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611"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8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3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44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9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543"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87"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5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38"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44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291"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543"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4,957.95</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1,529.18</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3,428.77</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65.55</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1,305.86</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15.55</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3,368.21</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3,290.21</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2,136.68</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2,136.68</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93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261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18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15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33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4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29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2229" w:type="dxa"/>
            <w:gridSpan w:val="10"/>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pPr>
        <w:bidi w:val="0"/>
        <w:jc w:val="left"/>
        <w:rPr>
          <w:rFonts w:hint="eastAsia"/>
          <w:sz w:val="15"/>
          <w:szCs w:val="15"/>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jc w:val="left"/>
        <w:rPr>
          <w:rFonts w:hint="eastAsia"/>
          <w:sz w:val="18"/>
          <w:szCs w:val="18"/>
          <w:lang w:val="en-US" w:eastAsia="zh-CN"/>
        </w:rPr>
      </w:pPr>
    </w:p>
    <w:p>
      <w:pPr>
        <w:bidi w:val="0"/>
        <w:rPr>
          <w:lang w:val="en-US" w:eastAsia="zh-CN"/>
        </w:rPr>
      </w:pPr>
    </w:p>
    <w:tbl>
      <w:tblPr>
        <w:tblStyle w:val="5"/>
        <w:tblW w:w="1266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77"/>
        <w:gridCol w:w="475"/>
        <w:gridCol w:w="1096"/>
        <w:gridCol w:w="2636"/>
        <w:gridCol w:w="476"/>
        <w:gridCol w:w="1096"/>
        <w:gridCol w:w="1492"/>
        <w:gridCol w:w="1635"/>
        <w:gridCol w:w="20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668" w:type="dxa"/>
            <w:gridSpan w:val="9"/>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677"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4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09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63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7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09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49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720"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360" w:type="dxa"/>
            <w:gridSpan w:val="5"/>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109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49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720"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3248"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9420" w:type="dxa"/>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2" w:hRule="atLeast"/>
        </w:trPr>
        <w:tc>
          <w:tcPr>
            <w:tcW w:w="1677"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7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09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63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7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096"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492"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63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208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677"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7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9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63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7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96"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9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3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08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75"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09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76"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09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49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63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08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4,817.65</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3,368.21</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3,368.21</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0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center"/>
              <w:rPr>
                <w:rFonts w:hint="eastAsia" w:ascii="宋体" w:hAnsi="宋体" w:eastAsia="宋体" w:cs="宋体"/>
                <w:b/>
                <w:bCs/>
                <w:i w:val="0"/>
                <w:iCs w:val="0"/>
                <w:color w:val="000000"/>
                <w:sz w:val="20"/>
                <w:szCs w:val="20"/>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63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4,817.65</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4,957.95</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4,957.95</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78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182.16</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41.86</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41.86</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182.16</w:t>
            </w:r>
          </w:p>
        </w:tc>
        <w:tc>
          <w:tcPr>
            <w:tcW w:w="2636"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49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63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8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636"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49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63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8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77"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47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636"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09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49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63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08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8" w:hRule="atLeast"/>
        </w:trPr>
        <w:tc>
          <w:tcPr>
            <w:tcW w:w="167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475" w:type="dxa"/>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4,999.81</w:t>
            </w:r>
          </w:p>
        </w:tc>
        <w:tc>
          <w:tcPr>
            <w:tcW w:w="263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47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09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4,999.81</w:t>
            </w:r>
          </w:p>
        </w:tc>
        <w:tc>
          <w:tcPr>
            <w:tcW w:w="149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4,999.81</w:t>
            </w:r>
          </w:p>
        </w:tc>
        <w:tc>
          <w:tcPr>
            <w:tcW w:w="163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208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12668"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r>
    </w:tbl>
    <w:p>
      <w:pPr>
        <w:bidi w:val="0"/>
        <w:rPr>
          <w:sz w:val="10"/>
          <w:szCs w:val="10"/>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239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20"/>
        <w:gridCol w:w="322"/>
        <w:gridCol w:w="321"/>
        <w:gridCol w:w="4006"/>
        <w:gridCol w:w="1366"/>
        <w:gridCol w:w="2868"/>
        <w:gridCol w:w="31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398" w:type="dxa"/>
            <w:gridSpan w:val="7"/>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20"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32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2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00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063"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4969"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136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063"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969"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429"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4006"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6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2868"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19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963"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006"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868"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319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006"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868"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319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969"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6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868"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19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969"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4,957.95</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1,529.18</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3,428.77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1,355.86</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1,305.86</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1,290.31</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2011002</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2011099</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其他人力资源事务支出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纪检监察事务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2011102</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3,368.21</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3,290.21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人力资源和社会保障管理事务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2,136.68</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2,136.68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2080102</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2080104</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综合业务管理</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2080105</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劳动保障监察</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2080106</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就业管理事务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714.59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2080107</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社会保险业务管理事务</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2080112</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劳动人事争议调解仲裁</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2080199</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其他人力资源和社会保障管理事务支出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就业补助</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2080799</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其他就业补助支出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72.64</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其他节能环保支出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2119901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其他节能环保支出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963"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40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36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286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88.23</w:t>
            </w:r>
          </w:p>
        </w:tc>
        <w:tc>
          <w:tcPr>
            <w:tcW w:w="319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398" w:type="dxa"/>
            <w:gridSpan w:val="7"/>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1"/>
        <w:gridCol w:w="2883"/>
        <w:gridCol w:w="927"/>
        <w:gridCol w:w="661"/>
        <w:gridCol w:w="1994"/>
        <w:gridCol w:w="749"/>
        <w:gridCol w:w="661"/>
        <w:gridCol w:w="3594"/>
        <w:gridCol w:w="7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879" w:type="dxa"/>
            <w:gridSpan w:val="9"/>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343"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5132"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343"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0" w:type="auto"/>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61"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88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27"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66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99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49"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66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59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49"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61"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8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27"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66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99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4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66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359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74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1,085.24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424.30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268.48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33.46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115.42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0.84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76.32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31.83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73.51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92.83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256.57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7.27</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15.87</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w:t>
            </w: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1,099.88</w:t>
            </w:r>
          </w:p>
        </w:tc>
        <w:tc>
          <w:tcPr>
            <w:tcW w:w="0" w:type="auto"/>
            <w:gridSpan w:val="5"/>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0" w:type="auto"/>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429.30</w:t>
            </w:r>
          </w:p>
        </w:tc>
      </w:tr>
    </w:tbl>
    <w:p>
      <w:pPr>
        <w:tabs>
          <w:tab w:val="left" w:pos="682"/>
        </w:tabs>
        <w:bidi w:val="0"/>
        <w:jc w:val="left"/>
        <w:rPr>
          <w:rFonts w:hint="eastAsia"/>
          <w:sz w:val="11"/>
          <w:szCs w:val="11"/>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tbl>
      <w:tblPr>
        <w:tblStyle w:val="5"/>
        <w:tblW w:w="126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6"/>
        <w:gridCol w:w="1245"/>
        <w:gridCol w:w="656"/>
        <w:gridCol w:w="1410"/>
        <w:gridCol w:w="1377"/>
        <w:gridCol w:w="900"/>
        <w:gridCol w:w="656"/>
        <w:gridCol w:w="1050"/>
        <w:gridCol w:w="825"/>
        <w:gridCol w:w="975"/>
        <w:gridCol w:w="1358"/>
        <w:gridCol w:w="15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2608" w:type="dxa"/>
            <w:gridSpan w:val="12"/>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56"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124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41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7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05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2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858"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5344" w:type="dxa"/>
            <w:gridSpan w:val="5"/>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9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05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2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858"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244"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6364" w:type="dxa"/>
            <w:gridSpan w:val="6"/>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56"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4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443"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90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65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5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158" w:type="dxa"/>
            <w:gridSpan w:val="3"/>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1500"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656"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4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65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377"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90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65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05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358"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1500"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56" w:type="dxa"/>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4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5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1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77"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56"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5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82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75"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358"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5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656"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8.50</w:t>
            </w:r>
          </w:p>
        </w:tc>
        <w:tc>
          <w:tcPr>
            <w:tcW w:w="124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6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8.10</w:t>
            </w:r>
          </w:p>
        </w:tc>
        <w:tc>
          <w:tcPr>
            <w:tcW w:w="141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7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8.10</w:t>
            </w:r>
          </w:p>
        </w:tc>
        <w:tc>
          <w:tcPr>
            <w:tcW w:w="9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0.40</w:t>
            </w:r>
          </w:p>
        </w:tc>
        <w:tc>
          <w:tcPr>
            <w:tcW w:w="6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7.79</w:t>
            </w:r>
          </w:p>
        </w:tc>
        <w:tc>
          <w:tcPr>
            <w:tcW w:w="105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7.79</w:t>
            </w:r>
          </w:p>
        </w:tc>
        <w:tc>
          <w:tcPr>
            <w:tcW w:w="9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35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7.79</w:t>
            </w:r>
          </w:p>
        </w:tc>
        <w:tc>
          <w:tcPr>
            <w:tcW w:w="15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12608" w:type="dxa"/>
            <w:gridSpan w:val="12"/>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11"/>
          <w:szCs w:val="11"/>
        </w:rPr>
      </w:pPr>
    </w:p>
    <w:tbl>
      <w:tblPr>
        <w:tblStyle w:val="5"/>
        <w:tblW w:w="126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12"/>
        <w:gridCol w:w="312"/>
        <w:gridCol w:w="312"/>
        <w:gridCol w:w="1539"/>
        <w:gridCol w:w="1651"/>
        <w:gridCol w:w="1205"/>
        <w:gridCol w:w="918"/>
        <w:gridCol w:w="1205"/>
        <w:gridCol w:w="1205"/>
        <w:gridCol w:w="40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683" w:type="dxa"/>
            <w:gridSpan w:val="10"/>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147"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gridSpan w:val="6"/>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147"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916"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279"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3429"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2868"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06"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916"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7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279"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279"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286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06"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916"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7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86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06"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916"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7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86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868"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86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83" w:type="dxa"/>
            <w:gridSpan w:val="10"/>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235"/>
        </w:tabs>
        <w:spacing w:line="600" w:lineRule="exact"/>
        <w:jc w:val="left"/>
        <w:rPr>
          <w:rFonts w:ascii="仿宋_GB2312" w:hAnsi="Cambria" w:eastAsia="仿宋_GB2312" w:cs="Arial Black"/>
          <w:kern w:val="0"/>
          <w:sz w:val="11"/>
          <w:szCs w:val="11"/>
        </w:rPr>
      </w:pPr>
    </w:p>
    <w:p>
      <w:pPr>
        <w:tabs>
          <w:tab w:val="left" w:pos="235"/>
        </w:tabs>
        <w:spacing w:line="600" w:lineRule="exact"/>
        <w:jc w:val="left"/>
        <w:rPr>
          <w:rFonts w:ascii="仿宋_GB2312" w:hAnsi="Cambria" w:eastAsia="仿宋_GB2312" w:cs="Arial Black"/>
          <w:kern w:val="0"/>
          <w:sz w:val="11"/>
          <w:szCs w:val="11"/>
        </w:rPr>
      </w:pPr>
    </w:p>
    <w:p>
      <w:pPr>
        <w:tabs>
          <w:tab w:val="left" w:pos="235"/>
        </w:tabs>
        <w:spacing w:line="600" w:lineRule="exact"/>
        <w:jc w:val="left"/>
        <w:rPr>
          <w:rFonts w:ascii="仿宋_GB2312" w:hAnsi="Cambria" w:eastAsia="仿宋_GB2312" w:cs="Arial Black"/>
          <w:kern w:val="0"/>
          <w:sz w:val="11"/>
          <w:szCs w:val="11"/>
        </w:rPr>
      </w:pPr>
    </w:p>
    <w:p>
      <w:pPr>
        <w:tabs>
          <w:tab w:val="left" w:pos="235"/>
        </w:tabs>
        <w:spacing w:line="600" w:lineRule="exact"/>
        <w:jc w:val="left"/>
        <w:rPr>
          <w:rFonts w:ascii="仿宋_GB2312" w:hAnsi="Cambria" w:eastAsia="仿宋_GB2312" w:cs="Arial Black"/>
          <w:kern w:val="0"/>
          <w:sz w:val="11"/>
          <w:szCs w:val="11"/>
        </w:rPr>
      </w:pPr>
    </w:p>
    <w:p>
      <w:pPr>
        <w:tabs>
          <w:tab w:val="left" w:pos="235"/>
        </w:tabs>
        <w:spacing w:line="600" w:lineRule="exact"/>
        <w:jc w:val="left"/>
        <w:rPr>
          <w:rFonts w:ascii="仿宋_GB2312" w:hAnsi="Cambria" w:eastAsia="仿宋_GB2312" w:cs="Arial Black"/>
          <w:kern w:val="0"/>
          <w:sz w:val="11"/>
          <w:szCs w:val="11"/>
        </w:rPr>
      </w:pPr>
    </w:p>
    <w:tbl>
      <w:tblPr>
        <w:tblStyle w:val="5"/>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01"/>
        <w:gridCol w:w="283"/>
        <w:gridCol w:w="283"/>
        <w:gridCol w:w="1399"/>
        <w:gridCol w:w="1225"/>
        <w:gridCol w:w="1225"/>
        <w:gridCol w:w="20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879" w:type="dxa"/>
            <w:gridSpan w:val="7"/>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部门：石家庄市鹿泉区人力资源和社会保障局（本级）</w:t>
            </w: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项目</w:t>
            </w:r>
          </w:p>
        </w:tc>
        <w:tc>
          <w:tcPr>
            <w:tcW w:w="4449"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500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科目名称</w:t>
            </w:r>
          </w:p>
        </w:tc>
        <w:tc>
          <w:tcPr>
            <w:tcW w:w="148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合计</w:t>
            </w:r>
          </w:p>
        </w:tc>
        <w:tc>
          <w:tcPr>
            <w:tcW w:w="148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基本支出</w:t>
            </w:r>
          </w:p>
        </w:tc>
        <w:tc>
          <w:tcPr>
            <w:tcW w:w="148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500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5000"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0" w:type="auto"/>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c>
          <w:tcPr>
            <w:tcW w:w="148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7"/>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tabs>
          <w:tab w:val="left" w:pos="235"/>
        </w:tabs>
        <w:spacing w:line="600" w:lineRule="exact"/>
        <w:jc w:val="left"/>
        <w:rPr>
          <w:rFonts w:ascii="仿宋_GB2312" w:hAnsi="Cambria" w:eastAsia="仿宋_GB2312" w:cs="Arial Black"/>
          <w:kern w:val="0"/>
          <w:sz w:val="11"/>
          <w:szCs w:val="11"/>
        </w:rPr>
      </w:pPr>
    </w:p>
    <w:sectPr>
      <w:pgSz w:w="16838" w:h="11906" w:orient="landscape"/>
      <w:pgMar w:top="1531" w:right="2098" w:bottom="1531"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D1F4F"/>
    <w:rsid w:val="00366D90"/>
    <w:rsid w:val="003D678E"/>
    <w:rsid w:val="00801F66"/>
    <w:rsid w:val="008B172C"/>
    <w:rsid w:val="009334BF"/>
    <w:rsid w:val="00E20C3F"/>
    <w:rsid w:val="03CC2A0F"/>
    <w:rsid w:val="046D30E5"/>
    <w:rsid w:val="04BF3ADE"/>
    <w:rsid w:val="05817FD1"/>
    <w:rsid w:val="06A91B1A"/>
    <w:rsid w:val="06E43177"/>
    <w:rsid w:val="086E76C4"/>
    <w:rsid w:val="090E5DAB"/>
    <w:rsid w:val="0CD33118"/>
    <w:rsid w:val="0DB7203A"/>
    <w:rsid w:val="0EA325C9"/>
    <w:rsid w:val="0F0070C8"/>
    <w:rsid w:val="109A6A23"/>
    <w:rsid w:val="10B340B9"/>
    <w:rsid w:val="13A41E64"/>
    <w:rsid w:val="14AF5C9E"/>
    <w:rsid w:val="15EC54DE"/>
    <w:rsid w:val="15F1587B"/>
    <w:rsid w:val="177251CF"/>
    <w:rsid w:val="1AF714B4"/>
    <w:rsid w:val="1C6B1773"/>
    <w:rsid w:val="1DE73D50"/>
    <w:rsid w:val="1E72595E"/>
    <w:rsid w:val="1F3871F6"/>
    <w:rsid w:val="1FD61320"/>
    <w:rsid w:val="214D1BCD"/>
    <w:rsid w:val="21700ACC"/>
    <w:rsid w:val="21FC6FDE"/>
    <w:rsid w:val="233A0E4B"/>
    <w:rsid w:val="249220B4"/>
    <w:rsid w:val="25BD742D"/>
    <w:rsid w:val="25E011F4"/>
    <w:rsid w:val="267F196C"/>
    <w:rsid w:val="27014770"/>
    <w:rsid w:val="2803445A"/>
    <w:rsid w:val="285043BD"/>
    <w:rsid w:val="29E103CC"/>
    <w:rsid w:val="2B711B74"/>
    <w:rsid w:val="2B790F5A"/>
    <w:rsid w:val="2F382086"/>
    <w:rsid w:val="3161556A"/>
    <w:rsid w:val="320778B9"/>
    <w:rsid w:val="32BA682F"/>
    <w:rsid w:val="34C45458"/>
    <w:rsid w:val="353153B7"/>
    <w:rsid w:val="357C3C0E"/>
    <w:rsid w:val="36C00975"/>
    <w:rsid w:val="36F40644"/>
    <w:rsid w:val="39472936"/>
    <w:rsid w:val="3953282B"/>
    <w:rsid w:val="3B304753"/>
    <w:rsid w:val="3D4D71DB"/>
    <w:rsid w:val="3DE36653"/>
    <w:rsid w:val="4126372D"/>
    <w:rsid w:val="413E007D"/>
    <w:rsid w:val="418D707E"/>
    <w:rsid w:val="426618DE"/>
    <w:rsid w:val="42A640C4"/>
    <w:rsid w:val="42CF3F2C"/>
    <w:rsid w:val="42F14578"/>
    <w:rsid w:val="448178C4"/>
    <w:rsid w:val="47E674AE"/>
    <w:rsid w:val="483112B7"/>
    <w:rsid w:val="488E0B96"/>
    <w:rsid w:val="4A2C0737"/>
    <w:rsid w:val="4C9126DE"/>
    <w:rsid w:val="4E700630"/>
    <w:rsid w:val="500D0A0C"/>
    <w:rsid w:val="51524681"/>
    <w:rsid w:val="51B46F58"/>
    <w:rsid w:val="57E03A08"/>
    <w:rsid w:val="57FC0871"/>
    <w:rsid w:val="58A7642F"/>
    <w:rsid w:val="5B1B2C38"/>
    <w:rsid w:val="5B464E3D"/>
    <w:rsid w:val="5FA42CC5"/>
    <w:rsid w:val="609E07E5"/>
    <w:rsid w:val="61123F16"/>
    <w:rsid w:val="615A2A2A"/>
    <w:rsid w:val="62CE3501"/>
    <w:rsid w:val="631C539A"/>
    <w:rsid w:val="63C47EDB"/>
    <w:rsid w:val="647F7C67"/>
    <w:rsid w:val="661A2B55"/>
    <w:rsid w:val="66244A5A"/>
    <w:rsid w:val="67AB0A69"/>
    <w:rsid w:val="69990911"/>
    <w:rsid w:val="6D4B4530"/>
    <w:rsid w:val="6E4B3715"/>
    <w:rsid w:val="6F675714"/>
    <w:rsid w:val="722B5FD1"/>
    <w:rsid w:val="73AB79B2"/>
    <w:rsid w:val="75326A2C"/>
    <w:rsid w:val="7697527F"/>
    <w:rsid w:val="76D31751"/>
    <w:rsid w:val="778059C7"/>
    <w:rsid w:val="77A260F1"/>
    <w:rsid w:val="77C1140E"/>
    <w:rsid w:val="785533B0"/>
    <w:rsid w:val="787614A6"/>
    <w:rsid w:val="78E702C6"/>
    <w:rsid w:val="7A061A90"/>
    <w:rsid w:val="7B6F37DA"/>
    <w:rsid w:val="7D2B6A2C"/>
    <w:rsid w:val="7DA7729E"/>
    <w:rsid w:val="7E7305F5"/>
    <w:rsid w:val="7FC84DE6"/>
    <w:rsid w:val="7FE142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bmp"/><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5970</Words>
  <Characters>6530</Characters>
  <Lines>82</Lines>
  <Paragraphs>23</Paragraphs>
  <TotalTime>16</TotalTime>
  <ScaleCrop>false</ScaleCrop>
  <LinksUpToDate>false</LinksUpToDate>
  <CharactersWithSpaces>6631</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rensh</cp:lastModifiedBy>
  <cp:lastPrinted>2021-09-29T06:22:00Z</cp:lastPrinted>
  <dcterms:modified xsi:type="dcterms:W3CDTF">2025-05-07T07:19:47Z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EEB0AF1058714613A8329AFD3B1DD3FB</vt:lpwstr>
  </property>
</Properties>
</file>